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E8DE" w14:textId="04E7F0D4" w:rsidR="004961AF" w:rsidRPr="00174C19" w:rsidRDefault="009D5266" w:rsidP="00A504C6">
      <w:pPr>
        <w:pStyle w:val="Title"/>
        <w:rPr>
          <w:rFonts w:cstheme="majorHAnsi"/>
          <w:sz w:val="40"/>
          <w:szCs w:val="40"/>
          <w:lang w:val="en-US"/>
        </w:rPr>
      </w:pPr>
      <w:proofErr w:type="spellStart"/>
      <w:r w:rsidRPr="009D5266">
        <w:rPr>
          <w:rFonts w:cstheme="majorHAnsi"/>
          <w:sz w:val="40"/>
          <w:szCs w:val="40"/>
          <w:lang w:val="mk-MK"/>
        </w:rPr>
        <w:t>Financial</w:t>
      </w:r>
      <w:proofErr w:type="spellEnd"/>
      <w:r w:rsidRPr="009D5266">
        <w:rPr>
          <w:rFonts w:cstheme="majorHAnsi"/>
          <w:sz w:val="40"/>
          <w:szCs w:val="40"/>
          <w:lang w:val="mk-MK"/>
        </w:rPr>
        <w:t xml:space="preserve"> </w:t>
      </w:r>
      <w:proofErr w:type="spellStart"/>
      <w:r w:rsidRPr="009D5266">
        <w:rPr>
          <w:rFonts w:cstheme="majorHAnsi"/>
          <w:sz w:val="40"/>
          <w:szCs w:val="40"/>
          <w:lang w:val="mk-MK"/>
        </w:rPr>
        <w:t>Statements</w:t>
      </w:r>
      <w:proofErr w:type="spellEnd"/>
      <w:r w:rsidRPr="009D5266">
        <w:rPr>
          <w:rFonts w:cstheme="majorHAnsi"/>
          <w:sz w:val="40"/>
          <w:szCs w:val="40"/>
          <w:lang w:val="mk-MK"/>
        </w:rPr>
        <w:t xml:space="preserve"> </w:t>
      </w:r>
    </w:p>
    <w:p w14:paraId="6901AE09" w14:textId="77777777" w:rsidR="009D5266" w:rsidRPr="006B74DD" w:rsidRDefault="009D5266" w:rsidP="009D5266">
      <w:pPr>
        <w:pStyle w:val="Coversubheading"/>
        <w:tabs>
          <w:tab w:val="left" w:pos="5670"/>
        </w:tabs>
        <w:rPr>
          <w:rFonts w:asciiTheme="majorHAnsi" w:hAnsiTheme="majorHAnsi" w:cstheme="majorHAnsi"/>
          <w:lang w:val="mk-MK"/>
        </w:rPr>
      </w:pPr>
      <w:proofErr w:type="spellStart"/>
      <w:r w:rsidRPr="006B74DD">
        <w:rPr>
          <w:rFonts w:asciiTheme="majorHAnsi" w:hAnsiTheme="majorHAnsi" w:cstheme="majorHAnsi"/>
          <w:lang w:val="mk-MK"/>
        </w:rPr>
        <w:t>Deposit</w:t>
      </w:r>
      <w:proofErr w:type="spellEnd"/>
      <w:r w:rsidRPr="006B74DD">
        <w:rPr>
          <w:rFonts w:asciiTheme="majorHAnsi" w:hAnsiTheme="majorHAnsi" w:cstheme="majorHAnsi"/>
          <w:lang w:val="mk-MK"/>
        </w:rPr>
        <w:t xml:space="preserve"> </w:t>
      </w:r>
      <w:proofErr w:type="spellStart"/>
      <w:r w:rsidRPr="006B74DD">
        <w:rPr>
          <w:rFonts w:asciiTheme="majorHAnsi" w:hAnsiTheme="majorHAnsi" w:cstheme="majorHAnsi"/>
          <w:lang w:val="mk-MK"/>
        </w:rPr>
        <w:t>Insurance</w:t>
      </w:r>
      <w:proofErr w:type="spellEnd"/>
      <w:r w:rsidRPr="006B74DD">
        <w:rPr>
          <w:rFonts w:asciiTheme="majorHAnsi" w:hAnsiTheme="majorHAnsi" w:cstheme="majorHAnsi"/>
          <w:lang w:val="mk-MK"/>
        </w:rPr>
        <w:t xml:space="preserve"> </w:t>
      </w:r>
      <w:proofErr w:type="spellStart"/>
      <w:r w:rsidRPr="006B74DD">
        <w:rPr>
          <w:rFonts w:asciiTheme="majorHAnsi" w:hAnsiTheme="majorHAnsi" w:cstheme="majorHAnsi"/>
          <w:lang w:val="mk-MK"/>
        </w:rPr>
        <w:t>Fund</w:t>
      </w:r>
      <w:proofErr w:type="spellEnd"/>
    </w:p>
    <w:p w14:paraId="521BB2EF" w14:textId="715CBFDE" w:rsidR="00BF38DF" w:rsidRPr="001E6526" w:rsidRDefault="00BF38DF" w:rsidP="00A504C6">
      <w:pPr>
        <w:pStyle w:val="Coversubheading"/>
        <w:tabs>
          <w:tab w:val="left" w:pos="5670"/>
        </w:tabs>
        <w:rPr>
          <w:rFonts w:asciiTheme="majorHAnsi" w:hAnsiTheme="majorHAnsi" w:cstheme="majorHAnsi"/>
          <w:sz w:val="40"/>
          <w:szCs w:val="40"/>
          <w:lang w:val="mk-MK"/>
        </w:rPr>
      </w:pPr>
      <w:r w:rsidRPr="001E6526">
        <w:rPr>
          <w:rFonts w:asciiTheme="majorHAnsi" w:hAnsiTheme="majorHAnsi" w:cstheme="majorHAnsi"/>
          <w:sz w:val="40"/>
          <w:szCs w:val="40"/>
          <w:lang w:val="mk-MK"/>
        </w:rPr>
        <w:t xml:space="preserve">31 </w:t>
      </w:r>
      <w:r w:rsidR="009D5266">
        <w:rPr>
          <w:rFonts w:asciiTheme="majorHAnsi" w:hAnsiTheme="majorHAnsi" w:cstheme="majorHAnsi"/>
          <w:sz w:val="40"/>
          <w:szCs w:val="40"/>
          <w:lang w:val="en-US"/>
        </w:rPr>
        <w:t>December</w:t>
      </w:r>
      <w:r w:rsidRPr="001E6526">
        <w:rPr>
          <w:rFonts w:asciiTheme="majorHAnsi" w:hAnsiTheme="majorHAnsi" w:cstheme="majorHAnsi"/>
          <w:sz w:val="40"/>
          <w:szCs w:val="40"/>
          <w:lang w:val="mk-MK"/>
        </w:rPr>
        <w:t xml:space="preserve"> 202</w:t>
      </w:r>
      <w:r w:rsidR="00105843" w:rsidRPr="00CE3053">
        <w:rPr>
          <w:rFonts w:asciiTheme="majorHAnsi" w:hAnsiTheme="majorHAnsi" w:cstheme="majorHAnsi"/>
          <w:sz w:val="40"/>
          <w:szCs w:val="40"/>
          <w:lang w:val="mk-MK"/>
        </w:rPr>
        <w:t>1</w:t>
      </w:r>
    </w:p>
    <w:p w14:paraId="0BAC5D22" w14:textId="77777777" w:rsidR="004961AF" w:rsidRPr="00CE3053" w:rsidRDefault="004961AF" w:rsidP="004961AF">
      <w:pPr>
        <w:pStyle w:val="Covertitle"/>
        <w:rPr>
          <w:rFonts w:asciiTheme="majorHAnsi" w:hAnsiTheme="majorHAnsi" w:cstheme="majorHAnsi"/>
          <w:lang w:val="mk-MK"/>
        </w:rPr>
      </w:pPr>
    </w:p>
    <w:p w14:paraId="6E7DA0D0" w14:textId="77777777" w:rsidR="008B4FBA" w:rsidRPr="00CE3053" w:rsidRDefault="008B4FBA" w:rsidP="008B4FBA">
      <w:pPr>
        <w:pStyle w:val="Subtitle"/>
        <w:rPr>
          <w:rFonts w:cstheme="majorHAnsi"/>
          <w:lang w:val="mk-MK"/>
        </w:rPr>
      </w:pPr>
    </w:p>
    <w:p w14:paraId="648F45FE" w14:textId="77777777" w:rsidR="008B4FBA" w:rsidRPr="00CE3053" w:rsidRDefault="008B4FBA" w:rsidP="007C335A">
      <w:pPr>
        <w:pStyle w:val="Subtitle"/>
        <w:rPr>
          <w:rFonts w:cstheme="majorHAnsi"/>
          <w:lang w:val="mk-MK"/>
        </w:rPr>
      </w:pPr>
    </w:p>
    <w:p w14:paraId="677D19FB" w14:textId="77777777" w:rsidR="00390019" w:rsidRPr="00CE3053" w:rsidRDefault="00390019" w:rsidP="00390019">
      <w:pPr>
        <w:rPr>
          <w:rFonts w:asciiTheme="majorHAnsi" w:hAnsiTheme="majorHAnsi" w:cstheme="majorHAnsi"/>
          <w:lang w:val="mk-MK"/>
        </w:rPr>
        <w:sectPr w:rsidR="00390019" w:rsidRPr="00CE3053" w:rsidSect="006256CC">
          <w:footerReference w:type="even" r:id="rId8"/>
          <w:headerReference w:type="first" r:id="rId9"/>
          <w:footerReference w:type="first" r:id="rId10"/>
          <w:pgSz w:w="11907" w:h="16840" w:code="9"/>
          <w:pgMar w:top="3572" w:right="913" w:bottom="913" w:left="913" w:header="680" w:footer="454" w:gutter="0"/>
          <w:cols w:space="708"/>
          <w:docGrid w:linePitch="360"/>
        </w:sectPr>
      </w:pPr>
    </w:p>
    <w:p w14:paraId="455AA3ED" w14:textId="0865AA45" w:rsidR="00390019" w:rsidRPr="007B2B6F" w:rsidRDefault="00CE1585" w:rsidP="00C7575E">
      <w:pPr>
        <w:pStyle w:val="Contents"/>
        <w:framePr w:wrap="around"/>
        <w:rPr>
          <w:lang w:val="mk-MK"/>
        </w:rPr>
      </w:pPr>
      <w:r w:rsidRPr="007B2B6F">
        <w:rPr>
          <w:lang w:val="mk-MK"/>
        </w:rPr>
        <w:lastRenderedPageBreak/>
        <w:t>Contents</w:t>
      </w:r>
    </w:p>
    <w:p w14:paraId="3BD88C97" w14:textId="0A666967" w:rsidR="00982D88" w:rsidRDefault="00982D88">
      <w:pPr>
        <w:pStyle w:val="TOC1"/>
        <w:rPr>
          <w:rStyle w:val="Hyperlink"/>
          <w:rFonts w:asciiTheme="majorHAnsi" w:hAnsiTheme="majorHAnsi" w:cstheme="majorHAnsi"/>
          <w:color w:val="auto"/>
          <w:u w:val="none"/>
          <w:lang w:val="en-US"/>
        </w:rPr>
      </w:pPr>
      <w:r>
        <w:rPr>
          <w:rStyle w:val="Hyperlink"/>
          <w:rFonts w:asciiTheme="majorHAnsi" w:hAnsiTheme="majorHAnsi" w:cstheme="majorHAnsi"/>
          <w:color w:val="auto"/>
          <w:u w:val="none"/>
          <w:lang w:val="en-US"/>
        </w:rPr>
        <w:t>Independent Auditor’s Report</w:t>
      </w:r>
      <w:r>
        <w:rPr>
          <w:rStyle w:val="Hyperlink"/>
          <w:rFonts w:asciiTheme="majorHAnsi" w:hAnsiTheme="majorHAnsi" w:cstheme="majorHAnsi"/>
          <w:color w:val="auto"/>
          <w:u w:val="none"/>
          <w:lang w:val="en-US"/>
        </w:rPr>
        <w:tab/>
        <w:t>1</w:t>
      </w:r>
    </w:p>
    <w:p w14:paraId="2384DEB5" w14:textId="30515938" w:rsidR="00F80F6A" w:rsidRPr="001E6526" w:rsidRDefault="006F7C0D">
      <w:pPr>
        <w:pStyle w:val="TOC1"/>
        <w:rPr>
          <w:rFonts w:eastAsiaTheme="minorEastAsia" w:cstheme="minorBidi"/>
          <w:noProof/>
          <w:sz w:val="22"/>
          <w:szCs w:val="22"/>
          <w:lang w:val="mk-MK"/>
        </w:rPr>
      </w:pPr>
      <w:r w:rsidRPr="00CE3053">
        <w:rPr>
          <w:rStyle w:val="Hyperlink"/>
          <w:rFonts w:asciiTheme="majorHAnsi" w:hAnsiTheme="majorHAnsi" w:cstheme="majorHAnsi"/>
          <w:color w:val="auto"/>
          <w:u w:val="none"/>
          <w:lang w:val="mk-MK"/>
        </w:rPr>
        <w:fldChar w:fldCharType="begin"/>
      </w:r>
      <w:r w:rsidR="00EC1109" w:rsidRPr="00CE3053">
        <w:rPr>
          <w:rStyle w:val="Hyperlink"/>
          <w:rFonts w:asciiTheme="majorHAnsi" w:hAnsiTheme="majorHAnsi" w:cstheme="majorHAnsi"/>
          <w:color w:val="auto"/>
          <w:u w:val="none"/>
          <w:lang w:val="mk-MK"/>
        </w:rPr>
        <w:instrText xml:space="preserve"> TOC \h \t "Section Title, 1, Appendix Title, 1,Section Title Landscape,1,Appendix Title Landscape,1,#1 Section Title, 1,#2 Section Title, 1,Num Appendix Title, 1," </w:instrText>
      </w:r>
      <w:r w:rsidRPr="00CE3053">
        <w:rPr>
          <w:rStyle w:val="Hyperlink"/>
          <w:rFonts w:asciiTheme="majorHAnsi" w:hAnsiTheme="majorHAnsi" w:cstheme="majorHAnsi"/>
          <w:color w:val="auto"/>
          <w:u w:val="none"/>
          <w:lang w:val="mk-MK"/>
        </w:rPr>
        <w:fldChar w:fldCharType="separate"/>
      </w:r>
      <w:hyperlink w:anchor="_Toc65614732" w:history="1">
        <w:r w:rsidR="00CE1585" w:rsidRPr="00CE1585">
          <w:rPr>
            <w:rStyle w:val="Hyperlink"/>
            <w:noProof/>
            <w:lang w:val="mk-MK"/>
          </w:rPr>
          <w:t>Statement of Comprehensive Income</w:t>
        </w:r>
        <w:r w:rsidR="00F80F6A" w:rsidRPr="00CE3053">
          <w:rPr>
            <w:noProof/>
            <w:lang w:val="mk-MK"/>
          </w:rPr>
          <w:tab/>
        </w:r>
        <w:r w:rsidRPr="00CE3053">
          <w:rPr>
            <w:noProof/>
            <w:lang w:val="mk-MK"/>
          </w:rPr>
          <w:fldChar w:fldCharType="begin"/>
        </w:r>
        <w:r w:rsidR="00F80F6A" w:rsidRPr="00CE3053">
          <w:rPr>
            <w:noProof/>
            <w:lang w:val="mk-MK"/>
          </w:rPr>
          <w:instrText xml:space="preserve"> PAGEREF _Toc65614732 \h </w:instrText>
        </w:r>
        <w:r w:rsidRPr="00CE3053">
          <w:rPr>
            <w:noProof/>
            <w:lang w:val="mk-MK"/>
          </w:rPr>
        </w:r>
        <w:r w:rsidRPr="00CE3053">
          <w:rPr>
            <w:noProof/>
            <w:lang w:val="mk-MK"/>
          </w:rPr>
          <w:fldChar w:fldCharType="separate"/>
        </w:r>
        <w:r w:rsidR="0019072B">
          <w:rPr>
            <w:noProof/>
            <w:lang w:val="mk-MK"/>
          </w:rPr>
          <w:t>3</w:t>
        </w:r>
        <w:r w:rsidRPr="00CE3053">
          <w:rPr>
            <w:noProof/>
            <w:lang w:val="mk-MK"/>
          </w:rPr>
          <w:fldChar w:fldCharType="end"/>
        </w:r>
      </w:hyperlink>
    </w:p>
    <w:p w14:paraId="3B609867" w14:textId="5518D6E7" w:rsidR="00F80F6A" w:rsidRPr="00CE3053" w:rsidRDefault="00FE7ED8">
      <w:pPr>
        <w:pStyle w:val="TOC1"/>
        <w:rPr>
          <w:rFonts w:eastAsiaTheme="minorEastAsia" w:cstheme="minorBidi"/>
          <w:noProof/>
          <w:sz w:val="22"/>
          <w:szCs w:val="22"/>
          <w:lang w:val="mk-MK"/>
        </w:rPr>
      </w:pPr>
      <w:hyperlink w:anchor="_Toc65614733" w:history="1">
        <w:r w:rsidR="002F5204" w:rsidRPr="002F5204">
          <w:rPr>
            <w:rStyle w:val="Hyperlink"/>
            <w:noProof/>
            <w:lang w:val="mk-MK"/>
          </w:rPr>
          <w:t>Statement of Financial Position</w:t>
        </w:r>
        <w:r w:rsidR="00F80F6A" w:rsidRPr="00CE3053">
          <w:rPr>
            <w:noProof/>
            <w:lang w:val="mk-MK"/>
          </w:rPr>
          <w:tab/>
        </w:r>
        <w:r w:rsidR="006F7C0D" w:rsidRPr="00CE3053">
          <w:rPr>
            <w:noProof/>
            <w:lang w:val="mk-MK"/>
          </w:rPr>
          <w:fldChar w:fldCharType="begin"/>
        </w:r>
        <w:r w:rsidR="00F80F6A" w:rsidRPr="00CE3053">
          <w:rPr>
            <w:noProof/>
            <w:lang w:val="mk-MK"/>
          </w:rPr>
          <w:instrText xml:space="preserve"> PAGEREF _Toc65614733 \h </w:instrText>
        </w:r>
        <w:r w:rsidR="006F7C0D" w:rsidRPr="00CE3053">
          <w:rPr>
            <w:noProof/>
            <w:lang w:val="mk-MK"/>
          </w:rPr>
        </w:r>
        <w:r w:rsidR="006F7C0D" w:rsidRPr="00CE3053">
          <w:rPr>
            <w:noProof/>
            <w:lang w:val="mk-MK"/>
          </w:rPr>
          <w:fldChar w:fldCharType="separate"/>
        </w:r>
        <w:r w:rsidR="0019072B">
          <w:rPr>
            <w:noProof/>
            <w:lang w:val="mk-MK"/>
          </w:rPr>
          <w:t>4</w:t>
        </w:r>
        <w:r w:rsidR="006F7C0D" w:rsidRPr="00CE3053">
          <w:rPr>
            <w:noProof/>
            <w:lang w:val="mk-MK"/>
          </w:rPr>
          <w:fldChar w:fldCharType="end"/>
        </w:r>
      </w:hyperlink>
    </w:p>
    <w:p w14:paraId="03C3684F" w14:textId="56A68A27" w:rsidR="00F80F6A" w:rsidRPr="00CE3053" w:rsidRDefault="00FE7ED8">
      <w:pPr>
        <w:pStyle w:val="TOC1"/>
        <w:rPr>
          <w:rFonts w:eastAsiaTheme="minorEastAsia" w:cstheme="minorBidi"/>
          <w:noProof/>
          <w:sz w:val="22"/>
          <w:szCs w:val="22"/>
          <w:lang w:val="mk-MK"/>
        </w:rPr>
      </w:pPr>
      <w:hyperlink w:anchor="_Toc65614734" w:history="1">
        <w:r w:rsidR="002F5204" w:rsidRPr="002F5204">
          <w:rPr>
            <w:rStyle w:val="Hyperlink"/>
            <w:noProof/>
            <w:lang w:val="mk-MK"/>
          </w:rPr>
          <w:t xml:space="preserve">Statement of Changes in Equity </w:t>
        </w:r>
        <w:r w:rsidR="00F80F6A" w:rsidRPr="00CE3053">
          <w:rPr>
            <w:noProof/>
            <w:lang w:val="mk-MK"/>
          </w:rPr>
          <w:tab/>
        </w:r>
        <w:r w:rsidR="006F7C0D" w:rsidRPr="00CE3053">
          <w:rPr>
            <w:noProof/>
            <w:lang w:val="mk-MK"/>
          </w:rPr>
          <w:fldChar w:fldCharType="begin"/>
        </w:r>
        <w:r w:rsidR="00F80F6A" w:rsidRPr="00CE3053">
          <w:rPr>
            <w:noProof/>
            <w:lang w:val="mk-MK"/>
          </w:rPr>
          <w:instrText xml:space="preserve"> PAGEREF _Toc65614734 \h </w:instrText>
        </w:r>
        <w:r w:rsidR="006F7C0D" w:rsidRPr="00CE3053">
          <w:rPr>
            <w:noProof/>
            <w:lang w:val="mk-MK"/>
          </w:rPr>
        </w:r>
        <w:r w:rsidR="006F7C0D" w:rsidRPr="00CE3053">
          <w:rPr>
            <w:noProof/>
            <w:lang w:val="mk-MK"/>
          </w:rPr>
          <w:fldChar w:fldCharType="separate"/>
        </w:r>
        <w:r w:rsidR="0019072B">
          <w:rPr>
            <w:noProof/>
            <w:lang w:val="mk-MK"/>
          </w:rPr>
          <w:t>5</w:t>
        </w:r>
        <w:r w:rsidR="006F7C0D" w:rsidRPr="00CE3053">
          <w:rPr>
            <w:noProof/>
            <w:lang w:val="mk-MK"/>
          </w:rPr>
          <w:fldChar w:fldCharType="end"/>
        </w:r>
      </w:hyperlink>
    </w:p>
    <w:p w14:paraId="7A855DB6" w14:textId="0F503319" w:rsidR="00F80F6A" w:rsidRPr="00CE3053" w:rsidRDefault="002F5204">
      <w:pPr>
        <w:pStyle w:val="TOC1"/>
        <w:rPr>
          <w:rFonts w:eastAsiaTheme="minorEastAsia" w:cstheme="minorBidi"/>
          <w:noProof/>
          <w:sz w:val="22"/>
          <w:szCs w:val="22"/>
          <w:lang w:val="mk-MK"/>
        </w:rPr>
      </w:pPr>
      <w:r w:rsidRPr="002F5204">
        <w:t xml:space="preserve">Statement of Cash Flows </w:t>
      </w:r>
      <w:hyperlink w:anchor="_Toc65614735" w:history="1">
        <w:r w:rsidR="00F80F6A" w:rsidRPr="00CE3053">
          <w:rPr>
            <w:noProof/>
            <w:lang w:val="mk-MK"/>
          </w:rPr>
          <w:tab/>
        </w:r>
        <w:r w:rsidR="006F7C0D" w:rsidRPr="00CE3053">
          <w:rPr>
            <w:noProof/>
            <w:lang w:val="mk-MK"/>
          </w:rPr>
          <w:fldChar w:fldCharType="begin"/>
        </w:r>
        <w:r w:rsidR="00F80F6A" w:rsidRPr="00CE3053">
          <w:rPr>
            <w:noProof/>
            <w:lang w:val="mk-MK"/>
          </w:rPr>
          <w:instrText xml:space="preserve"> PAGEREF _Toc65614735 \h </w:instrText>
        </w:r>
        <w:r w:rsidR="006F7C0D" w:rsidRPr="00CE3053">
          <w:rPr>
            <w:noProof/>
            <w:lang w:val="mk-MK"/>
          </w:rPr>
        </w:r>
        <w:r w:rsidR="006F7C0D" w:rsidRPr="00CE3053">
          <w:rPr>
            <w:noProof/>
            <w:lang w:val="mk-MK"/>
          </w:rPr>
          <w:fldChar w:fldCharType="separate"/>
        </w:r>
        <w:r w:rsidR="0019072B">
          <w:rPr>
            <w:noProof/>
            <w:lang w:val="mk-MK"/>
          </w:rPr>
          <w:t>6</w:t>
        </w:r>
        <w:r w:rsidR="006F7C0D" w:rsidRPr="00CE3053">
          <w:rPr>
            <w:noProof/>
            <w:lang w:val="mk-MK"/>
          </w:rPr>
          <w:fldChar w:fldCharType="end"/>
        </w:r>
      </w:hyperlink>
    </w:p>
    <w:p w14:paraId="6969061A" w14:textId="6A8B6205" w:rsidR="00F80F6A" w:rsidRPr="00CE3053" w:rsidRDefault="002F5204">
      <w:pPr>
        <w:pStyle w:val="TOC1"/>
        <w:rPr>
          <w:rFonts w:eastAsiaTheme="minorEastAsia" w:cstheme="minorBidi"/>
          <w:noProof/>
          <w:sz w:val="22"/>
          <w:szCs w:val="22"/>
          <w:lang w:val="mk-MK"/>
        </w:rPr>
      </w:pPr>
      <w:r w:rsidRPr="002F5204">
        <w:t xml:space="preserve">Notes to the financial statements </w:t>
      </w:r>
      <w:hyperlink w:anchor="_Toc65614736" w:history="1">
        <w:r w:rsidR="00F80F6A" w:rsidRPr="00CE3053">
          <w:rPr>
            <w:noProof/>
            <w:lang w:val="mk-MK"/>
          </w:rPr>
          <w:tab/>
        </w:r>
        <w:r w:rsidR="006F7C0D" w:rsidRPr="00CE3053">
          <w:rPr>
            <w:noProof/>
            <w:lang w:val="mk-MK"/>
          </w:rPr>
          <w:fldChar w:fldCharType="begin"/>
        </w:r>
        <w:r w:rsidR="00F80F6A" w:rsidRPr="00CE3053">
          <w:rPr>
            <w:noProof/>
            <w:lang w:val="mk-MK"/>
          </w:rPr>
          <w:instrText xml:space="preserve"> PAGEREF _Toc65614736 \h </w:instrText>
        </w:r>
        <w:r w:rsidR="006F7C0D" w:rsidRPr="00CE3053">
          <w:rPr>
            <w:noProof/>
            <w:lang w:val="mk-MK"/>
          </w:rPr>
        </w:r>
        <w:r w:rsidR="006F7C0D" w:rsidRPr="00CE3053">
          <w:rPr>
            <w:noProof/>
            <w:lang w:val="mk-MK"/>
          </w:rPr>
          <w:fldChar w:fldCharType="separate"/>
        </w:r>
        <w:r w:rsidR="0019072B">
          <w:rPr>
            <w:noProof/>
            <w:lang w:val="mk-MK"/>
          </w:rPr>
          <w:t>7</w:t>
        </w:r>
        <w:r w:rsidR="006F7C0D" w:rsidRPr="00CE3053">
          <w:rPr>
            <w:noProof/>
            <w:lang w:val="mk-MK"/>
          </w:rPr>
          <w:fldChar w:fldCharType="end"/>
        </w:r>
      </w:hyperlink>
    </w:p>
    <w:p w14:paraId="5C1E0F69" w14:textId="671A6A02" w:rsidR="00816FFB" w:rsidRPr="00CE3053" w:rsidRDefault="006F7C0D" w:rsidP="00CA271A">
      <w:pPr>
        <w:pStyle w:val="BodyText"/>
        <w:rPr>
          <w:rFonts w:asciiTheme="majorHAnsi" w:hAnsiTheme="majorHAnsi" w:cstheme="majorHAnsi"/>
          <w:lang w:val="mk-MK"/>
        </w:rPr>
      </w:pPr>
      <w:r w:rsidRPr="00CE3053">
        <w:rPr>
          <w:rStyle w:val="Hyperlink"/>
          <w:rFonts w:asciiTheme="majorHAnsi" w:hAnsiTheme="majorHAnsi" w:cstheme="majorHAnsi"/>
          <w:color w:val="auto"/>
          <w:u w:val="none"/>
          <w:lang w:val="mk-MK"/>
        </w:rPr>
        <w:fldChar w:fldCharType="end"/>
      </w:r>
    </w:p>
    <w:p w14:paraId="08421400"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7BB6B3AC" w14:textId="77777777" w:rsidR="00816FFB" w:rsidRPr="00CE3053" w:rsidRDefault="00816FFB" w:rsidP="00A3423F">
      <w:pPr>
        <w:pStyle w:val="ListNumber"/>
        <w:numPr>
          <w:ilvl w:val="0"/>
          <w:numId w:val="0"/>
        </w:numPr>
        <w:rPr>
          <w:rFonts w:asciiTheme="majorHAnsi" w:hAnsiTheme="majorHAnsi" w:cstheme="majorHAnsi"/>
          <w:lang w:val="mk-MK"/>
        </w:rPr>
      </w:pPr>
    </w:p>
    <w:p w14:paraId="2B17C18D"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4968FFA3"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5C23D9A5"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66616914"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420911D0"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70FD2177"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39F9C851"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3E86AF75" w14:textId="77777777" w:rsidR="00816FFB" w:rsidRPr="00257FF8" w:rsidRDefault="00816FFB" w:rsidP="00816FFB">
      <w:pPr>
        <w:pStyle w:val="ListNumber"/>
        <w:numPr>
          <w:ilvl w:val="0"/>
          <w:numId w:val="0"/>
        </w:numPr>
        <w:ind w:left="284" w:hanging="284"/>
        <w:rPr>
          <w:rFonts w:asciiTheme="majorHAnsi" w:hAnsiTheme="majorHAnsi" w:cstheme="majorHAnsi"/>
          <w:lang w:val="en-US"/>
        </w:rPr>
      </w:pPr>
    </w:p>
    <w:p w14:paraId="5005E1C9"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0CB3C466"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67823181"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08B20167"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2FEC703C"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1C9A80E5"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6E4F9586"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7E2828B1"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65AE079C"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6066C882"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6226FF16"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0D14E35C"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7562F744"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70B4EA67" w14:textId="77777777" w:rsidR="00816FFB" w:rsidRPr="00CE3053" w:rsidRDefault="00816FFB" w:rsidP="00816FFB">
      <w:pPr>
        <w:pStyle w:val="ListNumber"/>
        <w:numPr>
          <w:ilvl w:val="0"/>
          <w:numId w:val="0"/>
        </w:numPr>
        <w:ind w:left="284" w:hanging="284"/>
        <w:rPr>
          <w:rFonts w:asciiTheme="majorHAnsi" w:hAnsiTheme="majorHAnsi" w:cstheme="majorHAnsi"/>
          <w:lang w:val="mk-MK"/>
        </w:rPr>
      </w:pPr>
    </w:p>
    <w:p w14:paraId="6791779D" w14:textId="69268C60" w:rsidR="00816FFB" w:rsidRPr="00174C19" w:rsidRDefault="00257FF8" w:rsidP="00174C19">
      <w:pPr>
        <w:pStyle w:val="ListNumber"/>
        <w:numPr>
          <w:ilvl w:val="0"/>
          <w:numId w:val="0"/>
        </w:numPr>
        <w:jc w:val="center"/>
        <w:rPr>
          <w:rFonts w:asciiTheme="majorHAnsi" w:hAnsiTheme="majorHAnsi" w:cstheme="majorHAnsi"/>
          <w:b/>
          <w:bCs/>
          <w:color w:val="808080" w:themeColor="background1" w:themeShade="80"/>
          <w:sz w:val="16"/>
          <w:szCs w:val="16"/>
          <w:lang w:val="mk-MK"/>
        </w:rPr>
        <w:sectPr w:rsidR="00816FFB" w:rsidRPr="00174C19" w:rsidSect="000E5778">
          <w:headerReference w:type="default" r:id="rId11"/>
          <w:footerReference w:type="default" r:id="rId12"/>
          <w:pgSz w:w="11907" w:h="16840" w:code="9"/>
          <w:pgMar w:top="3260" w:right="913" w:bottom="913" w:left="2693" w:header="680" w:footer="454" w:gutter="0"/>
          <w:cols w:space="708"/>
          <w:docGrid w:linePitch="360"/>
        </w:sectPr>
      </w:pPr>
      <w:proofErr w:type="spellStart"/>
      <w:r w:rsidRPr="00174C19">
        <w:rPr>
          <w:rFonts w:asciiTheme="majorHAnsi" w:hAnsiTheme="majorHAnsi" w:cstheme="majorHAnsi"/>
          <w:b/>
          <w:bCs/>
          <w:color w:val="808080" w:themeColor="background1" w:themeShade="80"/>
          <w:sz w:val="16"/>
          <w:szCs w:val="16"/>
          <w:lang w:val="mk-MK"/>
        </w:rPr>
        <w:t>This</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is</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an</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English</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translation</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of</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the</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original</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Report</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issued</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in</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Macedonian</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in</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case</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of</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any</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discrepancies</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between</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the</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English</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and</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Macedonian</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version</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the</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Macedonian</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text</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shall</w:t>
      </w:r>
      <w:proofErr w:type="spellEnd"/>
      <w:r w:rsidRPr="00174C19">
        <w:rPr>
          <w:rFonts w:asciiTheme="majorHAnsi" w:hAnsiTheme="majorHAnsi" w:cstheme="majorHAnsi"/>
          <w:b/>
          <w:bCs/>
          <w:color w:val="808080" w:themeColor="background1" w:themeShade="80"/>
          <w:sz w:val="16"/>
          <w:szCs w:val="16"/>
          <w:lang w:val="mk-MK"/>
        </w:rPr>
        <w:t xml:space="preserve"> </w:t>
      </w:r>
      <w:proofErr w:type="spellStart"/>
      <w:r w:rsidRPr="00174C19">
        <w:rPr>
          <w:rFonts w:asciiTheme="majorHAnsi" w:hAnsiTheme="majorHAnsi" w:cstheme="majorHAnsi"/>
          <w:b/>
          <w:bCs/>
          <w:color w:val="808080" w:themeColor="background1" w:themeShade="80"/>
          <w:sz w:val="16"/>
          <w:szCs w:val="16"/>
          <w:lang w:val="mk-MK"/>
        </w:rPr>
        <w:t>prevail</w:t>
      </w:r>
      <w:proofErr w:type="spellEnd"/>
      <w:r w:rsidRPr="00174C19">
        <w:rPr>
          <w:rFonts w:asciiTheme="majorHAnsi" w:hAnsiTheme="majorHAnsi" w:cstheme="majorHAnsi"/>
          <w:b/>
          <w:bCs/>
          <w:color w:val="808080" w:themeColor="background1" w:themeShade="80"/>
          <w:sz w:val="16"/>
          <w:szCs w:val="16"/>
          <w:lang w:val="mk-MK"/>
        </w:rPr>
        <w:t>.</w:t>
      </w:r>
    </w:p>
    <w:p w14:paraId="52A6A829" w14:textId="41E022A8" w:rsidR="00BF38DF" w:rsidRPr="00CE3053" w:rsidRDefault="00815E65" w:rsidP="00BF38DF">
      <w:pPr>
        <w:pStyle w:val="SectionTitle"/>
        <w:framePr w:wrap="around"/>
        <w:rPr>
          <w:color w:val="4F2D7F"/>
          <w:sz w:val="36"/>
          <w:szCs w:val="36"/>
          <w:lang w:val="mk-MK"/>
        </w:rPr>
      </w:pPr>
      <w:bookmarkStart w:id="0" w:name="_Toc1405034"/>
      <w:r w:rsidRPr="00CE3053">
        <w:rPr>
          <w:lang w:val="mk-MK"/>
        </w:rPr>
        <w:lastRenderedPageBreak/>
        <w:br w:type="page"/>
      </w:r>
      <w:bookmarkEnd w:id="0"/>
      <w:proofErr w:type="spellStart"/>
      <w:r w:rsidR="006D4BFE" w:rsidRPr="006D4BFE">
        <w:rPr>
          <w:color w:val="4F2D7F"/>
          <w:sz w:val="36"/>
          <w:szCs w:val="36"/>
          <w:lang w:val="mk-MK"/>
        </w:rPr>
        <w:t>Statement</w:t>
      </w:r>
      <w:proofErr w:type="spellEnd"/>
      <w:r w:rsidR="006D4BFE" w:rsidRPr="006D4BFE">
        <w:rPr>
          <w:color w:val="4F2D7F"/>
          <w:sz w:val="36"/>
          <w:szCs w:val="36"/>
          <w:lang w:val="mk-MK"/>
        </w:rPr>
        <w:t xml:space="preserve"> </w:t>
      </w:r>
      <w:proofErr w:type="spellStart"/>
      <w:r w:rsidR="006D4BFE" w:rsidRPr="006D4BFE">
        <w:rPr>
          <w:color w:val="4F2D7F"/>
          <w:sz w:val="36"/>
          <w:szCs w:val="36"/>
          <w:lang w:val="mk-MK"/>
        </w:rPr>
        <w:t>of</w:t>
      </w:r>
      <w:proofErr w:type="spellEnd"/>
      <w:r w:rsidR="006D4BFE" w:rsidRPr="006D4BFE">
        <w:rPr>
          <w:color w:val="4F2D7F"/>
          <w:sz w:val="36"/>
          <w:szCs w:val="36"/>
          <w:lang w:val="mk-MK"/>
        </w:rPr>
        <w:t xml:space="preserve"> </w:t>
      </w:r>
      <w:proofErr w:type="spellStart"/>
      <w:r w:rsidR="006D4BFE" w:rsidRPr="006D4BFE">
        <w:rPr>
          <w:color w:val="4F2D7F"/>
          <w:sz w:val="36"/>
          <w:szCs w:val="36"/>
          <w:lang w:val="mk-MK"/>
        </w:rPr>
        <w:t>Comprehensive</w:t>
      </w:r>
      <w:proofErr w:type="spellEnd"/>
      <w:r w:rsidR="006D4BFE" w:rsidRPr="006D4BFE">
        <w:rPr>
          <w:color w:val="4F2D7F"/>
          <w:sz w:val="36"/>
          <w:szCs w:val="36"/>
          <w:lang w:val="mk-MK"/>
        </w:rPr>
        <w:t xml:space="preserve"> </w:t>
      </w:r>
      <w:proofErr w:type="spellStart"/>
      <w:r w:rsidR="006D4BFE" w:rsidRPr="006D4BFE">
        <w:rPr>
          <w:color w:val="4F2D7F"/>
          <w:sz w:val="36"/>
          <w:szCs w:val="36"/>
          <w:lang w:val="mk-MK"/>
        </w:rPr>
        <w:t>Income</w:t>
      </w:r>
      <w:proofErr w:type="spellEnd"/>
    </w:p>
    <w:tbl>
      <w:tblPr>
        <w:tblW w:w="8640" w:type="dxa"/>
        <w:tblInd w:w="28" w:type="dxa"/>
        <w:tblLayout w:type="fixed"/>
        <w:tblLook w:val="01E0" w:firstRow="1" w:lastRow="1" w:firstColumn="1" w:lastColumn="1" w:noHBand="0" w:noVBand="0"/>
      </w:tblPr>
      <w:tblGrid>
        <w:gridCol w:w="4650"/>
        <w:gridCol w:w="992"/>
        <w:gridCol w:w="1519"/>
        <w:gridCol w:w="1479"/>
      </w:tblGrid>
      <w:tr w:rsidR="00A12CF7" w:rsidRPr="001E6526" w14:paraId="4B2F0745" w14:textId="77777777" w:rsidTr="00A504C6">
        <w:trPr>
          <w:trHeight w:val="216"/>
        </w:trPr>
        <w:tc>
          <w:tcPr>
            <w:tcW w:w="4650" w:type="dxa"/>
            <w:shd w:val="clear" w:color="auto" w:fill="auto"/>
            <w:tcMar>
              <w:left w:w="58" w:type="dxa"/>
              <w:right w:w="58" w:type="dxa"/>
            </w:tcMar>
            <w:vAlign w:val="bottom"/>
          </w:tcPr>
          <w:p w14:paraId="7D1970AE" w14:textId="77777777" w:rsidR="00A12CF7" w:rsidRPr="00CE3053" w:rsidRDefault="00A12CF7" w:rsidP="00815E65">
            <w:pPr>
              <w:pStyle w:val="TableText"/>
              <w:rPr>
                <w:rFonts w:ascii="Arial" w:hAnsi="Arial"/>
                <w:sz w:val="18"/>
                <w:lang w:val="mk-MK"/>
              </w:rPr>
            </w:pPr>
          </w:p>
        </w:tc>
        <w:tc>
          <w:tcPr>
            <w:tcW w:w="992" w:type="dxa"/>
            <w:shd w:val="clear" w:color="auto" w:fill="auto"/>
            <w:tcMar>
              <w:left w:w="58" w:type="dxa"/>
              <w:right w:w="58" w:type="dxa"/>
            </w:tcMar>
            <w:vAlign w:val="bottom"/>
          </w:tcPr>
          <w:p w14:paraId="5404D0D3" w14:textId="77777777" w:rsidR="00A12CF7" w:rsidRPr="00CE3053" w:rsidRDefault="00A12CF7" w:rsidP="00815E65">
            <w:pPr>
              <w:pStyle w:val="TableText"/>
              <w:jc w:val="center"/>
              <w:rPr>
                <w:rFonts w:ascii="Arial" w:hAnsi="Arial"/>
                <w:sz w:val="18"/>
                <w:lang w:val="mk-MK"/>
              </w:rPr>
            </w:pPr>
          </w:p>
        </w:tc>
        <w:tc>
          <w:tcPr>
            <w:tcW w:w="2998" w:type="dxa"/>
            <w:gridSpan w:val="2"/>
            <w:shd w:val="clear" w:color="auto" w:fill="auto"/>
            <w:tcMar>
              <w:left w:w="58" w:type="dxa"/>
              <w:right w:w="58" w:type="dxa"/>
            </w:tcMar>
            <w:vAlign w:val="bottom"/>
          </w:tcPr>
          <w:p w14:paraId="57CC142E" w14:textId="3F8A1F63" w:rsidR="00A12CF7" w:rsidRPr="006D4BFE" w:rsidRDefault="006D4BFE" w:rsidP="00815E65">
            <w:pPr>
              <w:pStyle w:val="TableText"/>
              <w:jc w:val="right"/>
              <w:rPr>
                <w:rFonts w:ascii="Arial" w:hAnsi="Arial"/>
                <w:sz w:val="18"/>
                <w:lang w:val="en-US"/>
              </w:rPr>
            </w:pPr>
            <w:r>
              <w:rPr>
                <w:rFonts w:ascii="Arial" w:hAnsi="Arial"/>
                <w:sz w:val="18"/>
                <w:lang w:val="en-US"/>
              </w:rPr>
              <w:t>In</w:t>
            </w:r>
            <w:r w:rsidR="00A12CF7">
              <w:rPr>
                <w:rFonts w:ascii="Arial" w:hAnsi="Arial"/>
                <w:sz w:val="18"/>
                <w:lang w:val="mk-MK"/>
              </w:rPr>
              <w:t xml:space="preserve"> 000 </w:t>
            </w:r>
            <w:r>
              <w:rPr>
                <w:rFonts w:ascii="Arial" w:hAnsi="Arial"/>
                <w:sz w:val="18"/>
                <w:lang w:val="en-US"/>
              </w:rPr>
              <w:t>denars</w:t>
            </w:r>
          </w:p>
        </w:tc>
      </w:tr>
      <w:tr w:rsidR="00A12CF7" w:rsidRPr="001E6526" w14:paraId="4A2898F5" w14:textId="77777777" w:rsidTr="00A504C6">
        <w:trPr>
          <w:trHeight w:val="216"/>
        </w:trPr>
        <w:tc>
          <w:tcPr>
            <w:tcW w:w="4650" w:type="dxa"/>
            <w:shd w:val="clear" w:color="auto" w:fill="auto"/>
            <w:tcMar>
              <w:left w:w="58" w:type="dxa"/>
              <w:right w:w="58" w:type="dxa"/>
            </w:tcMar>
            <w:vAlign w:val="bottom"/>
          </w:tcPr>
          <w:p w14:paraId="4637C973" w14:textId="77777777" w:rsidR="00A12CF7" w:rsidRPr="00CE3053" w:rsidRDefault="00A12CF7" w:rsidP="00815E65">
            <w:pPr>
              <w:pStyle w:val="TableText"/>
              <w:rPr>
                <w:rFonts w:ascii="Arial" w:hAnsi="Arial"/>
                <w:sz w:val="18"/>
                <w:lang w:val="mk-MK"/>
              </w:rPr>
            </w:pPr>
          </w:p>
        </w:tc>
        <w:tc>
          <w:tcPr>
            <w:tcW w:w="992" w:type="dxa"/>
            <w:shd w:val="clear" w:color="auto" w:fill="auto"/>
            <w:tcMar>
              <w:left w:w="58" w:type="dxa"/>
              <w:right w:w="58" w:type="dxa"/>
            </w:tcMar>
            <w:vAlign w:val="bottom"/>
          </w:tcPr>
          <w:p w14:paraId="6538125F" w14:textId="77777777" w:rsidR="00A12CF7" w:rsidRPr="00CE3053" w:rsidRDefault="00A12CF7" w:rsidP="00815E65">
            <w:pPr>
              <w:pStyle w:val="TableText"/>
              <w:jc w:val="center"/>
              <w:rPr>
                <w:rFonts w:ascii="Arial" w:hAnsi="Arial"/>
                <w:sz w:val="18"/>
                <w:lang w:val="mk-MK"/>
              </w:rPr>
            </w:pPr>
          </w:p>
        </w:tc>
        <w:tc>
          <w:tcPr>
            <w:tcW w:w="2998" w:type="dxa"/>
            <w:gridSpan w:val="2"/>
            <w:shd w:val="clear" w:color="auto" w:fill="auto"/>
            <w:tcMar>
              <w:left w:w="58" w:type="dxa"/>
              <w:right w:w="58" w:type="dxa"/>
            </w:tcMar>
            <w:vAlign w:val="bottom"/>
          </w:tcPr>
          <w:p w14:paraId="3325BF4C" w14:textId="3B96B9C4" w:rsidR="00A12CF7" w:rsidRPr="006D4BFE" w:rsidRDefault="006D4BFE" w:rsidP="00815E65">
            <w:pPr>
              <w:pStyle w:val="TableText"/>
              <w:jc w:val="right"/>
              <w:rPr>
                <w:rFonts w:ascii="Arial" w:hAnsi="Arial"/>
                <w:sz w:val="18"/>
                <w:lang w:val="en-US"/>
              </w:rPr>
            </w:pPr>
            <w:r>
              <w:rPr>
                <w:rFonts w:ascii="Arial" w:hAnsi="Arial"/>
                <w:sz w:val="18"/>
                <w:lang w:val="en-US"/>
              </w:rPr>
              <w:t>For the year ended</w:t>
            </w:r>
            <w:r w:rsidR="00A12CF7">
              <w:rPr>
                <w:rFonts w:ascii="Arial" w:hAnsi="Arial"/>
                <w:sz w:val="18"/>
                <w:lang w:val="mk-MK"/>
              </w:rPr>
              <w:t xml:space="preserve"> 31 </w:t>
            </w:r>
            <w:r>
              <w:rPr>
                <w:rFonts w:ascii="Arial" w:hAnsi="Arial"/>
                <w:sz w:val="18"/>
                <w:lang w:val="en-US"/>
              </w:rPr>
              <w:t>December</w:t>
            </w:r>
          </w:p>
        </w:tc>
      </w:tr>
      <w:tr w:rsidR="00815E65" w:rsidRPr="001E6526" w14:paraId="4073DF98" w14:textId="77777777" w:rsidTr="00A504C6">
        <w:trPr>
          <w:trHeight w:val="216"/>
        </w:trPr>
        <w:tc>
          <w:tcPr>
            <w:tcW w:w="4650" w:type="dxa"/>
            <w:shd w:val="clear" w:color="auto" w:fill="auto"/>
            <w:tcMar>
              <w:left w:w="58" w:type="dxa"/>
              <w:right w:w="58" w:type="dxa"/>
            </w:tcMar>
            <w:vAlign w:val="bottom"/>
          </w:tcPr>
          <w:p w14:paraId="57BDB8DA" w14:textId="77777777" w:rsidR="00815E65" w:rsidRPr="00CE3053" w:rsidRDefault="00815E65" w:rsidP="00815E65">
            <w:pPr>
              <w:pStyle w:val="TableText"/>
              <w:rPr>
                <w:rFonts w:ascii="Arial" w:hAnsi="Arial"/>
                <w:sz w:val="18"/>
                <w:lang w:val="mk-MK"/>
              </w:rPr>
            </w:pPr>
          </w:p>
        </w:tc>
        <w:tc>
          <w:tcPr>
            <w:tcW w:w="992" w:type="dxa"/>
            <w:shd w:val="clear" w:color="auto" w:fill="auto"/>
            <w:tcMar>
              <w:left w:w="58" w:type="dxa"/>
              <w:right w:w="58" w:type="dxa"/>
            </w:tcMar>
            <w:vAlign w:val="bottom"/>
          </w:tcPr>
          <w:p w14:paraId="246978AF" w14:textId="77777777" w:rsidR="00815E65" w:rsidRPr="00CE3053" w:rsidRDefault="00815E65" w:rsidP="00815E65">
            <w:pPr>
              <w:pStyle w:val="TableText"/>
              <w:jc w:val="center"/>
              <w:rPr>
                <w:rFonts w:ascii="Arial" w:hAnsi="Arial"/>
                <w:sz w:val="18"/>
                <w:lang w:val="mk-MK"/>
              </w:rPr>
            </w:pPr>
          </w:p>
        </w:tc>
        <w:tc>
          <w:tcPr>
            <w:tcW w:w="2998" w:type="dxa"/>
            <w:gridSpan w:val="2"/>
            <w:shd w:val="clear" w:color="auto" w:fill="auto"/>
            <w:tcMar>
              <w:left w:w="58" w:type="dxa"/>
              <w:right w:w="58" w:type="dxa"/>
            </w:tcMar>
            <w:vAlign w:val="bottom"/>
          </w:tcPr>
          <w:p w14:paraId="7D47A437" w14:textId="77777777" w:rsidR="00815E65" w:rsidRPr="00CE3053" w:rsidRDefault="00815E65" w:rsidP="00815E65">
            <w:pPr>
              <w:pStyle w:val="TableText"/>
              <w:jc w:val="right"/>
              <w:rPr>
                <w:rFonts w:ascii="Arial" w:hAnsi="Arial"/>
                <w:sz w:val="18"/>
                <w:lang w:val="mk-MK"/>
              </w:rPr>
            </w:pPr>
          </w:p>
        </w:tc>
      </w:tr>
      <w:tr w:rsidR="00B4771B" w:rsidRPr="001E6526" w14:paraId="0EA48583" w14:textId="77777777" w:rsidTr="00A504C6">
        <w:trPr>
          <w:trHeight w:val="216"/>
        </w:trPr>
        <w:tc>
          <w:tcPr>
            <w:tcW w:w="4650" w:type="dxa"/>
            <w:shd w:val="clear" w:color="auto" w:fill="auto"/>
            <w:tcMar>
              <w:left w:w="58" w:type="dxa"/>
              <w:right w:w="58" w:type="dxa"/>
            </w:tcMar>
            <w:vAlign w:val="bottom"/>
          </w:tcPr>
          <w:p w14:paraId="3855AFBF" w14:textId="77777777" w:rsidR="00B4771B" w:rsidRPr="00CE3053" w:rsidRDefault="00B4771B" w:rsidP="00B4771B">
            <w:pPr>
              <w:pStyle w:val="TableText"/>
              <w:rPr>
                <w:rFonts w:ascii="Arial" w:hAnsi="Arial"/>
                <w:sz w:val="18"/>
                <w:lang w:val="mk-MK"/>
              </w:rPr>
            </w:pPr>
          </w:p>
        </w:tc>
        <w:tc>
          <w:tcPr>
            <w:tcW w:w="992" w:type="dxa"/>
            <w:shd w:val="clear" w:color="auto" w:fill="auto"/>
            <w:tcMar>
              <w:left w:w="58" w:type="dxa"/>
              <w:right w:w="58" w:type="dxa"/>
            </w:tcMar>
            <w:vAlign w:val="bottom"/>
          </w:tcPr>
          <w:p w14:paraId="4A4410F2" w14:textId="6B3C6639" w:rsidR="00B4771B" w:rsidRPr="006D4BFE" w:rsidRDefault="006D4BFE" w:rsidP="00B4771B">
            <w:pPr>
              <w:pStyle w:val="TableText"/>
              <w:jc w:val="center"/>
              <w:rPr>
                <w:rFonts w:ascii="Arial" w:hAnsi="Arial"/>
                <w:sz w:val="18"/>
                <w:lang w:val="en-US"/>
              </w:rPr>
            </w:pPr>
            <w:r>
              <w:rPr>
                <w:rFonts w:ascii="Arial" w:hAnsi="Arial"/>
                <w:sz w:val="18"/>
                <w:lang w:val="en-US"/>
              </w:rPr>
              <w:t>Notes</w:t>
            </w:r>
          </w:p>
        </w:tc>
        <w:tc>
          <w:tcPr>
            <w:tcW w:w="1519" w:type="dxa"/>
            <w:shd w:val="clear" w:color="auto" w:fill="auto"/>
            <w:tcMar>
              <w:left w:w="58" w:type="dxa"/>
              <w:right w:w="58" w:type="dxa"/>
            </w:tcMar>
            <w:vAlign w:val="bottom"/>
          </w:tcPr>
          <w:p w14:paraId="304AF699" w14:textId="483BB316" w:rsidR="00B4771B" w:rsidRPr="00CE3053" w:rsidRDefault="00B4771B" w:rsidP="00B4771B">
            <w:pPr>
              <w:pStyle w:val="TableText"/>
              <w:jc w:val="right"/>
              <w:rPr>
                <w:rFonts w:ascii="Arial" w:hAnsi="Arial"/>
                <w:sz w:val="18"/>
                <w:lang w:val="mk-MK"/>
              </w:rPr>
            </w:pPr>
            <w:r w:rsidRPr="00CE3053">
              <w:rPr>
                <w:rFonts w:ascii="Arial" w:hAnsi="Arial"/>
                <w:sz w:val="18"/>
                <w:lang w:val="mk-MK"/>
              </w:rPr>
              <w:t>202</w:t>
            </w:r>
            <w:r w:rsidRPr="001E6526">
              <w:rPr>
                <w:rFonts w:ascii="Arial" w:hAnsi="Arial"/>
                <w:sz w:val="18"/>
                <w:lang w:val="mk-MK"/>
              </w:rPr>
              <w:t>1</w:t>
            </w:r>
          </w:p>
        </w:tc>
        <w:tc>
          <w:tcPr>
            <w:tcW w:w="1479" w:type="dxa"/>
            <w:shd w:val="clear" w:color="auto" w:fill="auto"/>
            <w:tcMar>
              <w:left w:w="58" w:type="dxa"/>
              <w:right w:w="58" w:type="dxa"/>
            </w:tcMar>
            <w:vAlign w:val="bottom"/>
          </w:tcPr>
          <w:p w14:paraId="46E30786" w14:textId="4840B1BA" w:rsidR="00B4771B" w:rsidRPr="00CE3053" w:rsidRDefault="00B4771B" w:rsidP="00B4771B">
            <w:pPr>
              <w:pStyle w:val="TableText"/>
              <w:jc w:val="right"/>
              <w:rPr>
                <w:rFonts w:ascii="Arial" w:hAnsi="Arial"/>
                <w:sz w:val="18"/>
                <w:lang w:val="mk-MK"/>
              </w:rPr>
            </w:pPr>
            <w:r w:rsidRPr="00CE3053">
              <w:rPr>
                <w:rFonts w:ascii="Arial" w:hAnsi="Arial"/>
                <w:sz w:val="18"/>
                <w:lang w:val="mk-MK"/>
              </w:rPr>
              <w:t>2020</w:t>
            </w:r>
          </w:p>
        </w:tc>
      </w:tr>
      <w:tr w:rsidR="00B4771B" w:rsidRPr="001E6526" w14:paraId="522DF22A" w14:textId="77777777" w:rsidTr="00A504C6">
        <w:trPr>
          <w:trHeight w:val="216"/>
        </w:trPr>
        <w:tc>
          <w:tcPr>
            <w:tcW w:w="4650" w:type="dxa"/>
            <w:shd w:val="clear" w:color="auto" w:fill="auto"/>
            <w:tcMar>
              <w:left w:w="58" w:type="dxa"/>
              <w:right w:w="58" w:type="dxa"/>
            </w:tcMar>
            <w:vAlign w:val="bottom"/>
          </w:tcPr>
          <w:p w14:paraId="58A2A04C" w14:textId="77777777" w:rsidR="00B4771B" w:rsidRPr="00CE3053" w:rsidRDefault="00B4771B" w:rsidP="00B4771B">
            <w:pPr>
              <w:pStyle w:val="TableText"/>
              <w:rPr>
                <w:rFonts w:ascii="Arial" w:hAnsi="Arial"/>
                <w:sz w:val="18"/>
                <w:lang w:val="mk-MK"/>
              </w:rPr>
            </w:pPr>
          </w:p>
        </w:tc>
        <w:tc>
          <w:tcPr>
            <w:tcW w:w="992" w:type="dxa"/>
            <w:shd w:val="clear" w:color="auto" w:fill="auto"/>
            <w:tcMar>
              <w:left w:w="58" w:type="dxa"/>
              <w:right w:w="58" w:type="dxa"/>
            </w:tcMar>
            <w:vAlign w:val="bottom"/>
          </w:tcPr>
          <w:p w14:paraId="71EC55CE" w14:textId="77777777" w:rsidR="00B4771B" w:rsidRPr="00CE3053" w:rsidRDefault="00B4771B" w:rsidP="00B4771B">
            <w:pPr>
              <w:pStyle w:val="TableText"/>
              <w:jc w:val="center"/>
              <w:rPr>
                <w:rFonts w:ascii="Arial" w:hAnsi="Arial"/>
                <w:sz w:val="18"/>
                <w:lang w:val="mk-MK"/>
              </w:rPr>
            </w:pPr>
          </w:p>
        </w:tc>
        <w:tc>
          <w:tcPr>
            <w:tcW w:w="1519" w:type="dxa"/>
            <w:shd w:val="clear" w:color="auto" w:fill="auto"/>
            <w:tcMar>
              <w:left w:w="58" w:type="dxa"/>
              <w:right w:w="58" w:type="dxa"/>
            </w:tcMar>
            <w:vAlign w:val="bottom"/>
          </w:tcPr>
          <w:p w14:paraId="12A4A3A5" w14:textId="77777777" w:rsidR="00B4771B" w:rsidRPr="00CE3053" w:rsidRDefault="00B4771B" w:rsidP="00B4771B">
            <w:pPr>
              <w:pStyle w:val="TableText"/>
              <w:jc w:val="right"/>
              <w:rPr>
                <w:rFonts w:ascii="Arial" w:hAnsi="Arial"/>
                <w:sz w:val="18"/>
                <w:lang w:val="mk-MK"/>
              </w:rPr>
            </w:pPr>
          </w:p>
        </w:tc>
        <w:tc>
          <w:tcPr>
            <w:tcW w:w="1479" w:type="dxa"/>
            <w:shd w:val="clear" w:color="auto" w:fill="auto"/>
            <w:tcMar>
              <w:left w:w="58" w:type="dxa"/>
              <w:right w:w="58" w:type="dxa"/>
            </w:tcMar>
            <w:vAlign w:val="bottom"/>
          </w:tcPr>
          <w:p w14:paraId="5126A252" w14:textId="77777777" w:rsidR="00B4771B" w:rsidRPr="00CE3053" w:rsidRDefault="00B4771B" w:rsidP="00B4771B">
            <w:pPr>
              <w:pStyle w:val="TableText"/>
              <w:jc w:val="right"/>
              <w:rPr>
                <w:rFonts w:ascii="Arial" w:hAnsi="Arial"/>
                <w:sz w:val="18"/>
                <w:lang w:val="mk-MK"/>
              </w:rPr>
            </w:pPr>
          </w:p>
        </w:tc>
      </w:tr>
      <w:tr w:rsidR="00B4771B" w:rsidRPr="001E6526" w14:paraId="37820285" w14:textId="77777777" w:rsidTr="00A504C6">
        <w:trPr>
          <w:trHeight w:val="216"/>
        </w:trPr>
        <w:tc>
          <w:tcPr>
            <w:tcW w:w="4650" w:type="dxa"/>
            <w:shd w:val="clear" w:color="auto" w:fill="auto"/>
            <w:tcMar>
              <w:left w:w="58" w:type="dxa"/>
              <w:right w:w="58" w:type="dxa"/>
            </w:tcMar>
            <w:vAlign w:val="center"/>
          </w:tcPr>
          <w:p w14:paraId="47B00EF2" w14:textId="32F0FC8F" w:rsidR="00B4771B" w:rsidRPr="006D4BFE" w:rsidRDefault="006D4BFE" w:rsidP="00B4771B">
            <w:pPr>
              <w:spacing w:after="0"/>
              <w:rPr>
                <w:rFonts w:ascii="Arial" w:hAnsi="Arial" w:cs="Arial"/>
                <w:color w:val="000000"/>
              </w:rPr>
            </w:pPr>
            <w:r>
              <w:rPr>
                <w:rFonts w:ascii="Arial" w:hAnsi="Arial" w:cs="Arial"/>
                <w:color w:val="000000"/>
              </w:rPr>
              <w:t>Interest Income</w:t>
            </w:r>
          </w:p>
        </w:tc>
        <w:tc>
          <w:tcPr>
            <w:tcW w:w="992" w:type="dxa"/>
            <w:shd w:val="clear" w:color="auto" w:fill="auto"/>
            <w:tcMar>
              <w:left w:w="58" w:type="dxa"/>
              <w:right w:w="58" w:type="dxa"/>
            </w:tcMar>
            <w:vAlign w:val="center"/>
          </w:tcPr>
          <w:p w14:paraId="483A4403" w14:textId="77777777" w:rsidR="00B4771B" w:rsidRPr="001E6526" w:rsidRDefault="00B4771B" w:rsidP="00B4771B">
            <w:pPr>
              <w:spacing w:after="0"/>
              <w:jc w:val="center"/>
              <w:rPr>
                <w:rFonts w:ascii="Arial" w:hAnsi="Arial" w:cs="Arial"/>
                <w:lang w:val="mk-MK"/>
              </w:rPr>
            </w:pPr>
            <w:r w:rsidRPr="001E6526">
              <w:rPr>
                <w:rFonts w:ascii="Arial" w:hAnsi="Arial" w:cs="Arial"/>
                <w:lang w:val="mk-MK"/>
              </w:rPr>
              <w:t>6</w:t>
            </w:r>
          </w:p>
        </w:tc>
        <w:tc>
          <w:tcPr>
            <w:tcW w:w="1519" w:type="dxa"/>
            <w:shd w:val="clear" w:color="auto" w:fill="auto"/>
            <w:tcMar>
              <w:left w:w="58" w:type="dxa"/>
              <w:right w:w="58" w:type="dxa"/>
            </w:tcMar>
            <w:vAlign w:val="bottom"/>
          </w:tcPr>
          <w:p w14:paraId="7E5008B8" w14:textId="0114805E" w:rsidR="00B4771B" w:rsidRPr="00CE3053" w:rsidRDefault="00B4771B" w:rsidP="00B4771B">
            <w:pPr>
              <w:spacing w:after="0"/>
              <w:jc w:val="right"/>
              <w:rPr>
                <w:rFonts w:ascii="Arial" w:hAnsi="Arial" w:cs="Arial"/>
                <w:color w:val="000000"/>
                <w:lang w:val="mk-MK"/>
              </w:rPr>
            </w:pPr>
            <w:r w:rsidRPr="001E6526">
              <w:rPr>
                <w:rFonts w:ascii="Arial" w:hAnsi="Arial" w:cs="Arial"/>
                <w:color w:val="000000"/>
                <w:lang w:val="mk-MK"/>
              </w:rPr>
              <w:t>62</w:t>
            </w:r>
            <w:r w:rsidRPr="00CE3053">
              <w:rPr>
                <w:rFonts w:ascii="Arial" w:hAnsi="Arial" w:cs="Arial"/>
                <w:color w:val="000000"/>
                <w:lang w:val="mk-MK"/>
              </w:rPr>
              <w:t>,</w:t>
            </w:r>
            <w:r w:rsidRPr="001E6526">
              <w:rPr>
                <w:rFonts w:ascii="Arial" w:hAnsi="Arial" w:cs="Arial"/>
                <w:color w:val="000000"/>
                <w:lang w:val="mk-MK"/>
              </w:rPr>
              <w:t>679</w:t>
            </w:r>
          </w:p>
        </w:tc>
        <w:tc>
          <w:tcPr>
            <w:tcW w:w="1479" w:type="dxa"/>
            <w:shd w:val="clear" w:color="auto" w:fill="auto"/>
            <w:tcMar>
              <w:left w:w="58" w:type="dxa"/>
              <w:right w:w="58" w:type="dxa"/>
            </w:tcMar>
            <w:vAlign w:val="bottom"/>
          </w:tcPr>
          <w:p w14:paraId="5F6B6EAE" w14:textId="0E7FD6B8" w:rsidR="00B4771B" w:rsidRPr="00CE3053" w:rsidRDefault="00B4771B" w:rsidP="00B4771B">
            <w:pPr>
              <w:spacing w:after="0"/>
              <w:jc w:val="right"/>
              <w:rPr>
                <w:rFonts w:ascii="Arial" w:hAnsi="Arial" w:cs="Arial"/>
                <w:color w:val="000000"/>
                <w:lang w:val="mk-MK"/>
              </w:rPr>
            </w:pPr>
            <w:r w:rsidRPr="00CE3053">
              <w:rPr>
                <w:rFonts w:ascii="Arial" w:hAnsi="Arial" w:cs="Arial"/>
                <w:color w:val="000000"/>
                <w:lang w:val="mk-MK"/>
              </w:rPr>
              <w:t>95,5</w:t>
            </w:r>
            <w:r w:rsidRPr="001E6526">
              <w:rPr>
                <w:rFonts w:ascii="Arial" w:hAnsi="Arial" w:cs="Arial"/>
                <w:color w:val="000000"/>
                <w:lang w:val="mk-MK"/>
              </w:rPr>
              <w:t>22</w:t>
            </w:r>
          </w:p>
        </w:tc>
      </w:tr>
      <w:tr w:rsidR="00B4771B" w:rsidRPr="001E6526" w14:paraId="0AF478C0" w14:textId="77777777" w:rsidTr="00A504C6">
        <w:trPr>
          <w:trHeight w:val="216"/>
        </w:trPr>
        <w:tc>
          <w:tcPr>
            <w:tcW w:w="4650" w:type="dxa"/>
            <w:tcBorders>
              <w:top w:val="single" w:sz="4" w:space="0" w:color="auto"/>
            </w:tcBorders>
            <w:shd w:val="clear" w:color="auto" w:fill="auto"/>
            <w:tcMar>
              <w:left w:w="58" w:type="dxa"/>
              <w:right w:w="58" w:type="dxa"/>
            </w:tcMar>
            <w:vAlign w:val="center"/>
          </w:tcPr>
          <w:p w14:paraId="11A78515" w14:textId="77777777" w:rsidR="00B4771B" w:rsidRPr="00CE3053" w:rsidRDefault="00B4771B" w:rsidP="00B4771B">
            <w:pPr>
              <w:pStyle w:val="TableText"/>
              <w:spacing w:after="0"/>
              <w:rPr>
                <w:rFonts w:ascii="Arial" w:hAnsi="Arial"/>
                <w:color w:val="000000"/>
                <w:sz w:val="18"/>
                <w:lang w:val="mk-MK"/>
              </w:rPr>
            </w:pPr>
            <w:r w:rsidRPr="00CE3053">
              <w:rPr>
                <w:rFonts w:ascii="Arial" w:hAnsi="Arial"/>
                <w:b/>
                <w:sz w:val="18"/>
                <w:lang w:val="mk-MK"/>
              </w:rPr>
              <w:t xml:space="preserve"> </w:t>
            </w:r>
          </w:p>
        </w:tc>
        <w:tc>
          <w:tcPr>
            <w:tcW w:w="992" w:type="dxa"/>
            <w:tcBorders>
              <w:top w:val="single" w:sz="4" w:space="0" w:color="auto"/>
            </w:tcBorders>
            <w:shd w:val="clear" w:color="auto" w:fill="auto"/>
            <w:tcMar>
              <w:left w:w="58" w:type="dxa"/>
              <w:right w:w="58" w:type="dxa"/>
            </w:tcMar>
            <w:vAlign w:val="center"/>
          </w:tcPr>
          <w:p w14:paraId="62A92528" w14:textId="77777777" w:rsidR="00B4771B" w:rsidRPr="00CE3053" w:rsidRDefault="00B4771B" w:rsidP="00B4771B">
            <w:pPr>
              <w:spacing w:after="0"/>
              <w:jc w:val="center"/>
              <w:rPr>
                <w:rFonts w:ascii="Arial" w:hAnsi="Arial" w:cs="Arial"/>
                <w:color w:val="FF0000"/>
                <w:lang w:val="mk-MK"/>
              </w:rPr>
            </w:pPr>
          </w:p>
        </w:tc>
        <w:tc>
          <w:tcPr>
            <w:tcW w:w="1519" w:type="dxa"/>
            <w:tcBorders>
              <w:top w:val="single" w:sz="4" w:space="0" w:color="auto"/>
            </w:tcBorders>
            <w:shd w:val="clear" w:color="auto" w:fill="auto"/>
            <w:tcMar>
              <w:left w:w="58" w:type="dxa"/>
              <w:right w:w="58" w:type="dxa"/>
            </w:tcMar>
            <w:vAlign w:val="bottom"/>
          </w:tcPr>
          <w:p w14:paraId="0E036805" w14:textId="77B495BB" w:rsidR="00B4771B" w:rsidRPr="00CE3053" w:rsidRDefault="00B4771B" w:rsidP="00B4771B">
            <w:pPr>
              <w:spacing w:after="0"/>
              <w:jc w:val="right"/>
              <w:rPr>
                <w:rFonts w:ascii="Arial" w:hAnsi="Arial" w:cs="Arial"/>
                <w:b/>
                <w:bCs/>
                <w:color w:val="000000"/>
                <w:lang w:val="mk-MK"/>
              </w:rPr>
            </w:pPr>
            <w:r w:rsidRPr="001E6526">
              <w:rPr>
                <w:rFonts w:ascii="Arial" w:hAnsi="Arial" w:cs="Arial"/>
                <w:b/>
                <w:bCs/>
                <w:color w:val="000000"/>
                <w:lang w:val="mk-MK"/>
              </w:rPr>
              <w:t>62</w:t>
            </w:r>
            <w:r w:rsidRPr="00CE3053">
              <w:rPr>
                <w:rFonts w:ascii="Arial" w:hAnsi="Arial" w:cs="Arial"/>
                <w:b/>
                <w:bCs/>
                <w:color w:val="000000"/>
                <w:lang w:val="mk-MK"/>
              </w:rPr>
              <w:t>,</w:t>
            </w:r>
            <w:r w:rsidRPr="001E6526">
              <w:rPr>
                <w:rFonts w:ascii="Arial" w:hAnsi="Arial" w:cs="Arial"/>
                <w:b/>
                <w:bCs/>
                <w:color w:val="000000"/>
                <w:lang w:val="mk-MK"/>
              </w:rPr>
              <w:t>679</w:t>
            </w:r>
          </w:p>
        </w:tc>
        <w:tc>
          <w:tcPr>
            <w:tcW w:w="1479" w:type="dxa"/>
            <w:tcBorders>
              <w:top w:val="single" w:sz="4" w:space="0" w:color="auto"/>
            </w:tcBorders>
            <w:shd w:val="clear" w:color="auto" w:fill="auto"/>
            <w:tcMar>
              <w:left w:w="58" w:type="dxa"/>
              <w:right w:w="58" w:type="dxa"/>
            </w:tcMar>
            <w:vAlign w:val="bottom"/>
          </w:tcPr>
          <w:p w14:paraId="33BA3E4A" w14:textId="6269F937" w:rsidR="00B4771B" w:rsidRPr="00CE3053" w:rsidRDefault="00B4771B" w:rsidP="00B4771B">
            <w:pPr>
              <w:spacing w:after="0"/>
              <w:jc w:val="right"/>
              <w:rPr>
                <w:rFonts w:ascii="Arial" w:hAnsi="Arial" w:cs="Arial"/>
                <w:b/>
                <w:bCs/>
                <w:color w:val="000000"/>
                <w:lang w:val="mk-MK"/>
              </w:rPr>
            </w:pPr>
            <w:r w:rsidRPr="00CE3053">
              <w:rPr>
                <w:rFonts w:ascii="Arial" w:hAnsi="Arial" w:cs="Arial"/>
                <w:b/>
                <w:bCs/>
                <w:color w:val="000000"/>
                <w:lang w:val="mk-MK"/>
              </w:rPr>
              <w:t>95,5</w:t>
            </w:r>
            <w:r w:rsidRPr="001E6526">
              <w:rPr>
                <w:rFonts w:ascii="Arial" w:hAnsi="Arial" w:cs="Arial"/>
                <w:b/>
                <w:bCs/>
                <w:color w:val="000000"/>
                <w:lang w:val="mk-MK"/>
              </w:rPr>
              <w:t>22</w:t>
            </w:r>
          </w:p>
        </w:tc>
      </w:tr>
      <w:tr w:rsidR="00B4771B" w:rsidRPr="001E6526" w14:paraId="5664C8BF" w14:textId="77777777" w:rsidTr="00A504C6">
        <w:trPr>
          <w:trHeight w:val="216"/>
        </w:trPr>
        <w:tc>
          <w:tcPr>
            <w:tcW w:w="4650" w:type="dxa"/>
            <w:shd w:val="clear" w:color="auto" w:fill="auto"/>
            <w:tcMar>
              <w:left w:w="58" w:type="dxa"/>
              <w:right w:w="58" w:type="dxa"/>
            </w:tcMar>
            <w:vAlign w:val="bottom"/>
          </w:tcPr>
          <w:p w14:paraId="5FC90563" w14:textId="77777777" w:rsidR="00B4771B" w:rsidRPr="00CE3053" w:rsidRDefault="00B4771B" w:rsidP="00B4771B">
            <w:pPr>
              <w:pStyle w:val="TableText"/>
              <w:spacing w:after="0"/>
              <w:rPr>
                <w:rFonts w:ascii="Arial" w:hAnsi="Arial"/>
                <w:sz w:val="18"/>
                <w:lang w:val="mk-MK"/>
              </w:rPr>
            </w:pPr>
          </w:p>
        </w:tc>
        <w:tc>
          <w:tcPr>
            <w:tcW w:w="992" w:type="dxa"/>
            <w:shd w:val="clear" w:color="auto" w:fill="auto"/>
            <w:tcMar>
              <w:left w:w="58" w:type="dxa"/>
              <w:right w:w="58" w:type="dxa"/>
            </w:tcMar>
            <w:vAlign w:val="bottom"/>
          </w:tcPr>
          <w:p w14:paraId="3DE0842D" w14:textId="77777777" w:rsidR="00B4771B" w:rsidRPr="00CE3053" w:rsidRDefault="00B4771B" w:rsidP="00B4771B">
            <w:pPr>
              <w:pStyle w:val="TableText"/>
              <w:spacing w:after="0"/>
              <w:jc w:val="center"/>
              <w:rPr>
                <w:rFonts w:ascii="Arial" w:hAnsi="Arial"/>
                <w:color w:val="FF0000"/>
                <w:sz w:val="18"/>
                <w:lang w:val="mk-MK"/>
              </w:rPr>
            </w:pPr>
          </w:p>
        </w:tc>
        <w:tc>
          <w:tcPr>
            <w:tcW w:w="1519" w:type="dxa"/>
            <w:shd w:val="clear" w:color="auto" w:fill="auto"/>
            <w:tcMar>
              <w:left w:w="58" w:type="dxa"/>
              <w:right w:w="58" w:type="dxa"/>
            </w:tcMar>
            <w:vAlign w:val="bottom"/>
          </w:tcPr>
          <w:p w14:paraId="693B8AB0" w14:textId="77777777" w:rsidR="00B4771B" w:rsidRPr="00CE3053" w:rsidRDefault="00B4771B" w:rsidP="00B4771B">
            <w:pPr>
              <w:pStyle w:val="TableText"/>
              <w:spacing w:after="0"/>
              <w:jc w:val="right"/>
              <w:rPr>
                <w:rFonts w:ascii="Arial" w:hAnsi="Arial"/>
                <w:sz w:val="18"/>
                <w:lang w:val="mk-MK"/>
              </w:rPr>
            </w:pPr>
          </w:p>
        </w:tc>
        <w:tc>
          <w:tcPr>
            <w:tcW w:w="1479" w:type="dxa"/>
            <w:shd w:val="clear" w:color="auto" w:fill="auto"/>
            <w:tcMar>
              <w:left w:w="58" w:type="dxa"/>
              <w:right w:w="58" w:type="dxa"/>
            </w:tcMar>
            <w:vAlign w:val="bottom"/>
          </w:tcPr>
          <w:p w14:paraId="2C4461B3" w14:textId="77777777" w:rsidR="00B4771B" w:rsidRPr="00CE3053" w:rsidRDefault="00B4771B" w:rsidP="00B4771B">
            <w:pPr>
              <w:pStyle w:val="TableText"/>
              <w:spacing w:after="0"/>
              <w:jc w:val="right"/>
              <w:rPr>
                <w:rFonts w:ascii="Arial" w:hAnsi="Arial"/>
                <w:sz w:val="18"/>
                <w:lang w:val="mk-MK"/>
              </w:rPr>
            </w:pPr>
          </w:p>
        </w:tc>
      </w:tr>
      <w:tr w:rsidR="00B4771B" w:rsidRPr="001E6526" w14:paraId="352264C6" w14:textId="77777777" w:rsidTr="00A504C6">
        <w:trPr>
          <w:trHeight w:val="216"/>
        </w:trPr>
        <w:tc>
          <w:tcPr>
            <w:tcW w:w="4650" w:type="dxa"/>
            <w:shd w:val="clear" w:color="auto" w:fill="auto"/>
            <w:tcMar>
              <w:left w:w="58" w:type="dxa"/>
              <w:right w:w="58" w:type="dxa"/>
            </w:tcMar>
            <w:vAlign w:val="bottom"/>
          </w:tcPr>
          <w:p w14:paraId="7376347B" w14:textId="26EBE298" w:rsidR="00B4771B" w:rsidRPr="006D4BFE" w:rsidRDefault="002278BC" w:rsidP="00B4771B">
            <w:pPr>
              <w:pStyle w:val="TableText"/>
              <w:spacing w:after="0"/>
              <w:rPr>
                <w:rFonts w:ascii="Arial" w:hAnsi="Arial"/>
                <w:bCs/>
                <w:sz w:val="18"/>
                <w:lang w:val="en-US"/>
              </w:rPr>
            </w:pPr>
            <w:r>
              <w:rPr>
                <w:rFonts w:ascii="Arial" w:hAnsi="Arial"/>
                <w:bCs/>
                <w:sz w:val="18"/>
                <w:lang w:val="en-US"/>
              </w:rPr>
              <w:t>Employee expenses</w:t>
            </w:r>
          </w:p>
        </w:tc>
        <w:tc>
          <w:tcPr>
            <w:tcW w:w="992" w:type="dxa"/>
            <w:shd w:val="clear" w:color="auto" w:fill="auto"/>
            <w:tcMar>
              <w:left w:w="58" w:type="dxa"/>
              <w:right w:w="58" w:type="dxa"/>
            </w:tcMar>
            <w:vAlign w:val="bottom"/>
          </w:tcPr>
          <w:p w14:paraId="18C83E82" w14:textId="77777777" w:rsidR="00B4771B" w:rsidRPr="001E6526" w:rsidRDefault="00B4771B" w:rsidP="00B4771B">
            <w:pPr>
              <w:pStyle w:val="TableText"/>
              <w:spacing w:after="0"/>
              <w:jc w:val="center"/>
              <w:rPr>
                <w:rFonts w:ascii="Arial" w:hAnsi="Arial"/>
                <w:sz w:val="18"/>
                <w:lang w:val="mk-MK"/>
              </w:rPr>
            </w:pPr>
            <w:r w:rsidRPr="001E6526">
              <w:rPr>
                <w:rFonts w:ascii="Arial" w:hAnsi="Arial"/>
                <w:sz w:val="18"/>
                <w:lang w:val="mk-MK"/>
              </w:rPr>
              <w:t>7</w:t>
            </w:r>
          </w:p>
        </w:tc>
        <w:tc>
          <w:tcPr>
            <w:tcW w:w="1519" w:type="dxa"/>
            <w:shd w:val="clear" w:color="auto" w:fill="auto"/>
            <w:tcMar>
              <w:left w:w="58" w:type="dxa"/>
              <w:right w:w="58" w:type="dxa"/>
            </w:tcMar>
            <w:vAlign w:val="bottom"/>
          </w:tcPr>
          <w:p w14:paraId="5512C363" w14:textId="127AA12E" w:rsidR="00B4771B" w:rsidRPr="00CE3053" w:rsidRDefault="00B4771B" w:rsidP="00B4771B">
            <w:pPr>
              <w:spacing w:after="0"/>
              <w:jc w:val="right"/>
              <w:rPr>
                <w:rFonts w:ascii="Arial" w:hAnsi="Arial" w:cs="Arial"/>
                <w:color w:val="000000"/>
                <w:lang w:val="mk-MK"/>
              </w:rPr>
            </w:pPr>
            <w:r w:rsidRPr="00CE3053">
              <w:rPr>
                <w:rFonts w:ascii="Arial" w:hAnsi="Arial" w:cs="Arial"/>
                <w:color w:val="000000"/>
                <w:lang w:val="mk-MK"/>
              </w:rPr>
              <w:t>(</w:t>
            </w:r>
            <w:r w:rsidR="0035609E" w:rsidRPr="001E6526">
              <w:rPr>
                <w:rFonts w:ascii="Arial" w:hAnsi="Arial" w:cs="Arial"/>
                <w:color w:val="000000"/>
                <w:lang w:val="mk-MK"/>
              </w:rPr>
              <w:t>11</w:t>
            </w:r>
            <w:r w:rsidRPr="00CE3053">
              <w:rPr>
                <w:rFonts w:ascii="Arial" w:hAnsi="Arial" w:cs="Arial"/>
                <w:color w:val="000000"/>
                <w:lang w:val="mk-MK"/>
              </w:rPr>
              <w:t>,</w:t>
            </w:r>
            <w:r w:rsidR="0035609E" w:rsidRPr="001E6526">
              <w:rPr>
                <w:rFonts w:ascii="Arial" w:hAnsi="Arial" w:cs="Arial"/>
                <w:color w:val="000000"/>
                <w:lang w:val="mk-MK"/>
              </w:rPr>
              <w:t>40</w:t>
            </w:r>
            <w:r w:rsidR="00D562FD" w:rsidRPr="00CE3053">
              <w:rPr>
                <w:rFonts w:ascii="Arial" w:hAnsi="Arial" w:cs="Arial"/>
                <w:color w:val="000000"/>
                <w:lang w:val="mk-MK"/>
              </w:rPr>
              <w:t>5</w:t>
            </w:r>
            <w:r w:rsidRPr="00CE3053">
              <w:rPr>
                <w:rFonts w:ascii="Arial" w:hAnsi="Arial" w:cs="Arial"/>
                <w:color w:val="000000"/>
                <w:lang w:val="mk-MK"/>
              </w:rPr>
              <w:t>)</w:t>
            </w:r>
          </w:p>
        </w:tc>
        <w:tc>
          <w:tcPr>
            <w:tcW w:w="1479" w:type="dxa"/>
            <w:shd w:val="clear" w:color="auto" w:fill="auto"/>
            <w:tcMar>
              <w:left w:w="58" w:type="dxa"/>
              <w:right w:w="58" w:type="dxa"/>
            </w:tcMar>
            <w:vAlign w:val="bottom"/>
          </w:tcPr>
          <w:p w14:paraId="4BDE95B7" w14:textId="5F3A4413" w:rsidR="00B4771B" w:rsidRPr="00CE3053" w:rsidRDefault="00B4771B" w:rsidP="00B4771B">
            <w:pPr>
              <w:spacing w:after="0"/>
              <w:jc w:val="right"/>
              <w:rPr>
                <w:rFonts w:ascii="Arial" w:hAnsi="Arial" w:cs="Arial"/>
                <w:color w:val="000000"/>
                <w:lang w:val="mk-MK"/>
              </w:rPr>
            </w:pPr>
            <w:r w:rsidRPr="00CE3053">
              <w:rPr>
                <w:rFonts w:ascii="Arial" w:hAnsi="Arial" w:cs="Arial"/>
                <w:color w:val="000000"/>
                <w:lang w:val="mk-MK"/>
              </w:rPr>
              <w:t>(10,602)</w:t>
            </w:r>
          </w:p>
        </w:tc>
      </w:tr>
      <w:tr w:rsidR="00B4771B" w:rsidRPr="001E6526" w14:paraId="4042B0D7" w14:textId="77777777" w:rsidTr="00A504C6">
        <w:trPr>
          <w:trHeight w:val="216"/>
        </w:trPr>
        <w:tc>
          <w:tcPr>
            <w:tcW w:w="4650" w:type="dxa"/>
            <w:shd w:val="clear" w:color="auto" w:fill="auto"/>
            <w:tcMar>
              <w:left w:w="58" w:type="dxa"/>
              <w:right w:w="58" w:type="dxa"/>
            </w:tcMar>
            <w:vAlign w:val="bottom"/>
          </w:tcPr>
          <w:p w14:paraId="0380CADD" w14:textId="47ED0704" w:rsidR="00B4771B" w:rsidRPr="006D4BFE" w:rsidRDefault="006D4BFE" w:rsidP="00B4771B">
            <w:pPr>
              <w:pStyle w:val="TableText"/>
              <w:spacing w:after="0"/>
              <w:rPr>
                <w:rFonts w:ascii="Arial" w:hAnsi="Arial"/>
                <w:bCs/>
                <w:sz w:val="18"/>
                <w:lang w:val="en-US"/>
              </w:rPr>
            </w:pPr>
            <w:r>
              <w:rPr>
                <w:rFonts w:ascii="Arial" w:hAnsi="Arial"/>
                <w:bCs/>
                <w:sz w:val="18"/>
                <w:lang w:val="en-US"/>
              </w:rPr>
              <w:t>Depreciation and amortization</w:t>
            </w:r>
          </w:p>
        </w:tc>
        <w:tc>
          <w:tcPr>
            <w:tcW w:w="992" w:type="dxa"/>
            <w:shd w:val="clear" w:color="auto" w:fill="auto"/>
            <w:tcMar>
              <w:left w:w="58" w:type="dxa"/>
              <w:right w:w="58" w:type="dxa"/>
            </w:tcMar>
            <w:vAlign w:val="bottom"/>
          </w:tcPr>
          <w:p w14:paraId="7EF325F8" w14:textId="77777777" w:rsidR="00B4771B" w:rsidRPr="001E6526" w:rsidRDefault="00B4771B" w:rsidP="00B4771B">
            <w:pPr>
              <w:pStyle w:val="TableText"/>
              <w:spacing w:after="0"/>
              <w:jc w:val="center"/>
              <w:rPr>
                <w:rFonts w:ascii="Arial" w:hAnsi="Arial"/>
                <w:sz w:val="18"/>
                <w:lang w:val="mk-MK"/>
              </w:rPr>
            </w:pPr>
            <w:r w:rsidRPr="001E6526">
              <w:rPr>
                <w:rFonts w:ascii="Arial" w:hAnsi="Arial"/>
                <w:sz w:val="18"/>
                <w:lang w:val="mk-MK"/>
              </w:rPr>
              <w:t>10,11</w:t>
            </w:r>
          </w:p>
        </w:tc>
        <w:tc>
          <w:tcPr>
            <w:tcW w:w="1519" w:type="dxa"/>
            <w:shd w:val="clear" w:color="auto" w:fill="auto"/>
            <w:tcMar>
              <w:left w:w="58" w:type="dxa"/>
              <w:right w:w="58" w:type="dxa"/>
            </w:tcMar>
            <w:vAlign w:val="bottom"/>
          </w:tcPr>
          <w:p w14:paraId="5104A94F" w14:textId="7E93DA73" w:rsidR="00B4771B" w:rsidRPr="00CE3053" w:rsidRDefault="00B4771B" w:rsidP="00B4771B">
            <w:pPr>
              <w:spacing w:after="0"/>
              <w:jc w:val="right"/>
              <w:rPr>
                <w:rFonts w:ascii="Arial" w:hAnsi="Arial" w:cs="Arial"/>
                <w:color w:val="000000"/>
                <w:lang w:val="mk-MK"/>
              </w:rPr>
            </w:pPr>
            <w:r w:rsidRPr="00CE3053">
              <w:rPr>
                <w:rFonts w:ascii="Arial" w:hAnsi="Arial" w:cs="Arial"/>
                <w:color w:val="000000"/>
                <w:lang w:val="mk-MK"/>
              </w:rPr>
              <w:t>(</w:t>
            </w:r>
            <w:r w:rsidR="0035609E" w:rsidRPr="001E6526">
              <w:rPr>
                <w:rFonts w:ascii="Arial" w:hAnsi="Arial" w:cs="Arial"/>
                <w:color w:val="000000"/>
                <w:lang w:val="mk-MK"/>
              </w:rPr>
              <w:t>938</w:t>
            </w:r>
            <w:r w:rsidRPr="00CE3053">
              <w:rPr>
                <w:rFonts w:ascii="Arial" w:hAnsi="Arial" w:cs="Arial"/>
                <w:color w:val="000000"/>
                <w:lang w:val="mk-MK"/>
              </w:rPr>
              <w:t>)</w:t>
            </w:r>
          </w:p>
        </w:tc>
        <w:tc>
          <w:tcPr>
            <w:tcW w:w="1479" w:type="dxa"/>
            <w:shd w:val="clear" w:color="auto" w:fill="auto"/>
            <w:tcMar>
              <w:left w:w="58" w:type="dxa"/>
              <w:right w:w="58" w:type="dxa"/>
            </w:tcMar>
            <w:vAlign w:val="bottom"/>
          </w:tcPr>
          <w:p w14:paraId="3AE00C3F" w14:textId="4E1620D3" w:rsidR="00B4771B" w:rsidRPr="00CE3053" w:rsidRDefault="00B4771B" w:rsidP="00B4771B">
            <w:pPr>
              <w:spacing w:after="0"/>
              <w:jc w:val="right"/>
              <w:rPr>
                <w:rFonts w:ascii="Arial" w:hAnsi="Arial" w:cs="Arial"/>
                <w:color w:val="000000"/>
                <w:lang w:val="mk-MK"/>
              </w:rPr>
            </w:pPr>
            <w:r w:rsidRPr="00CE3053">
              <w:rPr>
                <w:rFonts w:ascii="Arial" w:hAnsi="Arial" w:cs="Arial"/>
                <w:color w:val="000000"/>
                <w:lang w:val="mk-MK"/>
              </w:rPr>
              <w:t>(1,289)</w:t>
            </w:r>
          </w:p>
        </w:tc>
      </w:tr>
      <w:tr w:rsidR="00B4771B" w:rsidRPr="001E6526" w14:paraId="07DA2F93" w14:textId="77777777" w:rsidTr="00A504C6">
        <w:trPr>
          <w:trHeight w:val="216"/>
        </w:trPr>
        <w:tc>
          <w:tcPr>
            <w:tcW w:w="4650" w:type="dxa"/>
            <w:tcBorders>
              <w:bottom w:val="single" w:sz="4" w:space="0" w:color="auto"/>
            </w:tcBorders>
            <w:shd w:val="clear" w:color="auto" w:fill="auto"/>
            <w:tcMar>
              <w:left w:w="58" w:type="dxa"/>
              <w:right w:w="58" w:type="dxa"/>
            </w:tcMar>
            <w:vAlign w:val="bottom"/>
          </w:tcPr>
          <w:p w14:paraId="59870DC8" w14:textId="151C10B4" w:rsidR="00B4771B" w:rsidRPr="006D4BFE" w:rsidRDefault="006D4BFE" w:rsidP="00B4771B">
            <w:pPr>
              <w:pStyle w:val="TableText"/>
              <w:spacing w:after="0"/>
              <w:rPr>
                <w:rFonts w:ascii="Arial" w:hAnsi="Arial"/>
                <w:bCs/>
                <w:sz w:val="18"/>
                <w:lang w:val="en-US"/>
              </w:rPr>
            </w:pPr>
            <w:r>
              <w:rPr>
                <w:rFonts w:ascii="Arial" w:hAnsi="Arial"/>
                <w:bCs/>
                <w:sz w:val="18"/>
                <w:lang w:val="en-US"/>
              </w:rPr>
              <w:t>Other operating expenses</w:t>
            </w:r>
          </w:p>
        </w:tc>
        <w:tc>
          <w:tcPr>
            <w:tcW w:w="992" w:type="dxa"/>
            <w:tcBorders>
              <w:bottom w:val="single" w:sz="4" w:space="0" w:color="auto"/>
            </w:tcBorders>
            <w:shd w:val="clear" w:color="auto" w:fill="auto"/>
            <w:tcMar>
              <w:left w:w="58" w:type="dxa"/>
              <w:right w:w="58" w:type="dxa"/>
            </w:tcMar>
            <w:vAlign w:val="bottom"/>
          </w:tcPr>
          <w:p w14:paraId="2D289E27" w14:textId="77777777" w:rsidR="00B4771B" w:rsidRPr="001E6526" w:rsidRDefault="00B4771B" w:rsidP="00B4771B">
            <w:pPr>
              <w:pStyle w:val="TableText"/>
              <w:spacing w:after="0"/>
              <w:jc w:val="center"/>
              <w:rPr>
                <w:rFonts w:ascii="Arial" w:hAnsi="Arial"/>
                <w:sz w:val="18"/>
                <w:lang w:val="mk-MK"/>
              </w:rPr>
            </w:pPr>
            <w:r w:rsidRPr="001E6526">
              <w:rPr>
                <w:rFonts w:ascii="Arial" w:hAnsi="Arial"/>
                <w:sz w:val="18"/>
                <w:lang w:val="mk-MK"/>
              </w:rPr>
              <w:t>8</w:t>
            </w:r>
          </w:p>
        </w:tc>
        <w:tc>
          <w:tcPr>
            <w:tcW w:w="1519" w:type="dxa"/>
            <w:tcBorders>
              <w:bottom w:val="single" w:sz="4" w:space="0" w:color="auto"/>
            </w:tcBorders>
            <w:shd w:val="clear" w:color="auto" w:fill="auto"/>
            <w:tcMar>
              <w:left w:w="58" w:type="dxa"/>
              <w:right w:w="58" w:type="dxa"/>
            </w:tcMar>
            <w:vAlign w:val="bottom"/>
          </w:tcPr>
          <w:p w14:paraId="0A48189C" w14:textId="0F31D8EF" w:rsidR="00B4771B" w:rsidRPr="00CE3053" w:rsidRDefault="00B4771B" w:rsidP="00B4771B">
            <w:pPr>
              <w:spacing w:after="0"/>
              <w:jc w:val="right"/>
              <w:rPr>
                <w:rFonts w:ascii="Arial" w:hAnsi="Arial" w:cs="Arial"/>
                <w:color w:val="000000"/>
                <w:lang w:val="mk-MK"/>
              </w:rPr>
            </w:pPr>
            <w:r w:rsidRPr="00CE3053">
              <w:rPr>
                <w:rFonts w:ascii="Arial" w:hAnsi="Arial" w:cs="Arial"/>
                <w:color w:val="000000"/>
                <w:lang w:val="mk-MK"/>
              </w:rPr>
              <w:t>(</w:t>
            </w:r>
            <w:r w:rsidR="0035609E" w:rsidRPr="001E6526">
              <w:rPr>
                <w:rFonts w:ascii="Arial" w:hAnsi="Arial" w:cs="Arial"/>
                <w:color w:val="000000"/>
                <w:lang w:val="mk-MK"/>
              </w:rPr>
              <w:t>3</w:t>
            </w:r>
            <w:r w:rsidRPr="00CE3053">
              <w:rPr>
                <w:rFonts w:ascii="Arial" w:hAnsi="Arial" w:cs="Arial"/>
                <w:color w:val="000000"/>
                <w:lang w:val="mk-MK"/>
              </w:rPr>
              <w:t>,</w:t>
            </w:r>
            <w:r w:rsidR="0035609E" w:rsidRPr="001E6526">
              <w:rPr>
                <w:rFonts w:ascii="Arial" w:hAnsi="Arial" w:cs="Arial"/>
                <w:color w:val="000000"/>
                <w:lang w:val="mk-MK"/>
              </w:rPr>
              <w:t>36</w:t>
            </w:r>
            <w:r w:rsidR="00D562FD" w:rsidRPr="00CE3053">
              <w:rPr>
                <w:rFonts w:ascii="Arial" w:hAnsi="Arial" w:cs="Arial"/>
                <w:color w:val="000000"/>
                <w:lang w:val="mk-MK"/>
              </w:rPr>
              <w:t>5</w:t>
            </w:r>
            <w:r w:rsidRPr="00CE3053">
              <w:rPr>
                <w:rFonts w:ascii="Arial" w:hAnsi="Arial" w:cs="Arial"/>
                <w:color w:val="000000"/>
                <w:lang w:val="mk-MK"/>
              </w:rPr>
              <w:t>)</w:t>
            </w:r>
          </w:p>
        </w:tc>
        <w:tc>
          <w:tcPr>
            <w:tcW w:w="1479" w:type="dxa"/>
            <w:tcBorders>
              <w:bottom w:val="single" w:sz="4" w:space="0" w:color="auto"/>
            </w:tcBorders>
            <w:shd w:val="clear" w:color="auto" w:fill="auto"/>
            <w:tcMar>
              <w:left w:w="58" w:type="dxa"/>
              <w:right w:w="58" w:type="dxa"/>
            </w:tcMar>
            <w:vAlign w:val="bottom"/>
          </w:tcPr>
          <w:p w14:paraId="0AE4D55E" w14:textId="1C6F04E9" w:rsidR="00B4771B" w:rsidRPr="00CE3053" w:rsidRDefault="00B4771B" w:rsidP="00B4771B">
            <w:pPr>
              <w:spacing w:after="0"/>
              <w:jc w:val="right"/>
              <w:rPr>
                <w:rFonts w:ascii="Arial" w:hAnsi="Arial" w:cs="Arial"/>
                <w:color w:val="000000"/>
                <w:lang w:val="mk-MK"/>
              </w:rPr>
            </w:pPr>
            <w:r w:rsidRPr="00CE3053">
              <w:rPr>
                <w:rFonts w:ascii="Arial" w:hAnsi="Arial" w:cs="Arial"/>
                <w:color w:val="000000"/>
                <w:lang w:val="mk-MK"/>
              </w:rPr>
              <w:t>(5,616)</w:t>
            </w:r>
          </w:p>
        </w:tc>
      </w:tr>
      <w:tr w:rsidR="00B4771B" w:rsidRPr="001E6526" w14:paraId="1CC5EAB3" w14:textId="77777777" w:rsidTr="00A504C6">
        <w:trPr>
          <w:trHeight w:val="216"/>
        </w:trPr>
        <w:tc>
          <w:tcPr>
            <w:tcW w:w="4650" w:type="dxa"/>
            <w:tcBorders>
              <w:top w:val="single" w:sz="4" w:space="0" w:color="auto"/>
            </w:tcBorders>
            <w:shd w:val="clear" w:color="auto" w:fill="auto"/>
            <w:tcMar>
              <w:left w:w="58" w:type="dxa"/>
              <w:right w:w="58" w:type="dxa"/>
            </w:tcMar>
            <w:vAlign w:val="bottom"/>
          </w:tcPr>
          <w:p w14:paraId="585FC543" w14:textId="4A139946" w:rsidR="00B4771B" w:rsidRPr="006D4BFE" w:rsidRDefault="006D4BFE" w:rsidP="00B4771B">
            <w:pPr>
              <w:pStyle w:val="TableText"/>
              <w:spacing w:after="0"/>
              <w:rPr>
                <w:rFonts w:ascii="Arial" w:hAnsi="Arial"/>
                <w:b/>
                <w:sz w:val="18"/>
                <w:lang w:val="en-US"/>
              </w:rPr>
            </w:pPr>
            <w:r>
              <w:rPr>
                <w:rFonts w:ascii="Arial" w:hAnsi="Arial"/>
                <w:b/>
                <w:sz w:val="18"/>
                <w:lang w:val="en-US"/>
              </w:rPr>
              <w:t>Profit before tax</w:t>
            </w:r>
          </w:p>
        </w:tc>
        <w:tc>
          <w:tcPr>
            <w:tcW w:w="992" w:type="dxa"/>
            <w:tcBorders>
              <w:top w:val="single" w:sz="4" w:space="0" w:color="auto"/>
            </w:tcBorders>
            <w:shd w:val="clear" w:color="auto" w:fill="auto"/>
            <w:tcMar>
              <w:left w:w="58" w:type="dxa"/>
              <w:right w:w="58" w:type="dxa"/>
            </w:tcMar>
            <w:vAlign w:val="bottom"/>
          </w:tcPr>
          <w:p w14:paraId="6D1F7148" w14:textId="77777777" w:rsidR="00B4771B" w:rsidRPr="00CE3053" w:rsidRDefault="00B4771B" w:rsidP="00B4771B">
            <w:pPr>
              <w:pStyle w:val="TableText"/>
              <w:spacing w:after="0"/>
              <w:jc w:val="center"/>
              <w:rPr>
                <w:rFonts w:ascii="Arial" w:hAnsi="Arial"/>
                <w:b/>
                <w:sz w:val="18"/>
                <w:lang w:val="mk-MK"/>
              </w:rPr>
            </w:pPr>
          </w:p>
        </w:tc>
        <w:tc>
          <w:tcPr>
            <w:tcW w:w="1519" w:type="dxa"/>
            <w:tcBorders>
              <w:top w:val="single" w:sz="4" w:space="0" w:color="auto"/>
            </w:tcBorders>
            <w:shd w:val="clear" w:color="auto" w:fill="auto"/>
            <w:tcMar>
              <w:left w:w="58" w:type="dxa"/>
              <w:right w:w="58" w:type="dxa"/>
            </w:tcMar>
            <w:vAlign w:val="bottom"/>
          </w:tcPr>
          <w:p w14:paraId="6A49BE1B" w14:textId="4DC8970F" w:rsidR="00B4771B" w:rsidRPr="00CE3053" w:rsidRDefault="0035609E" w:rsidP="00B4771B">
            <w:pPr>
              <w:spacing w:after="0"/>
              <w:jc w:val="right"/>
              <w:rPr>
                <w:rFonts w:ascii="Arial" w:hAnsi="Arial" w:cs="Arial"/>
                <w:b/>
                <w:bCs/>
                <w:color w:val="000000"/>
                <w:lang w:val="mk-MK"/>
              </w:rPr>
            </w:pPr>
            <w:r w:rsidRPr="001E6526">
              <w:rPr>
                <w:rFonts w:ascii="Arial" w:hAnsi="Arial" w:cs="Arial"/>
                <w:b/>
                <w:bCs/>
                <w:color w:val="000000"/>
                <w:lang w:val="mk-MK"/>
              </w:rPr>
              <w:t>46</w:t>
            </w:r>
            <w:r w:rsidR="00B4771B" w:rsidRPr="00CE3053">
              <w:rPr>
                <w:rFonts w:ascii="Arial" w:hAnsi="Arial" w:cs="Arial"/>
                <w:b/>
                <w:bCs/>
                <w:color w:val="000000"/>
                <w:lang w:val="mk-MK"/>
              </w:rPr>
              <w:t>,</w:t>
            </w:r>
            <w:r w:rsidRPr="001E6526">
              <w:rPr>
                <w:rFonts w:ascii="Arial" w:hAnsi="Arial" w:cs="Arial"/>
                <w:b/>
                <w:bCs/>
                <w:color w:val="000000"/>
                <w:lang w:val="mk-MK"/>
              </w:rPr>
              <w:t>971</w:t>
            </w:r>
          </w:p>
        </w:tc>
        <w:tc>
          <w:tcPr>
            <w:tcW w:w="1479" w:type="dxa"/>
            <w:tcBorders>
              <w:top w:val="single" w:sz="4" w:space="0" w:color="auto"/>
            </w:tcBorders>
            <w:shd w:val="clear" w:color="auto" w:fill="auto"/>
            <w:tcMar>
              <w:left w:w="58" w:type="dxa"/>
              <w:right w:w="58" w:type="dxa"/>
            </w:tcMar>
            <w:vAlign w:val="bottom"/>
          </w:tcPr>
          <w:p w14:paraId="2A0F01D4" w14:textId="51CD827C" w:rsidR="00B4771B" w:rsidRPr="00CE3053" w:rsidRDefault="00B4771B" w:rsidP="00B4771B">
            <w:pPr>
              <w:spacing w:after="0"/>
              <w:jc w:val="right"/>
              <w:rPr>
                <w:rFonts w:ascii="Arial" w:hAnsi="Arial" w:cs="Arial"/>
                <w:b/>
                <w:bCs/>
                <w:color w:val="000000"/>
                <w:lang w:val="mk-MK"/>
              </w:rPr>
            </w:pPr>
            <w:r w:rsidRPr="00CE3053">
              <w:rPr>
                <w:rFonts w:ascii="Arial" w:hAnsi="Arial" w:cs="Arial"/>
                <w:b/>
                <w:bCs/>
                <w:color w:val="000000"/>
                <w:lang w:val="mk-MK"/>
              </w:rPr>
              <w:t>78,015</w:t>
            </w:r>
          </w:p>
        </w:tc>
      </w:tr>
      <w:tr w:rsidR="00B4771B" w:rsidRPr="001E6526" w14:paraId="6BFB1953" w14:textId="77777777" w:rsidTr="00A504C6">
        <w:trPr>
          <w:trHeight w:val="216"/>
        </w:trPr>
        <w:tc>
          <w:tcPr>
            <w:tcW w:w="4650" w:type="dxa"/>
            <w:shd w:val="clear" w:color="auto" w:fill="auto"/>
            <w:tcMar>
              <w:left w:w="58" w:type="dxa"/>
              <w:right w:w="58" w:type="dxa"/>
            </w:tcMar>
            <w:vAlign w:val="bottom"/>
          </w:tcPr>
          <w:p w14:paraId="6FC98FD8" w14:textId="77777777" w:rsidR="00B4771B" w:rsidRPr="00CE3053" w:rsidRDefault="00B4771B" w:rsidP="00B4771B">
            <w:pPr>
              <w:pStyle w:val="TableText"/>
              <w:spacing w:after="0"/>
              <w:rPr>
                <w:rFonts w:ascii="Arial" w:hAnsi="Arial"/>
                <w:bCs/>
                <w:sz w:val="18"/>
                <w:lang w:val="mk-MK"/>
              </w:rPr>
            </w:pPr>
          </w:p>
        </w:tc>
        <w:tc>
          <w:tcPr>
            <w:tcW w:w="992" w:type="dxa"/>
            <w:shd w:val="clear" w:color="auto" w:fill="auto"/>
            <w:tcMar>
              <w:left w:w="58" w:type="dxa"/>
              <w:right w:w="58" w:type="dxa"/>
            </w:tcMar>
            <w:vAlign w:val="bottom"/>
          </w:tcPr>
          <w:p w14:paraId="22A041DD" w14:textId="77777777" w:rsidR="00B4771B" w:rsidRPr="00CE3053" w:rsidRDefault="00B4771B" w:rsidP="00B4771B">
            <w:pPr>
              <w:pStyle w:val="TableText"/>
              <w:spacing w:after="0"/>
              <w:jc w:val="center"/>
              <w:rPr>
                <w:rFonts w:ascii="Arial" w:hAnsi="Arial"/>
                <w:color w:val="FF0000"/>
                <w:sz w:val="18"/>
                <w:lang w:val="mk-MK"/>
              </w:rPr>
            </w:pPr>
          </w:p>
        </w:tc>
        <w:tc>
          <w:tcPr>
            <w:tcW w:w="1519" w:type="dxa"/>
            <w:shd w:val="clear" w:color="auto" w:fill="auto"/>
            <w:tcMar>
              <w:left w:w="58" w:type="dxa"/>
              <w:right w:w="58" w:type="dxa"/>
            </w:tcMar>
            <w:vAlign w:val="bottom"/>
          </w:tcPr>
          <w:p w14:paraId="790B8071" w14:textId="77777777" w:rsidR="00B4771B" w:rsidRPr="00CE3053" w:rsidRDefault="00B4771B" w:rsidP="00B4771B">
            <w:pPr>
              <w:pStyle w:val="TableText"/>
              <w:spacing w:after="0"/>
              <w:jc w:val="right"/>
              <w:rPr>
                <w:rFonts w:ascii="Arial" w:hAnsi="Arial"/>
                <w:sz w:val="18"/>
                <w:lang w:val="mk-MK"/>
              </w:rPr>
            </w:pPr>
          </w:p>
        </w:tc>
        <w:tc>
          <w:tcPr>
            <w:tcW w:w="1479" w:type="dxa"/>
            <w:shd w:val="clear" w:color="auto" w:fill="auto"/>
            <w:tcMar>
              <w:left w:w="58" w:type="dxa"/>
              <w:right w:w="58" w:type="dxa"/>
            </w:tcMar>
            <w:vAlign w:val="bottom"/>
          </w:tcPr>
          <w:p w14:paraId="494B61FE" w14:textId="77777777" w:rsidR="00B4771B" w:rsidRPr="00CE3053" w:rsidRDefault="00B4771B" w:rsidP="00B4771B">
            <w:pPr>
              <w:pStyle w:val="TableText"/>
              <w:spacing w:after="0"/>
              <w:jc w:val="right"/>
              <w:rPr>
                <w:rFonts w:ascii="Arial" w:hAnsi="Arial"/>
                <w:sz w:val="18"/>
                <w:lang w:val="mk-MK"/>
              </w:rPr>
            </w:pPr>
          </w:p>
        </w:tc>
      </w:tr>
      <w:tr w:rsidR="00B4771B" w:rsidRPr="001E6526" w14:paraId="35670079" w14:textId="77777777" w:rsidTr="00A504C6">
        <w:trPr>
          <w:trHeight w:val="216"/>
        </w:trPr>
        <w:tc>
          <w:tcPr>
            <w:tcW w:w="4650" w:type="dxa"/>
            <w:tcBorders>
              <w:bottom w:val="single" w:sz="4" w:space="0" w:color="auto"/>
            </w:tcBorders>
            <w:shd w:val="clear" w:color="auto" w:fill="auto"/>
            <w:tcMar>
              <w:left w:w="58" w:type="dxa"/>
              <w:right w:w="58" w:type="dxa"/>
            </w:tcMar>
            <w:vAlign w:val="bottom"/>
          </w:tcPr>
          <w:p w14:paraId="1B076D01" w14:textId="7B92AED8" w:rsidR="00B4771B" w:rsidRPr="00CE3053" w:rsidRDefault="006D4BFE" w:rsidP="00B4771B">
            <w:pPr>
              <w:pStyle w:val="TableText"/>
              <w:spacing w:after="0"/>
              <w:rPr>
                <w:rFonts w:ascii="Arial" w:hAnsi="Arial"/>
                <w:bCs/>
                <w:sz w:val="18"/>
                <w:lang w:val="mk-MK"/>
              </w:rPr>
            </w:pPr>
            <w:r>
              <w:rPr>
                <w:rFonts w:ascii="Arial" w:hAnsi="Arial"/>
                <w:bCs/>
                <w:sz w:val="18"/>
                <w:lang w:val="en-US"/>
              </w:rPr>
              <w:t>Income tax</w:t>
            </w:r>
            <w:r w:rsidR="00B4771B" w:rsidRPr="00CE3053">
              <w:rPr>
                <w:rFonts w:ascii="Arial" w:hAnsi="Arial"/>
                <w:bCs/>
                <w:sz w:val="18"/>
                <w:lang w:val="mk-MK"/>
              </w:rPr>
              <w:t xml:space="preserve"> </w:t>
            </w:r>
          </w:p>
        </w:tc>
        <w:tc>
          <w:tcPr>
            <w:tcW w:w="992" w:type="dxa"/>
            <w:tcBorders>
              <w:bottom w:val="single" w:sz="4" w:space="0" w:color="auto"/>
            </w:tcBorders>
            <w:shd w:val="clear" w:color="auto" w:fill="auto"/>
            <w:tcMar>
              <w:left w:w="58" w:type="dxa"/>
              <w:right w:w="58" w:type="dxa"/>
            </w:tcMar>
            <w:vAlign w:val="bottom"/>
          </w:tcPr>
          <w:p w14:paraId="06ED8FEA" w14:textId="77777777" w:rsidR="00B4771B" w:rsidRPr="001E6526" w:rsidRDefault="00B4771B" w:rsidP="00B4771B">
            <w:pPr>
              <w:pStyle w:val="TableText"/>
              <w:spacing w:after="0"/>
              <w:jc w:val="center"/>
              <w:rPr>
                <w:rFonts w:ascii="Arial" w:hAnsi="Arial"/>
                <w:sz w:val="18"/>
                <w:lang w:val="mk-MK"/>
              </w:rPr>
            </w:pPr>
            <w:r w:rsidRPr="001E6526">
              <w:rPr>
                <w:rFonts w:ascii="Arial" w:hAnsi="Arial"/>
                <w:sz w:val="18"/>
                <w:lang w:val="mk-MK"/>
              </w:rPr>
              <w:t>9</w:t>
            </w:r>
          </w:p>
        </w:tc>
        <w:tc>
          <w:tcPr>
            <w:tcW w:w="1519" w:type="dxa"/>
            <w:tcBorders>
              <w:bottom w:val="single" w:sz="4" w:space="0" w:color="auto"/>
            </w:tcBorders>
            <w:shd w:val="clear" w:color="auto" w:fill="auto"/>
            <w:tcMar>
              <w:left w:w="58" w:type="dxa"/>
              <w:right w:w="58" w:type="dxa"/>
            </w:tcMar>
            <w:vAlign w:val="bottom"/>
          </w:tcPr>
          <w:p w14:paraId="62B6C199" w14:textId="3473FB00" w:rsidR="00B4771B" w:rsidRPr="00CE3053" w:rsidRDefault="00B4771B" w:rsidP="00B4771B">
            <w:pPr>
              <w:spacing w:after="0"/>
              <w:jc w:val="right"/>
              <w:rPr>
                <w:rFonts w:ascii="Arial" w:hAnsi="Arial" w:cs="Arial"/>
                <w:color w:val="000000"/>
                <w:lang w:val="mk-MK"/>
              </w:rPr>
            </w:pPr>
            <w:r w:rsidRPr="00CE3053">
              <w:rPr>
                <w:rFonts w:ascii="Arial" w:hAnsi="Arial" w:cs="Arial"/>
                <w:color w:val="000000"/>
                <w:lang w:val="mk-MK"/>
              </w:rPr>
              <w:t>(</w:t>
            </w:r>
            <w:r w:rsidR="0035609E" w:rsidRPr="001E6526">
              <w:rPr>
                <w:rFonts w:ascii="Arial" w:hAnsi="Arial" w:cs="Arial"/>
                <w:color w:val="000000"/>
                <w:lang w:val="mk-MK"/>
              </w:rPr>
              <w:t>4</w:t>
            </w:r>
            <w:r w:rsidRPr="00CE3053">
              <w:rPr>
                <w:rFonts w:ascii="Arial" w:hAnsi="Arial" w:cs="Arial"/>
                <w:color w:val="000000"/>
                <w:lang w:val="mk-MK"/>
              </w:rPr>
              <w:t>,</w:t>
            </w:r>
            <w:r w:rsidR="0035609E" w:rsidRPr="001E6526">
              <w:rPr>
                <w:rFonts w:ascii="Arial" w:hAnsi="Arial" w:cs="Arial"/>
                <w:color w:val="000000"/>
                <w:lang w:val="mk-MK"/>
              </w:rPr>
              <w:t>721</w:t>
            </w:r>
            <w:r w:rsidRPr="00CE3053">
              <w:rPr>
                <w:rFonts w:ascii="Arial" w:hAnsi="Arial" w:cs="Arial"/>
                <w:color w:val="000000"/>
                <w:lang w:val="mk-MK"/>
              </w:rPr>
              <w:t>)</w:t>
            </w:r>
          </w:p>
        </w:tc>
        <w:tc>
          <w:tcPr>
            <w:tcW w:w="1479" w:type="dxa"/>
            <w:tcBorders>
              <w:bottom w:val="single" w:sz="4" w:space="0" w:color="auto"/>
            </w:tcBorders>
            <w:shd w:val="clear" w:color="auto" w:fill="auto"/>
            <w:tcMar>
              <w:left w:w="58" w:type="dxa"/>
              <w:right w:w="58" w:type="dxa"/>
            </w:tcMar>
            <w:vAlign w:val="bottom"/>
          </w:tcPr>
          <w:p w14:paraId="182DF043" w14:textId="12DB0BC7" w:rsidR="00B4771B" w:rsidRPr="00CE3053" w:rsidRDefault="00B4771B" w:rsidP="00B4771B">
            <w:pPr>
              <w:spacing w:after="0"/>
              <w:jc w:val="right"/>
              <w:rPr>
                <w:rFonts w:ascii="Arial" w:hAnsi="Arial" w:cs="Arial"/>
                <w:color w:val="000000"/>
                <w:lang w:val="mk-MK"/>
              </w:rPr>
            </w:pPr>
            <w:r w:rsidRPr="00CE3053">
              <w:rPr>
                <w:rFonts w:ascii="Arial" w:hAnsi="Arial" w:cs="Arial"/>
                <w:color w:val="000000"/>
                <w:lang w:val="mk-MK"/>
              </w:rPr>
              <w:t>(7,821)</w:t>
            </w:r>
          </w:p>
        </w:tc>
      </w:tr>
      <w:tr w:rsidR="00B4771B" w:rsidRPr="001E6526" w14:paraId="04D0AF33" w14:textId="77777777" w:rsidTr="00A504C6">
        <w:trPr>
          <w:trHeight w:val="216"/>
        </w:trPr>
        <w:tc>
          <w:tcPr>
            <w:tcW w:w="4650" w:type="dxa"/>
            <w:tcBorders>
              <w:top w:val="single" w:sz="4" w:space="0" w:color="auto"/>
            </w:tcBorders>
            <w:shd w:val="clear" w:color="auto" w:fill="auto"/>
            <w:tcMar>
              <w:left w:w="58" w:type="dxa"/>
              <w:right w:w="58" w:type="dxa"/>
            </w:tcMar>
            <w:vAlign w:val="bottom"/>
          </w:tcPr>
          <w:p w14:paraId="4B89FC65" w14:textId="7EFC1A40" w:rsidR="00B4771B" w:rsidRPr="006D4BFE" w:rsidRDefault="006D4BFE" w:rsidP="00B4771B">
            <w:pPr>
              <w:pStyle w:val="TableText"/>
              <w:spacing w:after="0"/>
              <w:rPr>
                <w:rFonts w:ascii="Arial" w:hAnsi="Arial"/>
                <w:b/>
                <w:sz w:val="18"/>
                <w:lang w:val="en-US"/>
              </w:rPr>
            </w:pPr>
            <w:r>
              <w:rPr>
                <w:rFonts w:ascii="Arial" w:hAnsi="Arial"/>
                <w:b/>
                <w:sz w:val="18"/>
                <w:lang w:val="en-US"/>
              </w:rPr>
              <w:t>Profit for the year</w:t>
            </w:r>
          </w:p>
        </w:tc>
        <w:tc>
          <w:tcPr>
            <w:tcW w:w="992" w:type="dxa"/>
            <w:tcBorders>
              <w:top w:val="single" w:sz="4" w:space="0" w:color="auto"/>
            </w:tcBorders>
            <w:shd w:val="clear" w:color="auto" w:fill="auto"/>
            <w:tcMar>
              <w:left w:w="58" w:type="dxa"/>
              <w:right w:w="58" w:type="dxa"/>
            </w:tcMar>
            <w:vAlign w:val="bottom"/>
          </w:tcPr>
          <w:p w14:paraId="07A491C0" w14:textId="77777777" w:rsidR="00B4771B" w:rsidRPr="00CE3053" w:rsidRDefault="00B4771B" w:rsidP="00B4771B">
            <w:pPr>
              <w:pStyle w:val="TableText"/>
              <w:spacing w:after="0"/>
              <w:jc w:val="center"/>
              <w:rPr>
                <w:rFonts w:ascii="Arial" w:hAnsi="Arial"/>
                <w:b/>
                <w:sz w:val="18"/>
                <w:lang w:val="mk-MK"/>
              </w:rPr>
            </w:pPr>
          </w:p>
        </w:tc>
        <w:tc>
          <w:tcPr>
            <w:tcW w:w="1519" w:type="dxa"/>
            <w:tcBorders>
              <w:top w:val="single" w:sz="4" w:space="0" w:color="auto"/>
            </w:tcBorders>
            <w:shd w:val="clear" w:color="auto" w:fill="auto"/>
            <w:tcMar>
              <w:left w:w="58" w:type="dxa"/>
              <w:right w:w="58" w:type="dxa"/>
            </w:tcMar>
            <w:vAlign w:val="bottom"/>
          </w:tcPr>
          <w:p w14:paraId="4F782B2C" w14:textId="45439F9E" w:rsidR="00B4771B" w:rsidRPr="00CE3053" w:rsidRDefault="0035609E" w:rsidP="00B4771B">
            <w:pPr>
              <w:spacing w:after="0"/>
              <w:jc w:val="right"/>
              <w:rPr>
                <w:rFonts w:ascii="Arial" w:hAnsi="Arial" w:cs="Arial"/>
                <w:b/>
                <w:bCs/>
                <w:color w:val="000000"/>
                <w:lang w:val="mk-MK"/>
              </w:rPr>
            </w:pPr>
            <w:r w:rsidRPr="001E6526">
              <w:rPr>
                <w:rFonts w:ascii="Arial" w:hAnsi="Arial" w:cs="Arial"/>
                <w:b/>
                <w:bCs/>
                <w:color w:val="000000"/>
                <w:lang w:val="mk-MK"/>
              </w:rPr>
              <w:t>42</w:t>
            </w:r>
            <w:r w:rsidR="00B4771B" w:rsidRPr="00CE3053">
              <w:rPr>
                <w:rFonts w:ascii="Arial" w:hAnsi="Arial" w:cs="Arial"/>
                <w:b/>
                <w:bCs/>
                <w:color w:val="000000"/>
                <w:lang w:val="mk-MK"/>
              </w:rPr>
              <w:t>,</w:t>
            </w:r>
            <w:r w:rsidRPr="001E6526">
              <w:rPr>
                <w:rFonts w:ascii="Arial" w:hAnsi="Arial" w:cs="Arial"/>
                <w:b/>
                <w:bCs/>
                <w:color w:val="000000"/>
                <w:lang w:val="mk-MK"/>
              </w:rPr>
              <w:t>250</w:t>
            </w:r>
          </w:p>
        </w:tc>
        <w:tc>
          <w:tcPr>
            <w:tcW w:w="1479" w:type="dxa"/>
            <w:tcBorders>
              <w:top w:val="single" w:sz="4" w:space="0" w:color="auto"/>
            </w:tcBorders>
            <w:shd w:val="clear" w:color="auto" w:fill="auto"/>
            <w:tcMar>
              <w:left w:w="58" w:type="dxa"/>
              <w:right w:w="58" w:type="dxa"/>
            </w:tcMar>
            <w:vAlign w:val="bottom"/>
          </w:tcPr>
          <w:p w14:paraId="501D0835" w14:textId="01EE5CD5" w:rsidR="00B4771B" w:rsidRPr="00CE3053" w:rsidRDefault="00B4771B" w:rsidP="00B4771B">
            <w:pPr>
              <w:spacing w:after="0"/>
              <w:jc w:val="right"/>
              <w:rPr>
                <w:rFonts w:ascii="Arial" w:hAnsi="Arial" w:cs="Arial"/>
                <w:b/>
                <w:bCs/>
                <w:color w:val="000000"/>
                <w:lang w:val="mk-MK"/>
              </w:rPr>
            </w:pPr>
            <w:r w:rsidRPr="00CE3053">
              <w:rPr>
                <w:rFonts w:ascii="Arial" w:hAnsi="Arial" w:cs="Arial"/>
                <w:b/>
                <w:bCs/>
                <w:color w:val="000000"/>
                <w:lang w:val="mk-MK"/>
              </w:rPr>
              <w:t>70,194</w:t>
            </w:r>
          </w:p>
        </w:tc>
      </w:tr>
      <w:tr w:rsidR="00B4771B" w:rsidRPr="001E6526" w14:paraId="33A1CB17" w14:textId="77777777" w:rsidTr="00A504C6">
        <w:trPr>
          <w:trHeight w:val="216"/>
        </w:trPr>
        <w:tc>
          <w:tcPr>
            <w:tcW w:w="4650" w:type="dxa"/>
            <w:tcBorders>
              <w:top w:val="single" w:sz="4" w:space="0" w:color="auto"/>
            </w:tcBorders>
            <w:shd w:val="clear" w:color="auto" w:fill="auto"/>
            <w:tcMar>
              <w:left w:w="58" w:type="dxa"/>
              <w:right w:w="58" w:type="dxa"/>
            </w:tcMar>
            <w:vAlign w:val="bottom"/>
          </w:tcPr>
          <w:p w14:paraId="54DDF81D" w14:textId="77777777" w:rsidR="00B4771B" w:rsidRPr="00CE3053" w:rsidRDefault="00B4771B" w:rsidP="00B4771B">
            <w:pPr>
              <w:pStyle w:val="TableText"/>
              <w:spacing w:after="0"/>
              <w:rPr>
                <w:rFonts w:ascii="Arial" w:hAnsi="Arial"/>
                <w:b/>
                <w:sz w:val="18"/>
                <w:lang w:val="mk-MK"/>
              </w:rPr>
            </w:pPr>
          </w:p>
        </w:tc>
        <w:tc>
          <w:tcPr>
            <w:tcW w:w="992" w:type="dxa"/>
            <w:tcBorders>
              <w:top w:val="single" w:sz="4" w:space="0" w:color="auto"/>
            </w:tcBorders>
            <w:shd w:val="clear" w:color="auto" w:fill="auto"/>
            <w:tcMar>
              <w:left w:w="58" w:type="dxa"/>
              <w:right w:w="58" w:type="dxa"/>
            </w:tcMar>
            <w:vAlign w:val="bottom"/>
          </w:tcPr>
          <w:p w14:paraId="62846067" w14:textId="77777777" w:rsidR="00B4771B" w:rsidRPr="00CE3053" w:rsidRDefault="00B4771B" w:rsidP="00B4771B">
            <w:pPr>
              <w:pStyle w:val="TableText"/>
              <w:spacing w:after="0"/>
              <w:jc w:val="center"/>
              <w:rPr>
                <w:rFonts w:ascii="Arial" w:hAnsi="Arial"/>
                <w:b/>
                <w:color w:val="FF0000"/>
                <w:sz w:val="18"/>
                <w:lang w:val="mk-MK"/>
              </w:rPr>
            </w:pPr>
          </w:p>
        </w:tc>
        <w:tc>
          <w:tcPr>
            <w:tcW w:w="1519" w:type="dxa"/>
            <w:tcBorders>
              <w:top w:val="single" w:sz="4" w:space="0" w:color="auto"/>
            </w:tcBorders>
            <w:shd w:val="clear" w:color="auto" w:fill="auto"/>
            <w:tcMar>
              <w:left w:w="58" w:type="dxa"/>
              <w:right w:w="58" w:type="dxa"/>
            </w:tcMar>
            <w:vAlign w:val="bottom"/>
          </w:tcPr>
          <w:p w14:paraId="0B733087" w14:textId="77777777" w:rsidR="00B4771B" w:rsidRPr="00CE3053" w:rsidRDefault="00B4771B" w:rsidP="00B4771B">
            <w:pPr>
              <w:pStyle w:val="TableText"/>
              <w:spacing w:after="0"/>
              <w:jc w:val="right"/>
              <w:rPr>
                <w:rFonts w:ascii="Arial" w:hAnsi="Arial"/>
                <w:b/>
                <w:sz w:val="18"/>
                <w:lang w:val="mk-MK"/>
              </w:rPr>
            </w:pPr>
          </w:p>
        </w:tc>
        <w:tc>
          <w:tcPr>
            <w:tcW w:w="1479" w:type="dxa"/>
            <w:tcBorders>
              <w:top w:val="single" w:sz="4" w:space="0" w:color="auto"/>
            </w:tcBorders>
            <w:shd w:val="clear" w:color="auto" w:fill="auto"/>
            <w:tcMar>
              <w:left w:w="58" w:type="dxa"/>
              <w:right w:w="58" w:type="dxa"/>
            </w:tcMar>
            <w:vAlign w:val="bottom"/>
          </w:tcPr>
          <w:p w14:paraId="5D196E1A" w14:textId="77777777" w:rsidR="00B4771B" w:rsidRPr="00CE3053" w:rsidRDefault="00B4771B" w:rsidP="00B4771B">
            <w:pPr>
              <w:pStyle w:val="TableText"/>
              <w:spacing w:after="0"/>
              <w:jc w:val="right"/>
              <w:rPr>
                <w:rFonts w:ascii="Arial" w:hAnsi="Arial"/>
                <w:b/>
                <w:sz w:val="18"/>
                <w:lang w:val="mk-MK"/>
              </w:rPr>
            </w:pPr>
          </w:p>
        </w:tc>
      </w:tr>
      <w:tr w:rsidR="00B4771B" w:rsidRPr="001E6526" w14:paraId="780E735C" w14:textId="77777777" w:rsidTr="00A50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4650" w:type="dxa"/>
            <w:tcBorders>
              <w:top w:val="nil"/>
              <w:left w:val="nil"/>
              <w:bottom w:val="single" w:sz="4" w:space="0" w:color="auto"/>
              <w:right w:val="nil"/>
            </w:tcBorders>
            <w:shd w:val="clear" w:color="auto" w:fill="auto"/>
            <w:noWrap/>
            <w:tcMar>
              <w:left w:w="58" w:type="dxa"/>
              <w:right w:w="58" w:type="dxa"/>
            </w:tcMar>
            <w:vAlign w:val="bottom"/>
          </w:tcPr>
          <w:p w14:paraId="60F8FD8E" w14:textId="58060145" w:rsidR="00B4771B" w:rsidRPr="006D4BFE" w:rsidRDefault="006D4BFE" w:rsidP="00B4771B">
            <w:pPr>
              <w:pStyle w:val="TableText"/>
              <w:spacing w:after="0"/>
              <w:rPr>
                <w:rFonts w:ascii="Arial" w:hAnsi="Arial"/>
                <w:sz w:val="18"/>
                <w:lang w:val="en-US"/>
              </w:rPr>
            </w:pPr>
            <w:r>
              <w:rPr>
                <w:rFonts w:ascii="Arial" w:hAnsi="Arial"/>
                <w:sz w:val="18"/>
                <w:lang w:val="en-US"/>
              </w:rPr>
              <w:t>Other comprehensive income for the year</w:t>
            </w:r>
          </w:p>
        </w:tc>
        <w:tc>
          <w:tcPr>
            <w:tcW w:w="992" w:type="dxa"/>
            <w:tcBorders>
              <w:top w:val="nil"/>
              <w:left w:val="nil"/>
              <w:bottom w:val="single" w:sz="4" w:space="0" w:color="auto"/>
              <w:right w:val="nil"/>
            </w:tcBorders>
            <w:shd w:val="clear" w:color="auto" w:fill="auto"/>
            <w:noWrap/>
            <w:tcMar>
              <w:left w:w="58" w:type="dxa"/>
              <w:right w:w="58" w:type="dxa"/>
            </w:tcMar>
            <w:vAlign w:val="bottom"/>
          </w:tcPr>
          <w:p w14:paraId="4B24265F" w14:textId="77777777" w:rsidR="00B4771B" w:rsidRPr="00CE3053" w:rsidRDefault="00B4771B" w:rsidP="00B4771B">
            <w:pPr>
              <w:pStyle w:val="TableText"/>
              <w:spacing w:after="0"/>
              <w:jc w:val="center"/>
              <w:rPr>
                <w:rFonts w:ascii="Arial" w:hAnsi="Arial"/>
                <w:color w:val="FF0000"/>
                <w:sz w:val="18"/>
                <w:lang w:val="mk-MK"/>
              </w:rPr>
            </w:pPr>
          </w:p>
        </w:tc>
        <w:tc>
          <w:tcPr>
            <w:tcW w:w="1519" w:type="dxa"/>
            <w:tcBorders>
              <w:top w:val="nil"/>
              <w:left w:val="nil"/>
              <w:bottom w:val="single" w:sz="4" w:space="0" w:color="auto"/>
              <w:right w:val="nil"/>
            </w:tcBorders>
            <w:shd w:val="clear" w:color="auto" w:fill="auto"/>
            <w:noWrap/>
            <w:tcMar>
              <w:left w:w="58" w:type="dxa"/>
              <w:right w:w="58" w:type="dxa"/>
            </w:tcMar>
            <w:vAlign w:val="bottom"/>
          </w:tcPr>
          <w:p w14:paraId="44E0F908" w14:textId="77777777" w:rsidR="00B4771B" w:rsidRPr="00CE3053" w:rsidRDefault="00B4771B" w:rsidP="00B4771B">
            <w:pPr>
              <w:spacing w:after="0"/>
              <w:jc w:val="right"/>
              <w:rPr>
                <w:rFonts w:ascii="Arial" w:hAnsi="Arial" w:cs="Arial"/>
                <w:color w:val="000000"/>
                <w:lang w:val="mk-MK"/>
              </w:rPr>
            </w:pPr>
            <w:r w:rsidRPr="00CE3053">
              <w:rPr>
                <w:rFonts w:ascii="Arial" w:hAnsi="Arial" w:cs="Arial"/>
                <w:color w:val="000000"/>
                <w:lang w:val="mk-MK"/>
              </w:rPr>
              <w:t>-</w:t>
            </w:r>
          </w:p>
        </w:tc>
        <w:tc>
          <w:tcPr>
            <w:tcW w:w="1479" w:type="dxa"/>
            <w:tcBorders>
              <w:top w:val="nil"/>
              <w:left w:val="nil"/>
              <w:bottom w:val="single" w:sz="4" w:space="0" w:color="auto"/>
              <w:right w:val="nil"/>
            </w:tcBorders>
            <w:shd w:val="clear" w:color="auto" w:fill="auto"/>
            <w:noWrap/>
            <w:tcMar>
              <w:left w:w="58" w:type="dxa"/>
              <w:right w:w="58" w:type="dxa"/>
            </w:tcMar>
            <w:vAlign w:val="bottom"/>
          </w:tcPr>
          <w:p w14:paraId="05BE7EAD" w14:textId="399EDF9E" w:rsidR="00B4771B" w:rsidRPr="00CE3053" w:rsidRDefault="00B4771B" w:rsidP="00B4771B">
            <w:pPr>
              <w:spacing w:after="0"/>
              <w:jc w:val="right"/>
              <w:rPr>
                <w:rFonts w:ascii="Arial" w:hAnsi="Arial" w:cs="Arial"/>
                <w:color w:val="000000"/>
                <w:lang w:val="mk-MK"/>
              </w:rPr>
            </w:pPr>
            <w:r w:rsidRPr="00CE3053">
              <w:rPr>
                <w:rFonts w:ascii="Arial" w:hAnsi="Arial" w:cs="Arial"/>
                <w:color w:val="000000"/>
                <w:lang w:val="mk-MK"/>
              </w:rPr>
              <w:t>-</w:t>
            </w:r>
          </w:p>
        </w:tc>
      </w:tr>
      <w:tr w:rsidR="00B4771B" w:rsidRPr="001E6526" w14:paraId="6AC11D90" w14:textId="77777777" w:rsidTr="00A50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4650" w:type="dxa"/>
            <w:tcBorders>
              <w:top w:val="single" w:sz="4" w:space="0" w:color="auto"/>
              <w:left w:val="nil"/>
              <w:bottom w:val="double" w:sz="4" w:space="0" w:color="auto"/>
              <w:right w:val="nil"/>
            </w:tcBorders>
            <w:shd w:val="clear" w:color="auto" w:fill="auto"/>
            <w:noWrap/>
            <w:tcMar>
              <w:left w:w="58" w:type="dxa"/>
              <w:right w:w="58" w:type="dxa"/>
            </w:tcMar>
            <w:vAlign w:val="bottom"/>
          </w:tcPr>
          <w:p w14:paraId="5D6C7952" w14:textId="34C51B0F" w:rsidR="00B4771B" w:rsidRPr="006D4BFE" w:rsidRDefault="006D4BFE" w:rsidP="00B4771B">
            <w:pPr>
              <w:pStyle w:val="TableText"/>
              <w:spacing w:after="0"/>
              <w:rPr>
                <w:rFonts w:ascii="Arial" w:hAnsi="Arial"/>
                <w:b/>
                <w:sz w:val="18"/>
                <w:lang w:val="en-US"/>
              </w:rPr>
            </w:pPr>
            <w:r>
              <w:rPr>
                <w:rFonts w:ascii="Arial" w:hAnsi="Arial"/>
                <w:b/>
                <w:sz w:val="18"/>
                <w:lang w:val="en-US"/>
              </w:rPr>
              <w:t>Total comprehensive income for the year</w:t>
            </w:r>
          </w:p>
        </w:tc>
        <w:tc>
          <w:tcPr>
            <w:tcW w:w="992" w:type="dxa"/>
            <w:tcBorders>
              <w:top w:val="single" w:sz="4" w:space="0" w:color="auto"/>
              <w:left w:val="nil"/>
              <w:bottom w:val="double" w:sz="4" w:space="0" w:color="auto"/>
              <w:right w:val="nil"/>
            </w:tcBorders>
            <w:shd w:val="clear" w:color="auto" w:fill="auto"/>
            <w:noWrap/>
            <w:tcMar>
              <w:left w:w="58" w:type="dxa"/>
              <w:right w:w="58" w:type="dxa"/>
            </w:tcMar>
            <w:vAlign w:val="bottom"/>
          </w:tcPr>
          <w:p w14:paraId="25772405" w14:textId="77777777" w:rsidR="00B4771B" w:rsidRPr="00CE3053" w:rsidRDefault="00B4771B" w:rsidP="00B4771B">
            <w:pPr>
              <w:pStyle w:val="TableText"/>
              <w:spacing w:after="0"/>
              <w:jc w:val="center"/>
              <w:rPr>
                <w:rFonts w:ascii="Arial" w:hAnsi="Arial"/>
                <w:b/>
                <w:color w:val="FF0000"/>
                <w:sz w:val="18"/>
                <w:lang w:val="mk-MK"/>
              </w:rPr>
            </w:pPr>
          </w:p>
        </w:tc>
        <w:tc>
          <w:tcPr>
            <w:tcW w:w="1519" w:type="dxa"/>
            <w:tcBorders>
              <w:top w:val="single" w:sz="4" w:space="0" w:color="auto"/>
              <w:left w:val="nil"/>
              <w:bottom w:val="double" w:sz="4" w:space="0" w:color="auto"/>
              <w:right w:val="nil"/>
            </w:tcBorders>
            <w:shd w:val="clear" w:color="auto" w:fill="auto"/>
            <w:noWrap/>
            <w:tcMar>
              <w:left w:w="58" w:type="dxa"/>
              <w:right w:w="58" w:type="dxa"/>
            </w:tcMar>
            <w:vAlign w:val="bottom"/>
          </w:tcPr>
          <w:p w14:paraId="66AD9680" w14:textId="3B682CF0" w:rsidR="00B4771B" w:rsidRPr="00CE3053" w:rsidRDefault="0035609E" w:rsidP="00B4771B">
            <w:pPr>
              <w:spacing w:after="0"/>
              <w:jc w:val="right"/>
              <w:rPr>
                <w:rFonts w:ascii="Arial" w:hAnsi="Arial" w:cs="Arial"/>
                <w:b/>
                <w:bCs/>
                <w:color w:val="000000"/>
                <w:lang w:val="mk-MK"/>
              </w:rPr>
            </w:pPr>
            <w:r w:rsidRPr="001E6526">
              <w:rPr>
                <w:rFonts w:ascii="Arial" w:hAnsi="Arial" w:cs="Arial"/>
                <w:b/>
                <w:bCs/>
                <w:color w:val="000000"/>
                <w:lang w:val="mk-MK"/>
              </w:rPr>
              <w:t>42</w:t>
            </w:r>
            <w:r w:rsidR="00B4771B" w:rsidRPr="00CE3053">
              <w:rPr>
                <w:rFonts w:ascii="Arial" w:hAnsi="Arial" w:cs="Arial"/>
                <w:b/>
                <w:bCs/>
                <w:color w:val="000000"/>
                <w:lang w:val="mk-MK"/>
              </w:rPr>
              <w:t>,</w:t>
            </w:r>
            <w:r w:rsidRPr="001E6526">
              <w:rPr>
                <w:rFonts w:ascii="Arial" w:hAnsi="Arial" w:cs="Arial"/>
                <w:b/>
                <w:bCs/>
                <w:color w:val="000000"/>
                <w:lang w:val="mk-MK"/>
              </w:rPr>
              <w:t>250</w:t>
            </w:r>
          </w:p>
        </w:tc>
        <w:tc>
          <w:tcPr>
            <w:tcW w:w="1479" w:type="dxa"/>
            <w:tcBorders>
              <w:top w:val="single" w:sz="4" w:space="0" w:color="auto"/>
              <w:left w:val="nil"/>
              <w:bottom w:val="double" w:sz="4" w:space="0" w:color="auto"/>
              <w:right w:val="nil"/>
            </w:tcBorders>
            <w:shd w:val="clear" w:color="auto" w:fill="auto"/>
            <w:noWrap/>
            <w:tcMar>
              <w:left w:w="58" w:type="dxa"/>
              <w:right w:w="58" w:type="dxa"/>
            </w:tcMar>
            <w:vAlign w:val="bottom"/>
          </w:tcPr>
          <w:p w14:paraId="2C739FAB" w14:textId="49E818CF" w:rsidR="00B4771B" w:rsidRPr="00CE3053" w:rsidRDefault="00B4771B" w:rsidP="00B4771B">
            <w:pPr>
              <w:spacing w:after="0"/>
              <w:jc w:val="right"/>
              <w:rPr>
                <w:rFonts w:ascii="Arial" w:hAnsi="Arial" w:cs="Arial"/>
                <w:b/>
                <w:bCs/>
                <w:color w:val="000000"/>
                <w:lang w:val="mk-MK"/>
              </w:rPr>
            </w:pPr>
            <w:r w:rsidRPr="00CE3053">
              <w:rPr>
                <w:rFonts w:ascii="Arial" w:hAnsi="Arial" w:cs="Arial"/>
                <w:b/>
                <w:bCs/>
                <w:color w:val="000000"/>
                <w:lang w:val="mk-MK"/>
              </w:rPr>
              <w:t>70,194</w:t>
            </w:r>
          </w:p>
        </w:tc>
      </w:tr>
    </w:tbl>
    <w:p w14:paraId="0D98113B" w14:textId="77777777" w:rsidR="00815E65" w:rsidRPr="001E6526" w:rsidRDefault="00815E65" w:rsidP="00815E65">
      <w:pPr>
        <w:pStyle w:val="BodyText"/>
        <w:rPr>
          <w:rFonts w:ascii="Arial" w:hAnsi="Arial" w:cs="Arial"/>
          <w:lang w:val="mk-MK"/>
        </w:rPr>
        <w:sectPr w:rsidR="00815E65" w:rsidRPr="001E6526" w:rsidSect="001F52F9">
          <w:headerReference w:type="even" r:id="rId13"/>
          <w:headerReference w:type="default" r:id="rId14"/>
          <w:footerReference w:type="default" r:id="rId15"/>
          <w:headerReference w:type="first" r:id="rId16"/>
          <w:pgSz w:w="11906" w:h="16838" w:code="9"/>
          <w:pgMar w:top="1985" w:right="737" w:bottom="1134" w:left="2608" w:header="709" w:footer="567" w:gutter="0"/>
          <w:pgNumType w:start="3"/>
          <w:cols w:space="708"/>
          <w:docGrid w:linePitch="360"/>
        </w:sectPr>
      </w:pPr>
    </w:p>
    <w:p w14:paraId="1DD9B7D6" w14:textId="60D1A3A0" w:rsidR="00BF38DF" w:rsidRPr="00556127" w:rsidRDefault="00BF38DF" w:rsidP="00BF38DF">
      <w:pPr>
        <w:pStyle w:val="SectionTitle"/>
        <w:framePr w:wrap="around"/>
        <w:rPr>
          <w:color w:val="4F2D7F"/>
          <w:sz w:val="36"/>
          <w:szCs w:val="36"/>
          <w:lang w:val="en-US"/>
        </w:rPr>
      </w:pPr>
      <w:r w:rsidRPr="00CE3053">
        <w:rPr>
          <w:lang w:val="mk-MK"/>
        </w:rPr>
        <w:lastRenderedPageBreak/>
        <w:br w:type="page"/>
      </w:r>
      <w:r w:rsidR="00556127">
        <w:rPr>
          <w:color w:val="4F2D7F"/>
          <w:sz w:val="36"/>
          <w:szCs w:val="36"/>
          <w:lang w:val="en-US"/>
        </w:rPr>
        <w:t>Statement of Financial Position</w:t>
      </w:r>
    </w:p>
    <w:tbl>
      <w:tblPr>
        <w:tblW w:w="8640" w:type="dxa"/>
        <w:tblInd w:w="28" w:type="dxa"/>
        <w:tblLayout w:type="fixed"/>
        <w:tblLook w:val="01E0" w:firstRow="1" w:lastRow="1" w:firstColumn="1" w:lastColumn="1" w:noHBand="0" w:noVBand="0"/>
      </w:tblPr>
      <w:tblGrid>
        <w:gridCol w:w="4361"/>
        <w:gridCol w:w="1001"/>
        <w:gridCol w:w="1640"/>
        <w:gridCol w:w="1638"/>
      </w:tblGrid>
      <w:tr w:rsidR="00A504C6" w:rsidRPr="001E6526" w14:paraId="153100F4" w14:textId="77777777" w:rsidTr="00A504C6">
        <w:trPr>
          <w:trHeight w:val="216"/>
        </w:trPr>
        <w:tc>
          <w:tcPr>
            <w:tcW w:w="4361" w:type="dxa"/>
            <w:shd w:val="clear" w:color="auto" w:fill="auto"/>
            <w:tcMar>
              <w:left w:w="58" w:type="dxa"/>
              <w:right w:w="58" w:type="dxa"/>
            </w:tcMar>
            <w:vAlign w:val="bottom"/>
          </w:tcPr>
          <w:p w14:paraId="7CF466BD" w14:textId="77777777" w:rsidR="00A504C6" w:rsidRPr="00CE3053" w:rsidRDefault="00A504C6" w:rsidP="00815E65">
            <w:pPr>
              <w:pStyle w:val="TableText"/>
              <w:spacing w:after="0"/>
              <w:rPr>
                <w:rFonts w:ascii="Arial" w:hAnsi="Arial"/>
                <w:b/>
                <w:sz w:val="18"/>
                <w:lang w:val="mk-MK"/>
              </w:rPr>
            </w:pPr>
          </w:p>
        </w:tc>
        <w:tc>
          <w:tcPr>
            <w:tcW w:w="1001" w:type="dxa"/>
            <w:shd w:val="clear" w:color="auto" w:fill="auto"/>
            <w:tcMar>
              <w:left w:w="58" w:type="dxa"/>
              <w:right w:w="58" w:type="dxa"/>
            </w:tcMar>
            <w:vAlign w:val="bottom"/>
          </w:tcPr>
          <w:p w14:paraId="47165CE4" w14:textId="77777777" w:rsidR="00A504C6" w:rsidRPr="00A504C6" w:rsidRDefault="00A504C6" w:rsidP="00815E65">
            <w:pPr>
              <w:pStyle w:val="TableText"/>
              <w:spacing w:after="0"/>
              <w:jc w:val="center"/>
              <w:rPr>
                <w:rFonts w:ascii="Arial" w:hAnsi="Arial"/>
                <w:bCs/>
                <w:color w:val="000000"/>
                <w:sz w:val="18"/>
                <w:lang w:val="mk-MK"/>
              </w:rPr>
            </w:pPr>
          </w:p>
        </w:tc>
        <w:tc>
          <w:tcPr>
            <w:tcW w:w="1640" w:type="dxa"/>
            <w:shd w:val="clear" w:color="auto" w:fill="auto"/>
            <w:tcMar>
              <w:left w:w="58" w:type="dxa"/>
              <w:right w:w="58" w:type="dxa"/>
            </w:tcMar>
            <w:vAlign w:val="bottom"/>
          </w:tcPr>
          <w:p w14:paraId="3FF676F6" w14:textId="77777777" w:rsidR="00A504C6" w:rsidRPr="00A504C6" w:rsidRDefault="00A504C6" w:rsidP="00815E65">
            <w:pPr>
              <w:pStyle w:val="TableText"/>
              <w:spacing w:after="0"/>
              <w:jc w:val="right"/>
              <w:rPr>
                <w:rFonts w:ascii="Arial" w:hAnsi="Arial"/>
                <w:bCs/>
                <w:color w:val="000000"/>
                <w:sz w:val="18"/>
                <w:lang w:val="mk-MK"/>
              </w:rPr>
            </w:pPr>
          </w:p>
        </w:tc>
        <w:tc>
          <w:tcPr>
            <w:tcW w:w="1638" w:type="dxa"/>
            <w:shd w:val="clear" w:color="auto" w:fill="auto"/>
            <w:tcMar>
              <w:left w:w="58" w:type="dxa"/>
              <w:right w:w="58" w:type="dxa"/>
            </w:tcMar>
            <w:vAlign w:val="bottom"/>
          </w:tcPr>
          <w:p w14:paraId="6D3E96ED" w14:textId="1490280C" w:rsidR="00A504C6" w:rsidRPr="00A504C6" w:rsidRDefault="00556127" w:rsidP="00A504C6">
            <w:pPr>
              <w:pStyle w:val="TableText"/>
              <w:spacing w:after="0"/>
              <w:jc w:val="right"/>
              <w:rPr>
                <w:rFonts w:ascii="Arial" w:hAnsi="Arial"/>
                <w:bCs/>
                <w:color w:val="000000"/>
                <w:sz w:val="18"/>
                <w:lang w:val="mk-MK"/>
              </w:rPr>
            </w:pPr>
            <w:r>
              <w:rPr>
                <w:rFonts w:ascii="Arial" w:hAnsi="Arial"/>
                <w:bCs/>
                <w:color w:val="000000"/>
                <w:sz w:val="18"/>
                <w:lang w:val="en-US"/>
              </w:rPr>
              <w:t>In</w:t>
            </w:r>
            <w:r w:rsidR="00A504C6" w:rsidRPr="00A504C6">
              <w:rPr>
                <w:rFonts w:ascii="Arial" w:hAnsi="Arial"/>
                <w:bCs/>
                <w:color w:val="000000"/>
                <w:sz w:val="18"/>
                <w:lang w:val="mk-MK"/>
              </w:rPr>
              <w:t xml:space="preserve"> 000 </w:t>
            </w:r>
            <w:r>
              <w:rPr>
                <w:rFonts w:ascii="Arial" w:hAnsi="Arial"/>
                <w:bCs/>
                <w:color w:val="000000"/>
                <w:sz w:val="18"/>
                <w:lang w:val="en-US"/>
              </w:rPr>
              <w:t>denar</w:t>
            </w:r>
            <w:r w:rsidR="00A504C6" w:rsidRPr="00A504C6">
              <w:rPr>
                <w:rFonts w:ascii="Arial" w:hAnsi="Arial"/>
                <w:bCs/>
                <w:color w:val="000000"/>
                <w:sz w:val="18"/>
                <w:lang w:val="mk-MK"/>
              </w:rPr>
              <w:t xml:space="preserve"> </w:t>
            </w:r>
          </w:p>
        </w:tc>
      </w:tr>
      <w:tr w:rsidR="00A504C6" w:rsidRPr="001E6526" w14:paraId="33C8564F" w14:textId="77777777" w:rsidTr="00A504C6">
        <w:trPr>
          <w:trHeight w:val="216"/>
        </w:trPr>
        <w:tc>
          <w:tcPr>
            <w:tcW w:w="4361" w:type="dxa"/>
            <w:shd w:val="clear" w:color="auto" w:fill="auto"/>
            <w:tcMar>
              <w:left w:w="58" w:type="dxa"/>
              <w:right w:w="58" w:type="dxa"/>
            </w:tcMar>
            <w:vAlign w:val="bottom"/>
          </w:tcPr>
          <w:p w14:paraId="0559A4DF" w14:textId="77777777" w:rsidR="00A504C6" w:rsidRPr="00CE3053" w:rsidRDefault="00A504C6" w:rsidP="00815E65">
            <w:pPr>
              <w:pStyle w:val="TableText"/>
              <w:spacing w:after="0"/>
              <w:rPr>
                <w:rFonts w:ascii="Arial" w:hAnsi="Arial"/>
                <w:b/>
                <w:sz w:val="18"/>
                <w:lang w:val="mk-MK"/>
              </w:rPr>
            </w:pPr>
          </w:p>
        </w:tc>
        <w:tc>
          <w:tcPr>
            <w:tcW w:w="1001" w:type="dxa"/>
            <w:shd w:val="clear" w:color="auto" w:fill="auto"/>
            <w:tcMar>
              <w:left w:w="58" w:type="dxa"/>
              <w:right w:w="58" w:type="dxa"/>
            </w:tcMar>
            <w:vAlign w:val="bottom"/>
          </w:tcPr>
          <w:p w14:paraId="5B16AEE4" w14:textId="77777777" w:rsidR="00A504C6" w:rsidRPr="00A504C6" w:rsidRDefault="00A504C6" w:rsidP="00815E65">
            <w:pPr>
              <w:pStyle w:val="TableText"/>
              <w:spacing w:after="0"/>
              <w:jc w:val="center"/>
              <w:rPr>
                <w:rFonts w:ascii="Arial" w:hAnsi="Arial"/>
                <w:bCs/>
                <w:color w:val="000000"/>
                <w:sz w:val="18"/>
                <w:lang w:val="mk-MK"/>
              </w:rPr>
            </w:pPr>
          </w:p>
        </w:tc>
        <w:tc>
          <w:tcPr>
            <w:tcW w:w="1640" w:type="dxa"/>
            <w:shd w:val="clear" w:color="auto" w:fill="auto"/>
            <w:tcMar>
              <w:left w:w="58" w:type="dxa"/>
              <w:right w:w="58" w:type="dxa"/>
            </w:tcMar>
            <w:vAlign w:val="bottom"/>
          </w:tcPr>
          <w:p w14:paraId="10403D4B" w14:textId="77777777" w:rsidR="00A504C6" w:rsidRPr="00A504C6" w:rsidRDefault="00A504C6" w:rsidP="00815E65">
            <w:pPr>
              <w:pStyle w:val="TableText"/>
              <w:spacing w:after="0"/>
              <w:jc w:val="right"/>
              <w:rPr>
                <w:rFonts w:ascii="Arial" w:hAnsi="Arial"/>
                <w:bCs/>
                <w:color w:val="000000"/>
                <w:sz w:val="18"/>
                <w:lang w:val="mk-MK"/>
              </w:rPr>
            </w:pPr>
          </w:p>
        </w:tc>
        <w:tc>
          <w:tcPr>
            <w:tcW w:w="1638" w:type="dxa"/>
            <w:shd w:val="clear" w:color="auto" w:fill="auto"/>
            <w:tcMar>
              <w:left w:w="58" w:type="dxa"/>
              <w:right w:w="58" w:type="dxa"/>
            </w:tcMar>
            <w:vAlign w:val="bottom"/>
          </w:tcPr>
          <w:p w14:paraId="0B7C1F45" w14:textId="576A82CE" w:rsidR="00A504C6" w:rsidRPr="00556127" w:rsidRDefault="00556127" w:rsidP="00815E65">
            <w:pPr>
              <w:pStyle w:val="TableText"/>
              <w:spacing w:after="0"/>
              <w:jc w:val="right"/>
              <w:rPr>
                <w:rFonts w:ascii="Arial" w:hAnsi="Arial"/>
                <w:bCs/>
                <w:color w:val="000000"/>
                <w:sz w:val="18"/>
                <w:lang w:val="en-US"/>
              </w:rPr>
            </w:pPr>
            <w:r>
              <w:rPr>
                <w:rFonts w:ascii="Arial" w:hAnsi="Arial"/>
                <w:bCs/>
                <w:color w:val="000000"/>
                <w:sz w:val="18"/>
                <w:lang w:val="en-US"/>
              </w:rPr>
              <w:t>As of</w:t>
            </w:r>
            <w:r w:rsidR="00A504C6" w:rsidRPr="00A504C6">
              <w:rPr>
                <w:rFonts w:ascii="Arial" w:hAnsi="Arial"/>
                <w:bCs/>
                <w:color w:val="000000"/>
                <w:sz w:val="18"/>
                <w:lang w:val="mk-MK"/>
              </w:rPr>
              <w:t xml:space="preserve"> </w:t>
            </w:r>
            <w:proofErr w:type="gramStart"/>
            <w:r w:rsidR="00A504C6" w:rsidRPr="00A504C6">
              <w:rPr>
                <w:rFonts w:ascii="Arial" w:hAnsi="Arial"/>
                <w:bCs/>
                <w:color w:val="000000"/>
                <w:sz w:val="18"/>
                <w:lang w:val="mk-MK"/>
              </w:rPr>
              <w:t xml:space="preserve">31 </w:t>
            </w:r>
            <w:r>
              <w:rPr>
                <w:rFonts w:ascii="Arial" w:hAnsi="Arial"/>
                <w:bCs/>
                <w:color w:val="000000"/>
                <w:sz w:val="18"/>
                <w:lang w:val="en-US"/>
              </w:rPr>
              <w:t>December</w:t>
            </w:r>
            <w:proofErr w:type="gramEnd"/>
          </w:p>
        </w:tc>
      </w:tr>
      <w:tr w:rsidR="00A504C6" w:rsidRPr="001E6526" w14:paraId="4CA11148" w14:textId="77777777" w:rsidTr="00A504C6">
        <w:trPr>
          <w:trHeight w:val="216"/>
        </w:trPr>
        <w:tc>
          <w:tcPr>
            <w:tcW w:w="4361" w:type="dxa"/>
            <w:shd w:val="clear" w:color="auto" w:fill="auto"/>
            <w:tcMar>
              <w:left w:w="58" w:type="dxa"/>
              <w:right w:w="58" w:type="dxa"/>
            </w:tcMar>
            <w:vAlign w:val="bottom"/>
          </w:tcPr>
          <w:p w14:paraId="4AE61FEB" w14:textId="77777777" w:rsidR="00A504C6" w:rsidRPr="00CE3053" w:rsidRDefault="00A504C6" w:rsidP="00815E65">
            <w:pPr>
              <w:pStyle w:val="TableText"/>
              <w:spacing w:after="0"/>
              <w:rPr>
                <w:rFonts w:ascii="Arial" w:hAnsi="Arial"/>
                <w:b/>
                <w:sz w:val="18"/>
                <w:lang w:val="mk-MK"/>
              </w:rPr>
            </w:pPr>
          </w:p>
        </w:tc>
        <w:tc>
          <w:tcPr>
            <w:tcW w:w="1001" w:type="dxa"/>
            <w:shd w:val="clear" w:color="auto" w:fill="auto"/>
            <w:tcMar>
              <w:left w:w="58" w:type="dxa"/>
              <w:right w:w="58" w:type="dxa"/>
            </w:tcMar>
            <w:vAlign w:val="bottom"/>
          </w:tcPr>
          <w:p w14:paraId="79635482" w14:textId="77777777" w:rsidR="00A504C6" w:rsidRPr="00A504C6" w:rsidRDefault="00A504C6" w:rsidP="00815E65">
            <w:pPr>
              <w:pStyle w:val="TableText"/>
              <w:spacing w:after="0"/>
              <w:jc w:val="center"/>
              <w:rPr>
                <w:rFonts w:ascii="Arial" w:hAnsi="Arial"/>
                <w:bCs/>
                <w:color w:val="000000"/>
                <w:sz w:val="18"/>
                <w:lang w:val="mk-MK"/>
              </w:rPr>
            </w:pPr>
          </w:p>
        </w:tc>
        <w:tc>
          <w:tcPr>
            <w:tcW w:w="1640" w:type="dxa"/>
            <w:shd w:val="clear" w:color="auto" w:fill="auto"/>
            <w:tcMar>
              <w:left w:w="58" w:type="dxa"/>
              <w:right w:w="58" w:type="dxa"/>
            </w:tcMar>
            <w:vAlign w:val="bottom"/>
          </w:tcPr>
          <w:p w14:paraId="72ADECC5" w14:textId="77777777" w:rsidR="00A504C6" w:rsidRPr="00A504C6" w:rsidRDefault="00A504C6" w:rsidP="00815E65">
            <w:pPr>
              <w:pStyle w:val="TableText"/>
              <w:spacing w:after="0"/>
              <w:jc w:val="right"/>
              <w:rPr>
                <w:rFonts w:ascii="Arial" w:hAnsi="Arial"/>
                <w:bCs/>
                <w:color w:val="000000"/>
                <w:sz w:val="18"/>
                <w:lang w:val="mk-MK"/>
              </w:rPr>
            </w:pPr>
          </w:p>
        </w:tc>
        <w:tc>
          <w:tcPr>
            <w:tcW w:w="1638" w:type="dxa"/>
            <w:shd w:val="clear" w:color="auto" w:fill="auto"/>
            <w:tcMar>
              <w:left w:w="58" w:type="dxa"/>
              <w:right w:w="58" w:type="dxa"/>
            </w:tcMar>
            <w:vAlign w:val="bottom"/>
          </w:tcPr>
          <w:p w14:paraId="156130FD" w14:textId="77777777" w:rsidR="00A504C6" w:rsidRPr="00A504C6" w:rsidRDefault="00A504C6" w:rsidP="00815E65">
            <w:pPr>
              <w:pStyle w:val="TableText"/>
              <w:spacing w:after="0"/>
              <w:jc w:val="right"/>
              <w:rPr>
                <w:rFonts w:ascii="Arial" w:hAnsi="Arial"/>
                <w:bCs/>
                <w:color w:val="000000"/>
                <w:sz w:val="18"/>
                <w:lang w:val="mk-MK"/>
              </w:rPr>
            </w:pPr>
          </w:p>
        </w:tc>
      </w:tr>
      <w:tr w:rsidR="00815E65" w:rsidRPr="001E6526" w14:paraId="28DD7EA1" w14:textId="77777777" w:rsidTr="00A504C6">
        <w:trPr>
          <w:trHeight w:val="216"/>
        </w:trPr>
        <w:tc>
          <w:tcPr>
            <w:tcW w:w="4361" w:type="dxa"/>
            <w:shd w:val="clear" w:color="auto" w:fill="auto"/>
            <w:tcMar>
              <w:left w:w="58" w:type="dxa"/>
              <w:right w:w="58" w:type="dxa"/>
            </w:tcMar>
            <w:vAlign w:val="bottom"/>
          </w:tcPr>
          <w:p w14:paraId="26B902D9" w14:textId="74CB5A71" w:rsidR="00815E65" w:rsidRPr="00556127" w:rsidRDefault="00556127" w:rsidP="00815E65">
            <w:pPr>
              <w:pStyle w:val="TableText"/>
              <w:spacing w:after="0"/>
              <w:rPr>
                <w:rFonts w:ascii="Arial" w:hAnsi="Arial"/>
                <w:b/>
                <w:sz w:val="18"/>
                <w:lang w:val="en-US"/>
              </w:rPr>
            </w:pPr>
            <w:r>
              <w:rPr>
                <w:rFonts w:ascii="Arial" w:hAnsi="Arial"/>
                <w:b/>
                <w:sz w:val="18"/>
                <w:lang w:val="en-US"/>
              </w:rPr>
              <w:t>Assets</w:t>
            </w:r>
          </w:p>
        </w:tc>
        <w:tc>
          <w:tcPr>
            <w:tcW w:w="1001" w:type="dxa"/>
            <w:shd w:val="clear" w:color="auto" w:fill="auto"/>
            <w:tcMar>
              <w:left w:w="58" w:type="dxa"/>
              <w:right w:w="58" w:type="dxa"/>
            </w:tcMar>
            <w:vAlign w:val="bottom"/>
          </w:tcPr>
          <w:p w14:paraId="22AF0FAF" w14:textId="072C3084" w:rsidR="00815E65" w:rsidRPr="00556127" w:rsidRDefault="00556127" w:rsidP="00815E65">
            <w:pPr>
              <w:pStyle w:val="TableText"/>
              <w:spacing w:after="0"/>
              <w:jc w:val="center"/>
              <w:rPr>
                <w:rFonts w:ascii="Arial" w:hAnsi="Arial"/>
                <w:bCs/>
                <w:color w:val="000000"/>
                <w:sz w:val="18"/>
                <w:lang w:val="en-US"/>
              </w:rPr>
            </w:pPr>
            <w:r>
              <w:rPr>
                <w:rFonts w:ascii="Arial" w:hAnsi="Arial"/>
                <w:bCs/>
                <w:color w:val="000000"/>
                <w:sz w:val="18"/>
                <w:lang w:val="en-US"/>
              </w:rPr>
              <w:t>Notes</w:t>
            </w:r>
          </w:p>
        </w:tc>
        <w:tc>
          <w:tcPr>
            <w:tcW w:w="1640" w:type="dxa"/>
            <w:shd w:val="clear" w:color="auto" w:fill="auto"/>
            <w:tcMar>
              <w:left w:w="58" w:type="dxa"/>
              <w:right w:w="58" w:type="dxa"/>
            </w:tcMar>
            <w:vAlign w:val="bottom"/>
          </w:tcPr>
          <w:p w14:paraId="30F95FAD" w14:textId="2DF7E286" w:rsidR="00815E65" w:rsidRPr="00A504C6" w:rsidRDefault="00A504C6" w:rsidP="00A504C6">
            <w:pPr>
              <w:pStyle w:val="TableText"/>
              <w:spacing w:after="0"/>
              <w:jc w:val="right"/>
              <w:rPr>
                <w:rFonts w:ascii="Arial" w:hAnsi="Arial"/>
                <w:bCs/>
                <w:color w:val="000000"/>
                <w:sz w:val="18"/>
                <w:lang w:val="mk-MK"/>
              </w:rPr>
            </w:pPr>
            <w:r w:rsidRPr="00A504C6">
              <w:rPr>
                <w:rFonts w:ascii="Arial" w:hAnsi="Arial"/>
                <w:bCs/>
                <w:color w:val="000000"/>
                <w:sz w:val="18"/>
                <w:lang w:val="mk-MK"/>
              </w:rPr>
              <w:t>2021</w:t>
            </w:r>
          </w:p>
        </w:tc>
        <w:tc>
          <w:tcPr>
            <w:tcW w:w="1638" w:type="dxa"/>
            <w:shd w:val="clear" w:color="auto" w:fill="auto"/>
            <w:tcMar>
              <w:left w:w="58" w:type="dxa"/>
              <w:right w:w="58" w:type="dxa"/>
            </w:tcMar>
            <w:vAlign w:val="bottom"/>
          </w:tcPr>
          <w:p w14:paraId="69D8450A" w14:textId="6D60DF23" w:rsidR="00815E65" w:rsidRPr="00A504C6" w:rsidRDefault="00A504C6" w:rsidP="00A504C6">
            <w:pPr>
              <w:pStyle w:val="TableText"/>
              <w:spacing w:after="0"/>
              <w:jc w:val="right"/>
              <w:rPr>
                <w:rFonts w:ascii="Arial" w:hAnsi="Arial"/>
                <w:bCs/>
                <w:color w:val="000000"/>
                <w:sz w:val="18"/>
                <w:lang w:val="mk-MK"/>
              </w:rPr>
            </w:pPr>
            <w:r w:rsidRPr="00A504C6">
              <w:rPr>
                <w:rFonts w:ascii="Arial" w:hAnsi="Arial"/>
                <w:bCs/>
                <w:color w:val="000000"/>
                <w:sz w:val="18"/>
                <w:lang w:val="mk-MK"/>
              </w:rPr>
              <w:t>2020</w:t>
            </w:r>
          </w:p>
        </w:tc>
      </w:tr>
      <w:tr w:rsidR="00815E65" w:rsidRPr="001E6526" w14:paraId="773AB0DB" w14:textId="77777777" w:rsidTr="00A504C6">
        <w:trPr>
          <w:trHeight w:val="216"/>
        </w:trPr>
        <w:tc>
          <w:tcPr>
            <w:tcW w:w="4361" w:type="dxa"/>
            <w:shd w:val="clear" w:color="auto" w:fill="auto"/>
            <w:tcMar>
              <w:left w:w="58" w:type="dxa"/>
              <w:right w:w="58" w:type="dxa"/>
            </w:tcMar>
            <w:vAlign w:val="bottom"/>
          </w:tcPr>
          <w:p w14:paraId="544FB2D7" w14:textId="186C2314" w:rsidR="00815E65" w:rsidRPr="00CE3053" w:rsidRDefault="00556127" w:rsidP="00815E65">
            <w:pPr>
              <w:pStyle w:val="TableText"/>
              <w:spacing w:after="0"/>
              <w:rPr>
                <w:rFonts w:ascii="Arial" w:hAnsi="Arial"/>
                <w:b/>
                <w:sz w:val="18"/>
                <w:lang w:val="mk-MK"/>
              </w:rPr>
            </w:pPr>
            <w:proofErr w:type="spellStart"/>
            <w:r w:rsidRPr="00556127">
              <w:rPr>
                <w:rFonts w:ascii="Arial" w:hAnsi="Arial"/>
                <w:b/>
                <w:sz w:val="18"/>
                <w:lang w:val="mk-MK"/>
              </w:rPr>
              <w:t>Non-current</w:t>
            </w:r>
            <w:proofErr w:type="spellEnd"/>
            <w:r w:rsidRPr="00556127">
              <w:rPr>
                <w:rFonts w:ascii="Arial" w:hAnsi="Arial"/>
                <w:b/>
                <w:sz w:val="18"/>
                <w:lang w:val="mk-MK"/>
              </w:rPr>
              <w:t xml:space="preserve"> </w:t>
            </w:r>
            <w:proofErr w:type="spellStart"/>
            <w:r w:rsidRPr="00556127">
              <w:rPr>
                <w:rFonts w:ascii="Arial" w:hAnsi="Arial"/>
                <w:b/>
                <w:sz w:val="18"/>
                <w:lang w:val="mk-MK"/>
              </w:rPr>
              <w:t>assets</w:t>
            </w:r>
            <w:proofErr w:type="spellEnd"/>
          </w:p>
        </w:tc>
        <w:tc>
          <w:tcPr>
            <w:tcW w:w="1001" w:type="dxa"/>
            <w:shd w:val="clear" w:color="auto" w:fill="auto"/>
            <w:tcMar>
              <w:left w:w="58" w:type="dxa"/>
              <w:right w:w="58" w:type="dxa"/>
            </w:tcMar>
            <w:vAlign w:val="bottom"/>
          </w:tcPr>
          <w:p w14:paraId="108CBF78" w14:textId="77777777" w:rsidR="00815E65" w:rsidRPr="00CE3053" w:rsidRDefault="00815E65" w:rsidP="00815E65">
            <w:pPr>
              <w:pStyle w:val="TableText"/>
              <w:spacing w:after="0"/>
              <w:jc w:val="center"/>
              <w:rPr>
                <w:rFonts w:ascii="Arial" w:hAnsi="Arial"/>
                <w:b/>
                <w:color w:val="000000"/>
                <w:sz w:val="18"/>
                <w:lang w:val="mk-MK"/>
              </w:rPr>
            </w:pPr>
          </w:p>
        </w:tc>
        <w:tc>
          <w:tcPr>
            <w:tcW w:w="1640" w:type="dxa"/>
            <w:shd w:val="clear" w:color="auto" w:fill="auto"/>
            <w:tcMar>
              <w:left w:w="58" w:type="dxa"/>
              <w:right w:w="58" w:type="dxa"/>
            </w:tcMar>
            <w:vAlign w:val="bottom"/>
          </w:tcPr>
          <w:p w14:paraId="029A1E83" w14:textId="77777777" w:rsidR="00815E65" w:rsidRPr="00CE3053" w:rsidRDefault="00815E65" w:rsidP="00815E65">
            <w:pPr>
              <w:pStyle w:val="TableText"/>
              <w:spacing w:after="0"/>
              <w:jc w:val="right"/>
              <w:rPr>
                <w:rFonts w:ascii="Arial" w:hAnsi="Arial"/>
                <w:b/>
                <w:color w:val="000000"/>
                <w:sz w:val="18"/>
                <w:lang w:val="mk-MK"/>
              </w:rPr>
            </w:pPr>
          </w:p>
        </w:tc>
        <w:tc>
          <w:tcPr>
            <w:tcW w:w="1638" w:type="dxa"/>
            <w:shd w:val="clear" w:color="auto" w:fill="auto"/>
            <w:tcMar>
              <w:left w:w="58" w:type="dxa"/>
              <w:right w:w="58" w:type="dxa"/>
            </w:tcMar>
            <w:vAlign w:val="bottom"/>
          </w:tcPr>
          <w:p w14:paraId="6D9138BE" w14:textId="77777777" w:rsidR="00815E65" w:rsidRPr="00CE3053" w:rsidRDefault="00815E65" w:rsidP="00815E65">
            <w:pPr>
              <w:pStyle w:val="TableText"/>
              <w:spacing w:after="0"/>
              <w:jc w:val="right"/>
              <w:rPr>
                <w:rFonts w:ascii="Arial" w:hAnsi="Arial"/>
                <w:b/>
                <w:color w:val="000000"/>
                <w:sz w:val="18"/>
                <w:lang w:val="mk-MK"/>
              </w:rPr>
            </w:pPr>
          </w:p>
        </w:tc>
      </w:tr>
      <w:tr w:rsidR="00DB63C7" w:rsidRPr="001E6526" w14:paraId="297FEEAE" w14:textId="77777777" w:rsidTr="00A504C6">
        <w:trPr>
          <w:trHeight w:val="216"/>
        </w:trPr>
        <w:tc>
          <w:tcPr>
            <w:tcW w:w="4361" w:type="dxa"/>
            <w:shd w:val="clear" w:color="auto" w:fill="auto"/>
            <w:tcMar>
              <w:left w:w="58" w:type="dxa"/>
              <w:right w:w="58" w:type="dxa"/>
            </w:tcMar>
            <w:vAlign w:val="bottom"/>
          </w:tcPr>
          <w:p w14:paraId="219FBE9E" w14:textId="306C7A79" w:rsidR="00DB63C7" w:rsidRPr="00CE3053" w:rsidRDefault="00556127" w:rsidP="00DB63C7">
            <w:pPr>
              <w:pStyle w:val="TableText"/>
              <w:spacing w:after="0"/>
              <w:rPr>
                <w:rFonts w:ascii="Arial" w:hAnsi="Arial"/>
                <w:bCs/>
                <w:sz w:val="18"/>
                <w:lang w:val="mk-MK"/>
              </w:rPr>
            </w:pPr>
            <w:proofErr w:type="spellStart"/>
            <w:r w:rsidRPr="00556127">
              <w:rPr>
                <w:rFonts w:ascii="Arial" w:hAnsi="Arial"/>
                <w:bCs/>
                <w:sz w:val="18"/>
                <w:lang w:val="mk-MK"/>
              </w:rPr>
              <w:t>Property</w:t>
            </w:r>
            <w:proofErr w:type="spellEnd"/>
            <w:r w:rsidRPr="00556127">
              <w:rPr>
                <w:rFonts w:ascii="Arial" w:hAnsi="Arial"/>
                <w:bCs/>
                <w:sz w:val="18"/>
                <w:lang w:val="mk-MK"/>
              </w:rPr>
              <w:t xml:space="preserve"> </w:t>
            </w:r>
            <w:proofErr w:type="spellStart"/>
            <w:r w:rsidRPr="00556127">
              <w:rPr>
                <w:rFonts w:ascii="Arial" w:hAnsi="Arial"/>
                <w:bCs/>
                <w:sz w:val="18"/>
                <w:lang w:val="mk-MK"/>
              </w:rPr>
              <w:t>and</w:t>
            </w:r>
            <w:proofErr w:type="spellEnd"/>
            <w:r w:rsidRPr="00556127">
              <w:rPr>
                <w:rFonts w:ascii="Arial" w:hAnsi="Arial"/>
                <w:bCs/>
                <w:sz w:val="18"/>
                <w:lang w:val="mk-MK"/>
              </w:rPr>
              <w:t xml:space="preserve"> </w:t>
            </w:r>
            <w:proofErr w:type="spellStart"/>
            <w:r w:rsidRPr="00556127">
              <w:rPr>
                <w:rFonts w:ascii="Arial" w:hAnsi="Arial"/>
                <w:bCs/>
                <w:sz w:val="18"/>
                <w:lang w:val="mk-MK"/>
              </w:rPr>
              <w:t>equipment</w:t>
            </w:r>
            <w:proofErr w:type="spellEnd"/>
          </w:p>
        </w:tc>
        <w:tc>
          <w:tcPr>
            <w:tcW w:w="1001" w:type="dxa"/>
            <w:shd w:val="clear" w:color="auto" w:fill="auto"/>
            <w:tcMar>
              <w:left w:w="58" w:type="dxa"/>
              <w:right w:w="58" w:type="dxa"/>
            </w:tcMar>
            <w:vAlign w:val="bottom"/>
          </w:tcPr>
          <w:p w14:paraId="08606D06" w14:textId="77777777" w:rsidR="00DB63C7" w:rsidRPr="001E6526" w:rsidRDefault="00DB63C7" w:rsidP="00A504C6">
            <w:pPr>
              <w:pStyle w:val="TableText"/>
              <w:spacing w:after="0"/>
              <w:jc w:val="center"/>
              <w:rPr>
                <w:rFonts w:ascii="Arial" w:hAnsi="Arial"/>
                <w:bCs/>
                <w:sz w:val="18"/>
                <w:lang w:val="mk-MK"/>
              </w:rPr>
            </w:pPr>
            <w:r w:rsidRPr="001E6526">
              <w:rPr>
                <w:rFonts w:ascii="Arial" w:hAnsi="Arial"/>
                <w:bCs/>
                <w:sz w:val="18"/>
                <w:lang w:val="mk-MK"/>
              </w:rPr>
              <w:t>10</w:t>
            </w:r>
          </w:p>
        </w:tc>
        <w:tc>
          <w:tcPr>
            <w:tcW w:w="1640" w:type="dxa"/>
            <w:shd w:val="clear" w:color="auto" w:fill="auto"/>
            <w:tcMar>
              <w:left w:w="58" w:type="dxa"/>
              <w:right w:w="58" w:type="dxa"/>
            </w:tcMar>
            <w:vAlign w:val="bottom"/>
          </w:tcPr>
          <w:p w14:paraId="76432670" w14:textId="44AE49A8" w:rsidR="00DB63C7" w:rsidRPr="001E6526" w:rsidRDefault="00106064" w:rsidP="00DB63C7">
            <w:pPr>
              <w:spacing w:after="0"/>
              <w:jc w:val="right"/>
              <w:rPr>
                <w:rFonts w:ascii="Arial" w:hAnsi="Arial" w:cs="Arial"/>
                <w:color w:val="000000"/>
                <w:lang w:val="mk-MK"/>
              </w:rPr>
            </w:pPr>
            <w:r w:rsidRPr="001E6526">
              <w:rPr>
                <w:rFonts w:ascii="Arial" w:hAnsi="Arial" w:cs="Arial"/>
                <w:color w:val="000000"/>
                <w:lang w:val="mk-MK"/>
              </w:rPr>
              <w:t>19,101</w:t>
            </w:r>
          </w:p>
        </w:tc>
        <w:tc>
          <w:tcPr>
            <w:tcW w:w="1638" w:type="dxa"/>
            <w:shd w:val="clear" w:color="auto" w:fill="auto"/>
            <w:tcMar>
              <w:left w:w="58" w:type="dxa"/>
              <w:right w:w="58" w:type="dxa"/>
            </w:tcMar>
            <w:vAlign w:val="bottom"/>
          </w:tcPr>
          <w:p w14:paraId="09269DC9" w14:textId="613FB2AE" w:rsidR="00DB63C7" w:rsidRPr="00CE3053" w:rsidRDefault="00DB63C7" w:rsidP="00DB63C7">
            <w:pPr>
              <w:spacing w:after="0"/>
              <w:jc w:val="right"/>
              <w:rPr>
                <w:rFonts w:ascii="Arial" w:hAnsi="Arial" w:cs="Arial"/>
                <w:color w:val="000000"/>
                <w:lang w:val="mk-MK"/>
              </w:rPr>
            </w:pPr>
            <w:r w:rsidRPr="00CE3053">
              <w:rPr>
                <w:rFonts w:ascii="Arial" w:hAnsi="Arial" w:cs="Arial"/>
                <w:color w:val="000000"/>
                <w:lang w:val="mk-MK"/>
              </w:rPr>
              <w:t>19,843</w:t>
            </w:r>
          </w:p>
        </w:tc>
      </w:tr>
      <w:tr w:rsidR="00DB63C7" w:rsidRPr="001E6526" w14:paraId="038055A2" w14:textId="77777777" w:rsidTr="00A504C6">
        <w:trPr>
          <w:trHeight w:val="216"/>
        </w:trPr>
        <w:tc>
          <w:tcPr>
            <w:tcW w:w="4361" w:type="dxa"/>
            <w:shd w:val="clear" w:color="auto" w:fill="auto"/>
            <w:tcMar>
              <w:left w:w="58" w:type="dxa"/>
              <w:right w:w="58" w:type="dxa"/>
            </w:tcMar>
            <w:vAlign w:val="bottom"/>
          </w:tcPr>
          <w:p w14:paraId="2BF447B4" w14:textId="03671F4C" w:rsidR="00DB63C7" w:rsidRPr="00CE3053" w:rsidRDefault="00556127" w:rsidP="00DB63C7">
            <w:pPr>
              <w:pStyle w:val="TableText"/>
              <w:spacing w:after="0"/>
              <w:rPr>
                <w:rFonts w:ascii="Arial" w:hAnsi="Arial"/>
                <w:bCs/>
                <w:sz w:val="18"/>
                <w:lang w:val="mk-MK"/>
              </w:rPr>
            </w:pPr>
            <w:proofErr w:type="spellStart"/>
            <w:r w:rsidRPr="00556127">
              <w:rPr>
                <w:rFonts w:ascii="Arial" w:hAnsi="Arial"/>
                <w:bCs/>
                <w:sz w:val="18"/>
                <w:lang w:val="mk-MK"/>
              </w:rPr>
              <w:t>Intangible</w:t>
            </w:r>
            <w:proofErr w:type="spellEnd"/>
            <w:r w:rsidRPr="00556127">
              <w:rPr>
                <w:rFonts w:ascii="Arial" w:hAnsi="Arial"/>
                <w:bCs/>
                <w:sz w:val="18"/>
                <w:lang w:val="mk-MK"/>
              </w:rPr>
              <w:t xml:space="preserve"> </w:t>
            </w:r>
            <w:proofErr w:type="spellStart"/>
            <w:r w:rsidRPr="00556127">
              <w:rPr>
                <w:rFonts w:ascii="Arial" w:hAnsi="Arial"/>
                <w:bCs/>
                <w:sz w:val="18"/>
                <w:lang w:val="mk-MK"/>
              </w:rPr>
              <w:t>assets</w:t>
            </w:r>
            <w:proofErr w:type="spellEnd"/>
          </w:p>
        </w:tc>
        <w:tc>
          <w:tcPr>
            <w:tcW w:w="1001" w:type="dxa"/>
            <w:shd w:val="clear" w:color="auto" w:fill="auto"/>
            <w:tcMar>
              <w:left w:w="58" w:type="dxa"/>
              <w:right w:w="58" w:type="dxa"/>
            </w:tcMar>
            <w:vAlign w:val="bottom"/>
          </w:tcPr>
          <w:p w14:paraId="556F8A99" w14:textId="77777777" w:rsidR="00DB63C7" w:rsidRPr="001E6526" w:rsidRDefault="00DB63C7" w:rsidP="00A504C6">
            <w:pPr>
              <w:pStyle w:val="TableText"/>
              <w:spacing w:after="0"/>
              <w:jc w:val="center"/>
              <w:rPr>
                <w:rFonts w:ascii="Arial" w:hAnsi="Arial"/>
                <w:bCs/>
                <w:sz w:val="18"/>
                <w:lang w:val="mk-MK"/>
              </w:rPr>
            </w:pPr>
            <w:r w:rsidRPr="001E6526">
              <w:rPr>
                <w:rFonts w:ascii="Arial" w:hAnsi="Arial"/>
                <w:bCs/>
                <w:sz w:val="18"/>
                <w:lang w:val="mk-MK"/>
              </w:rPr>
              <w:t>11</w:t>
            </w:r>
          </w:p>
        </w:tc>
        <w:tc>
          <w:tcPr>
            <w:tcW w:w="1640" w:type="dxa"/>
            <w:shd w:val="clear" w:color="auto" w:fill="auto"/>
            <w:tcMar>
              <w:left w:w="58" w:type="dxa"/>
              <w:right w:w="58" w:type="dxa"/>
            </w:tcMar>
            <w:vAlign w:val="bottom"/>
          </w:tcPr>
          <w:p w14:paraId="3324F0FD" w14:textId="77777777" w:rsidR="00DB63C7" w:rsidRPr="00CE3053" w:rsidRDefault="00DB63C7" w:rsidP="00DB63C7">
            <w:pPr>
              <w:spacing w:after="0"/>
              <w:jc w:val="right"/>
              <w:rPr>
                <w:rFonts w:ascii="Arial" w:hAnsi="Arial" w:cs="Arial"/>
                <w:color w:val="000000"/>
                <w:lang w:val="mk-MK"/>
              </w:rPr>
            </w:pPr>
            <w:r w:rsidRPr="00CE3053">
              <w:rPr>
                <w:rFonts w:ascii="Arial" w:hAnsi="Arial" w:cs="Arial"/>
                <w:color w:val="000000"/>
                <w:lang w:val="mk-MK"/>
              </w:rPr>
              <w:t>-</w:t>
            </w:r>
          </w:p>
        </w:tc>
        <w:tc>
          <w:tcPr>
            <w:tcW w:w="1638" w:type="dxa"/>
            <w:shd w:val="clear" w:color="auto" w:fill="auto"/>
            <w:tcMar>
              <w:left w:w="58" w:type="dxa"/>
              <w:right w:w="58" w:type="dxa"/>
            </w:tcMar>
            <w:vAlign w:val="bottom"/>
          </w:tcPr>
          <w:p w14:paraId="2B3DF8D9" w14:textId="73F22429" w:rsidR="00DB63C7" w:rsidRPr="00CE3053" w:rsidRDefault="00DB63C7" w:rsidP="00DB63C7">
            <w:pPr>
              <w:spacing w:after="0"/>
              <w:jc w:val="right"/>
              <w:rPr>
                <w:rFonts w:ascii="Arial" w:hAnsi="Arial" w:cs="Arial"/>
                <w:color w:val="000000"/>
                <w:lang w:val="mk-MK"/>
              </w:rPr>
            </w:pPr>
            <w:r w:rsidRPr="00CE3053">
              <w:rPr>
                <w:rFonts w:ascii="Arial" w:hAnsi="Arial" w:cs="Arial"/>
                <w:color w:val="000000"/>
                <w:lang w:val="mk-MK"/>
              </w:rPr>
              <w:t>-</w:t>
            </w:r>
          </w:p>
        </w:tc>
      </w:tr>
      <w:tr w:rsidR="00DB63C7" w:rsidRPr="001E6526" w14:paraId="0F2EE0A7" w14:textId="77777777" w:rsidTr="00A504C6">
        <w:trPr>
          <w:trHeight w:val="216"/>
        </w:trPr>
        <w:tc>
          <w:tcPr>
            <w:tcW w:w="4361" w:type="dxa"/>
            <w:tcBorders>
              <w:top w:val="single" w:sz="4" w:space="0" w:color="auto"/>
            </w:tcBorders>
            <w:shd w:val="clear" w:color="auto" w:fill="auto"/>
            <w:tcMar>
              <w:left w:w="58" w:type="dxa"/>
              <w:right w:w="58" w:type="dxa"/>
            </w:tcMar>
            <w:vAlign w:val="bottom"/>
          </w:tcPr>
          <w:p w14:paraId="6D61CF30" w14:textId="77777777" w:rsidR="00DB63C7" w:rsidRPr="00CE3053" w:rsidRDefault="00DB63C7" w:rsidP="00DB63C7">
            <w:pPr>
              <w:pStyle w:val="TableText"/>
              <w:spacing w:after="0"/>
              <w:rPr>
                <w:rFonts w:ascii="Arial" w:hAnsi="Arial"/>
                <w:b/>
                <w:bCs/>
                <w:sz w:val="18"/>
                <w:lang w:val="mk-MK"/>
              </w:rPr>
            </w:pPr>
          </w:p>
        </w:tc>
        <w:tc>
          <w:tcPr>
            <w:tcW w:w="1001" w:type="dxa"/>
            <w:tcBorders>
              <w:top w:val="single" w:sz="4" w:space="0" w:color="auto"/>
            </w:tcBorders>
            <w:shd w:val="clear" w:color="auto" w:fill="auto"/>
            <w:tcMar>
              <w:left w:w="58" w:type="dxa"/>
              <w:right w:w="58" w:type="dxa"/>
            </w:tcMar>
            <w:vAlign w:val="bottom"/>
          </w:tcPr>
          <w:p w14:paraId="5C564C23" w14:textId="77777777" w:rsidR="00DB63C7" w:rsidRPr="00CE3053" w:rsidRDefault="00DB63C7" w:rsidP="00A504C6">
            <w:pPr>
              <w:pStyle w:val="TableText"/>
              <w:spacing w:after="0"/>
              <w:jc w:val="center"/>
              <w:rPr>
                <w:rFonts w:ascii="Arial" w:hAnsi="Arial"/>
                <w:b/>
                <w:sz w:val="18"/>
                <w:lang w:val="mk-MK"/>
              </w:rPr>
            </w:pPr>
          </w:p>
        </w:tc>
        <w:tc>
          <w:tcPr>
            <w:tcW w:w="1640" w:type="dxa"/>
            <w:tcBorders>
              <w:top w:val="single" w:sz="4" w:space="0" w:color="auto"/>
            </w:tcBorders>
            <w:shd w:val="clear" w:color="auto" w:fill="auto"/>
            <w:tcMar>
              <w:left w:w="58" w:type="dxa"/>
              <w:right w:w="58" w:type="dxa"/>
            </w:tcMar>
            <w:vAlign w:val="bottom"/>
          </w:tcPr>
          <w:p w14:paraId="75B3C389" w14:textId="667EE57A" w:rsidR="00DB63C7" w:rsidRPr="001E6526" w:rsidRDefault="00DB63C7" w:rsidP="00DB63C7">
            <w:pPr>
              <w:spacing w:after="0"/>
              <w:jc w:val="right"/>
              <w:rPr>
                <w:rFonts w:ascii="Arial" w:hAnsi="Arial" w:cs="Arial"/>
                <w:b/>
                <w:bCs/>
                <w:color w:val="000000"/>
                <w:lang w:val="mk-MK"/>
              </w:rPr>
            </w:pPr>
            <w:r w:rsidRPr="00CE3053">
              <w:rPr>
                <w:rFonts w:ascii="Arial" w:hAnsi="Arial" w:cs="Arial"/>
                <w:b/>
                <w:bCs/>
                <w:color w:val="000000"/>
                <w:lang w:val="mk-MK"/>
              </w:rPr>
              <w:t>19,</w:t>
            </w:r>
            <w:r w:rsidR="00106064" w:rsidRPr="001E6526">
              <w:rPr>
                <w:rFonts w:ascii="Arial" w:hAnsi="Arial" w:cs="Arial"/>
                <w:b/>
                <w:bCs/>
                <w:color w:val="000000"/>
                <w:lang w:val="mk-MK"/>
              </w:rPr>
              <w:t>101</w:t>
            </w:r>
          </w:p>
        </w:tc>
        <w:tc>
          <w:tcPr>
            <w:tcW w:w="1638" w:type="dxa"/>
            <w:tcBorders>
              <w:top w:val="single" w:sz="4" w:space="0" w:color="auto"/>
            </w:tcBorders>
            <w:shd w:val="clear" w:color="auto" w:fill="auto"/>
            <w:tcMar>
              <w:left w:w="58" w:type="dxa"/>
              <w:right w:w="58" w:type="dxa"/>
            </w:tcMar>
            <w:vAlign w:val="bottom"/>
          </w:tcPr>
          <w:p w14:paraId="0C616365" w14:textId="70FED3CB" w:rsidR="00DB63C7" w:rsidRPr="00CE3053" w:rsidRDefault="00DB63C7" w:rsidP="00DB63C7">
            <w:pPr>
              <w:spacing w:after="0"/>
              <w:jc w:val="right"/>
              <w:rPr>
                <w:rFonts w:ascii="Arial" w:hAnsi="Arial" w:cs="Arial"/>
                <w:b/>
                <w:bCs/>
                <w:color w:val="000000"/>
                <w:lang w:val="mk-MK"/>
              </w:rPr>
            </w:pPr>
            <w:r w:rsidRPr="00CE3053">
              <w:rPr>
                <w:rFonts w:ascii="Arial" w:hAnsi="Arial" w:cs="Arial"/>
                <w:b/>
                <w:bCs/>
                <w:color w:val="000000"/>
                <w:lang w:val="mk-MK"/>
              </w:rPr>
              <w:t>19,843</w:t>
            </w:r>
          </w:p>
        </w:tc>
      </w:tr>
      <w:tr w:rsidR="00DB63C7" w:rsidRPr="001E6526" w14:paraId="30716D7D" w14:textId="77777777" w:rsidTr="00A504C6">
        <w:trPr>
          <w:trHeight w:val="216"/>
        </w:trPr>
        <w:tc>
          <w:tcPr>
            <w:tcW w:w="4361" w:type="dxa"/>
            <w:shd w:val="clear" w:color="auto" w:fill="auto"/>
            <w:tcMar>
              <w:left w:w="58" w:type="dxa"/>
              <w:right w:w="58" w:type="dxa"/>
            </w:tcMar>
            <w:vAlign w:val="bottom"/>
          </w:tcPr>
          <w:p w14:paraId="146D1AAC" w14:textId="756BB5C8" w:rsidR="00DB63C7" w:rsidRPr="00CE3053" w:rsidRDefault="00556127" w:rsidP="00DB63C7">
            <w:pPr>
              <w:pStyle w:val="TableText"/>
              <w:spacing w:after="0"/>
              <w:rPr>
                <w:rFonts w:ascii="Arial" w:hAnsi="Arial"/>
                <w:b/>
                <w:sz w:val="18"/>
                <w:lang w:val="mk-MK"/>
              </w:rPr>
            </w:pPr>
            <w:proofErr w:type="spellStart"/>
            <w:r w:rsidRPr="00556127">
              <w:rPr>
                <w:rFonts w:ascii="Arial" w:hAnsi="Arial"/>
                <w:b/>
                <w:sz w:val="18"/>
                <w:lang w:val="mk-MK"/>
              </w:rPr>
              <w:t>Current</w:t>
            </w:r>
            <w:proofErr w:type="spellEnd"/>
            <w:r w:rsidRPr="00556127">
              <w:rPr>
                <w:rFonts w:ascii="Arial" w:hAnsi="Arial"/>
                <w:b/>
                <w:sz w:val="18"/>
                <w:lang w:val="mk-MK"/>
              </w:rPr>
              <w:t xml:space="preserve"> </w:t>
            </w:r>
            <w:proofErr w:type="spellStart"/>
            <w:r w:rsidRPr="00556127">
              <w:rPr>
                <w:rFonts w:ascii="Arial" w:hAnsi="Arial"/>
                <w:b/>
                <w:sz w:val="18"/>
                <w:lang w:val="mk-MK"/>
              </w:rPr>
              <w:t>assets</w:t>
            </w:r>
            <w:proofErr w:type="spellEnd"/>
          </w:p>
        </w:tc>
        <w:tc>
          <w:tcPr>
            <w:tcW w:w="1001" w:type="dxa"/>
            <w:shd w:val="clear" w:color="auto" w:fill="auto"/>
            <w:tcMar>
              <w:left w:w="58" w:type="dxa"/>
              <w:right w:w="58" w:type="dxa"/>
            </w:tcMar>
            <w:vAlign w:val="bottom"/>
          </w:tcPr>
          <w:p w14:paraId="38A4EE35" w14:textId="77777777" w:rsidR="00DB63C7" w:rsidRPr="00CE3053" w:rsidRDefault="00DB63C7" w:rsidP="00A504C6">
            <w:pPr>
              <w:pStyle w:val="TableText"/>
              <w:spacing w:after="0"/>
              <w:jc w:val="center"/>
              <w:rPr>
                <w:rFonts w:ascii="Arial" w:hAnsi="Arial"/>
                <w:b/>
                <w:color w:val="FF0000"/>
                <w:sz w:val="18"/>
                <w:lang w:val="mk-MK"/>
              </w:rPr>
            </w:pPr>
          </w:p>
        </w:tc>
        <w:tc>
          <w:tcPr>
            <w:tcW w:w="1640" w:type="dxa"/>
            <w:shd w:val="clear" w:color="auto" w:fill="auto"/>
            <w:tcMar>
              <w:left w:w="58" w:type="dxa"/>
              <w:right w:w="58" w:type="dxa"/>
            </w:tcMar>
            <w:vAlign w:val="bottom"/>
          </w:tcPr>
          <w:p w14:paraId="2A534A29" w14:textId="77777777" w:rsidR="00DB63C7" w:rsidRPr="00CE3053" w:rsidRDefault="00DB63C7" w:rsidP="00DB63C7">
            <w:pPr>
              <w:pStyle w:val="TableText"/>
              <w:spacing w:after="0"/>
              <w:jc w:val="right"/>
              <w:rPr>
                <w:rFonts w:ascii="Arial" w:hAnsi="Arial"/>
                <w:b/>
                <w:color w:val="000000"/>
                <w:sz w:val="18"/>
                <w:lang w:val="mk-MK"/>
              </w:rPr>
            </w:pPr>
          </w:p>
        </w:tc>
        <w:tc>
          <w:tcPr>
            <w:tcW w:w="1638" w:type="dxa"/>
            <w:shd w:val="clear" w:color="auto" w:fill="auto"/>
            <w:tcMar>
              <w:left w:w="58" w:type="dxa"/>
              <w:right w:w="58" w:type="dxa"/>
            </w:tcMar>
            <w:vAlign w:val="bottom"/>
          </w:tcPr>
          <w:p w14:paraId="5850D7BE" w14:textId="77777777" w:rsidR="00DB63C7" w:rsidRPr="00CE3053" w:rsidRDefault="00DB63C7" w:rsidP="00DB63C7">
            <w:pPr>
              <w:pStyle w:val="TableText"/>
              <w:spacing w:after="0"/>
              <w:jc w:val="right"/>
              <w:rPr>
                <w:rFonts w:ascii="Arial" w:hAnsi="Arial"/>
                <w:b/>
                <w:color w:val="000000"/>
                <w:sz w:val="18"/>
                <w:lang w:val="mk-MK"/>
              </w:rPr>
            </w:pPr>
          </w:p>
        </w:tc>
      </w:tr>
      <w:tr w:rsidR="00DB63C7" w:rsidRPr="001E6526" w14:paraId="6243A811" w14:textId="77777777" w:rsidTr="00A504C6">
        <w:trPr>
          <w:trHeight w:val="216"/>
        </w:trPr>
        <w:tc>
          <w:tcPr>
            <w:tcW w:w="4361" w:type="dxa"/>
            <w:shd w:val="clear" w:color="auto" w:fill="auto"/>
            <w:tcMar>
              <w:left w:w="58" w:type="dxa"/>
              <w:right w:w="58" w:type="dxa"/>
            </w:tcMar>
            <w:vAlign w:val="bottom"/>
          </w:tcPr>
          <w:p w14:paraId="0A82299B" w14:textId="45CBEA01" w:rsidR="00DB63C7" w:rsidRPr="00CE3053" w:rsidRDefault="00556127" w:rsidP="00DB63C7">
            <w:pPr>
              <w:pStyle w:val="TableText"/>
              <w:spacing w:after="0"/>
              <w:rPr>
                <w:rFonts w:ascii="Arial" w:hAnsi="Arial"/>
                <w:bCs/>
                <w:sz w:val="18"/>
                <w:lang w:val="mk-MK"/>
              </w:rPr>
            </w:pPr>
            <w:proofErr w:type="spellStart"/>
            <w:r w:rsidRPr="00556127">
              <w:rPr>
                <w:rFonts w:ascii="Arial" w:hAnsi="Arial"/>
                <w:bCs/>
                <w:sz w:val="18"/>
                <w:lang w:val="mk-MK"/>
              </w:rPr>
              <w:t>Held</w:t>
            </w:r>
            <w:proofErr w:type="spellEnd"/>
            <w:r w:rsidRPr="00556127">
              <w:rPr>
                <w:rFonts w:ascii="Arial" w:hAnsi="Arial"/>
                <w:bCs/>
                <w:sz w:val="18"/>
                <w:lang w:val="mk-MK"/>
              </w:rPr>
              <w:t xml:space="preserve"> </w:t>
            </w:r>
            <w:proofErr w:type="spellStart"/>
            <w:r w:rsidRPr="00556127">
              <w:rPr>
                <w:rFonts w:ascii="Arial" w:hAnsi="Arial"/>
                <w:bCs/>
                <w:sz w:val="18"/>
                <w:lang w:val="mk-MK"/>
              </w:rPr>
              <w:t>to</w:t>
            </w:r>
            <w:proofErr w:type="spellEnd"/>
            <w:r w:rsidRPr="00556127">
              <w:rPr>
                <w:rFonts w:ascii="Arial" w:hAnsi="Arial"/>
                <w:bCs/>
                <w:sz w:val="18"/>
                <w:lang w:val="mk-MK"/>
              </w:rPr>
              <w:t xml:space="preserve"> </w:t>
            </w:r>
            <w:proofErr w:type="spellStart"/>
            <w:r w:rsidRPr="00556127">
              <w:rPr>
                <w:rFonts w:ascii="Arial" w:hAnsi="Arial"/>
                <w:bCs/>
                <w:sz w:val="18"/>
                <w:lang w:val="mk-MK"/>
              </w:rPr>
              <w:t>maturity</w:t>
            </w:r>
            <w:proofErr w:type="spellEnd"/>
            <w:r w:rsidRPr="00556127">
              <w:rPr>
                <w:rFonts w:ascii="Arial" w:hAnsi="Arial"/>
                <w:bCs/>
                <w:sz w:val="18"/>
                <w:lang w:val="mk-MK"/>
              </w:rPr>
              <w:t xml:space="preserve"> </w:t>
            </w:r>
            <w:proofErr w:type="spellStart"/>
            <w:r w:rsidRPr="00556127">
              <w:rPr>
                <w:rFonts w:ascii="Arial" w:hAnsi="Arial"/>
                <w:bCs/>
                <w:sz w:val="18"/>
                <w:lang w:val="mk-MK"/>
              </w:rPr>
              <w:t>investments</w:t>
            </w:r>
            <w:proofErr w:type="spellEnd"/>
          </w:p>
        </w:tc>
        <w:tc>
          <w:tcPr>
            <w:tcW w:w="1001" w:type="dxa"/>
            <w:shd w:val="clear" w:color="auto" w:fill="auto"/>
            <w:tcMar>
              <w:left w:w="58" w:type="dxa"/>
              <w:right w:w="58" w:type="dxa"/>
            </w:tcMar>
            <w:vAlign w:val="bottom"/>
          </w:tcPr>
          <w:p w14:paraId="3E82E6F1" w14:textId="77777777" w:rsidR="00DB63C7" w:rsidRPr="001E6526" w:rsidRDefault="00DB63C7" w:rsidP="00A504C6">
            <w:pPr>
              <w:pStyle w:val="TableText"/>
              <w:spacing w:after="0"/>
              <w:jc w:val="center"/>
              <w:rPr>
                <w:rFonts w:ascii="Arial" w:hAnsi="Arial"/>
                <w:sz w:val="18"/>
                <w:lang w:val="mk-MK"/>
              </w:rPr>
            </w:pPr>
            <w:r w:rsidRPr="001E6526">
              <w:rPr>
                <w:rFonts w:ascii="Arial" w:hAnsi="Arial"/>
                <w:sz w:val="18"/>
                <w:lang w:val="mk-MK"/>
              </w:rPr>
              <w:t>12</w:t>
            </w:r>
          </w:p>
        </w:tc>
        <w:tc>
          <w:tcPr>
            <w:tcW w:w="1640" w:type="dxa"/>
            <w:shd w:val="clear" w:color="auto" w:fill="auto"/>
            <w:tcMar>
              <w:left w:w="58" w:type="dxa"/>
              <w:right w:w="58" w:type="dxa"/>
            </w:tcMar>
            <w:vAlign w:val="bottom"/>
          </w:tcPr>
          <w:p w14:paraId="3EE277E7" w14:textId="1C27038A" w:rsidR="00DB63C7" w:rsidRPr="001E6526" w:rsidRDefault="00106064" w:rsidP="00DB63C7">
            <w:pPr>
              <w:spacing w:after="0"/>
              <w:jc w:val="right"/>
              <w:rPr>
                <w:rFonts w:ascii="Arial" w:hAnsi="Arial" w:cs="Arial"/>
                <w:color w:val="000000"/>
                <w:lang w:val="mk-MK"/>
              </w:rPr>
            </w:pPr>
            <w:r w:rsidRPr="001E6526">
              <w:rPr>
                <w:rFonts w:ascii="Arial" w:hAnsi="Arial" w:cs="Arial"/>
                <w:color w:val="000000"/>
                <w:lang w:val="mk-MK"/>
              </w:rPr>
              <w:t>14,730,822</w:t>
            </w:r>
          </w:p>
        </w:tc>
        <w:tc>
          <w:tcPr>
            <w:tcW w:w="1638" w:type="dxa"/>
            <w:shd w:val="clear" w:color="auto" w:fill="auto"/>
            <w:tcMar>
              <w:left w:w="58" w:type="dxa"/>
              <w:right w:w="58" w:type="dxa"/>
            </w:tcMar>
            <w:vAlign w:val="bottom"/>
          </w:tcPr>
          <w:p w14:paraId="111EB648" w14:textId="3163753B" w:rsidR="00DB63C7" w:rsidRPr="00CE3053" w:rsidRDefault="00DB63C7" w:rsidP="00DB63C7">
            <w:pPr>
              <w:spacing w:after="0"/>
              <w:jc w:val="right"/>
              <w:rPr>
                <w:rFonts w:ascii="Arial" w:hAnsi="Arial" w:cs="Arial"/>
                <w:color w:val="000000"/>
                <w:lang w:val="mk-MK"/>
              </w:rPr>
            </w:pPr>
            <w:r w:rsidRPr="00CE3053">
              <w:rPr>
                <w:rFonts w:ascii="Arial" w:hAnsi="Arial" w:cs="Arial"/>
                <w:color w:val="000000"/>
                <w:lang w:val="mk-MK"/>
              </w:rPr>
              <w:t>13,930,548</w:t>
            </w:r>
          </w:p>
        </w:tc>
      </w:tr>
      <w:tr w:rsidR="00DB63C7" w:rsidRPr="001E6526" w14:paraId="58A96473" w14:textId="77777777" w:rsidTr="00A504C6">
        <w:trPr>
          <w:trHeight w:val="216"/>
        </w:trPr>
        <w:tc>
          <w:tcPr>
            <w:tcW w:w="4361" w:type="dxa"/>
            <w:shd w:val="clear" w:color="auto" w:fill="auto"/>
            <w:tcMar>
              <w:left w:w="58" w:type="dxa"/>
              <w:right w:w="58" w:type="dxa"/>
            </w:tcMar>
            <w:vAlign w:val="bottom"/>
          </w:tcPr>
          <w:p w14:paraId="5893920E" w14:textId="5366974E" w:rsidR="00DB63C7" w:rsidRPr="00CE3053" w:rsidRDefault="00556127" w:rsidP="00DB63C7">
            <w:pPr>
              <w:pStyle w:val="TableText"/>
              <w:spacing w:after="0"/>
              <w:rPr>
                <w:rFonts w:ascii="Arial" w:hAnsi="Arial"/>
                <w:bCs/>
                <w:sz w:val="18"/>
                <w:lang w:val="mk-MK"/>
              </w:rPr>
            </w:pPr>
            <w:proofErr w:type="spellStart"/>
            <w:r w:rsidRPr="00556127">
              <w:rPr>
                <w:rFonts w:ascii="Arial" w:hAnsi="Arial"/>
                <w:bCs/>
                <w:sz w:val="18"/>
                <w:lang w:val="mk-MK"/>
              </w:rPr>
              <w:t>Cash</w:t>
            </w:r>
            <w:proofErr w:type="spellEnd"/>
            <w:r w:rsidRPr="00556127">
              <w:rPr>
                <w:rFonts w:ascii="Arial" w:hAnsi="Arial"/>
                <w:bCs/>
                <w:sz w:val="18"/>
                <w:lang w:val="mk-MK"/>
              </w:rPr>
              <w:t xml:space="preserve"> </w:t>
            </w:r>
            <w:proofErr w:type="spellStart"/>
            <w:r w:rsidRPr="00556127">
              <w:rPr>
                <w:rFonts w:ascii="Arial" w:hAnsi="Arial"/>
                <w:bCs/>
                <w:sz w:val="18"/>
                <w:lang w:val="mk-MK"/>
              </w:rPr>
              <w:t>and</w:t>
            </w:r>
            <w:proofErr w:type="spellEnd"/>
            <w:r w:rsidRPr="00556127">
              <w:rPr>
                <w:rFonts w:ascii="Arial" w:hAnsi="Arial"/>
                <w:bCs/>
                <w:sz w:val="18"/>
                <w:lang w:val="mk-MK"/>
              </w:rPr>
              <w:t xml:space="preserve"> </w:t>
            </w:r>
            <w:proofErr w:type="spellStart"/>
            <w:r w:rsidRPr="00556127">
              <w:rPr>
                <w:rFonts w:ascii="Arial" w:hAnsi="Arial"/>
                <w:bCs/>
                <w:sz w:val="18"/>
                <w:lang w:val="mk-MK"/>
              </w:rPr>
              <w:t>cash</w:t>
            </w:r>
            <w:proofErr w:type="spellEnd"/>
            <w:r w:rsidRPr="00556127">
              <w:rPr>
                <w:rFonts w:ascii="Arial" w:hAnsi="Arial"/>
                <w:bCs/>
                <w:sz w:val="18"/>
                <w:lang w:val="mk-MK"/>
              </w:rPr>
              <w:t xml:space="preserve"> </w:t>
            </w:r>
            <w:proofErr w:type="spellStart"/>
            <w:r w:rsidRPr="00556127">
              <w:rPr>
                <w:rFonts w:ascii="Arial" w:hAnsi="Arial"/>
                <w:bCs/>
                <w:sz w:val="18"/>
                <w:lang w:val="mk-MK"/>
              </w:rPr>
              <w:t>equivalents</w:t>
            </w:r>
            <w:proofErr w:type="spellEnd"/>
          </w:p>
        </w:tc>
        <w:tc>
          <w:tcPr>
            <w:tcW w:w="1001" w:type="dxa"/>
            <w:shd w:val="clear" w:color="auto" w:fill="auto"/>
            <w:tcMar>
              <w:left w:w="58" w:type="dxa"/>
              <w:right w:w="58" w:type="dxa"/>
            </w:tcMar>
            <w:vAlign w:val="bottom"/>
          </w:tcPr>
          <w:p w14:paraId="305702EC" w14:textId="77777777" w:rsidR="00DB63C7" w:rsidRPr="001E6526" w:rsidRDefault="00DB63C7" w:rsidP="00A504C6">
            <w:pPr>
              <w:pStyle w:val="TableText"/>
              <w:spacing w:after="0"/>
              <w:jc w:val="center"/>
              <w:rPr>
                <w:rFonts w:ascii="Arial" w:hAnsi="Arial"/>
                <w:sz w:val="18"/>
                <w:lang w:val="mk-MK"/>
              </w:rPr>
            </w:pPr>
            <w:r w:rsidRPr="001E6526">
              <w:rPr>
                <w:rFonts w:ascii="Arial" w:hAnsi="Arial"/>
                <w:sz w:val="18"/>
                <w:lang w:val="mk-MK"/>
              </w:rPr>
              <w:t>13</w:t>
            </w:r>
          </w:p>
        </w:tc>
        <w:tc>
          <w:tcPr>
            <w:tcW w:w="1640" w:type="dxa"/>
            <w:shd w:val="clear" w:color="auto" w:fill="auto"/>
            <w:tcMar>
              <w:left w:w="58" w:type="dxa"/>
              <w:right w:w="58" w:type="dxa"/>
            </w:tcMar>
            <w:vAlign w:val="bottom"/>
          </w:tcPr>
          <w:p w14:paraId="1517D76D" w14:textId="478CDE7B" w:rsidR="00DB63C7" w:rsidRPr="001E6526" w:rsidRDefault="00106064" w:rsidP="00DB63C7">
            <w:pPr>
              <w:spacing w:after="0"/>
              <w:jc w:val="right"/>
              <w:rPr>
                <w:rFonts w:ascii="Arial" w:hAnsi="Arial" w:cs="Arial"/>
                <w:color w:val="000000"/>
                <w:lang w:val="mk-MK"/>
              </w:rPr>
            </w:pPr>
            <w:r w:rsidRPr="001E6526">
              <w:rPr>
                <w:rFonts w:ascii="Arial" w:hAnsi="Arial" w:cs="Arial"/>
                <w:color w:val="000000"/>
                <w:lang w:val="mk-MK"/>
              </w:rPr>
              <w:t>485,056</w:t>
            </w:r>
          </w:p>
        </w:tc>
        <w:tc>
          <w:tcPr>
            <w:tcW w:w="1638" w:type="dxa"/>
            <w:shd w:val="clear" w:color="auto" w:fill="auto"/>
            <w:tcMar>
              <w:left w:w="58" w:type="dxa"/>
              <w:right w:w="58" w:type="dxa"/>
            </w:tcMar>
            <w:vAlign w:val="bottom"/>
          </w:tcPr>
          <w:p w14:paraId="4EB03335" w14:textId="29437E47" w:rsidR="00DB63C7" w:rsidRPr="00CE3053" w:rsidRDefault="00DB63C7" w:rsidP="00DB63C7">
            <w:pPr>
              <w:spacing w:after="0"/>
              <w:jc w:val="right"/>
              <w:rPr>
                <w:rFonts w:ascii="Arial" w:hAnsi="Arial" w:cs="Arial"/>
                <w:color w:val="000000"/>
                <w:lang w:val="mk-MK"/>
              </w:rPr>
            </w:pPr>
            <w:r w:rsidRPr="00CE3053">
              <w:rPr>
                <w:rFonts w:ascii="Arial" w:hAnsi="Arial" w:cs="Arial"/>
                <w:color w:val="000000"/>
                <w:lang w:val="mk-MK"/>
              </w:rPr>
              <w:t>678,377</w:t>
            </w:r>
          </w:p>
        </w:tc>
      </w:tr>
      <w:tr w:rsidR="00DB63C7" w:rsidRPr="001E6526" w14:paraId="55217115" w14:textId="77777777" w:rsidTr="00A504C6">
        <w:trPr>
          <w:trHeight w:val="216"/>
        </w:trPr>
        <w:tc>
          <w:tcPr>
            <w:tcW w:w="4361" w:type="dxa"/>
            <w:shd w:val="clear" w:color="auto" w:fill="auto"/>
            <w:tcMar>
              <w:left w:w="58" w:type="dxa"/>
              <w:right w:w="58" w:type="dxa"/>
            </w:tcMar>
            <w:vAlign w:val="bottom"/>
          </w:tcPr>
          <w:p w14:paraId="757F74B4" w14:textId="453AB41D" w:rsidR="00DB63C7" w:rsidRPr="001E6526" w:rsidRDefault="00556127" w:rsidP="00DB63C7">
            <w:pPr>
              <w:pStyle w:val="TableText"/>
              <w:spacing w:after="0"/>
              <w:rPr>
                <w:rFonts w:ascii="Arial" w:hAnsi="Arial"/>
                <w:bCs/>
                <w:sz w:val="18"/>
                <w:lang w:val="mk-MK"/>
              </w:rPr>
            </w:pPr>
            <w:proofErr w:type="spellStart"/>
            <w:r w:rsidRPr="00556127">
              <w:rPr>
                <w:rFonts w:ascii="Arial" w:hAnsi="Arial"/>
                <w:bCs/>
                <w:sz w:val="18"/>
                <w:lang w:val="mk-MK"/>
              </w:rPr>
              <w:t>Receivables</w:t>
            </w:r>
            <w:proofErr w:type="spellEnd"/>
            <w:r w:rsidRPr="00556127">
              <w:rPr>
                <w:rFonts w:ascii="Arial" w:hAnsi="Arial"/>
                <w:bCs/>
                <w:sz w:val="18"/>
                <w:lang w:val="mk-MK"/>
              </w:rPr>
              <w:t xml:space="preserve"> </w:t>
            </w:r>
            <w:proofErr w:type="spellStart"/>
            <w:r w:rsidRPr="00556127">
              <w:rPr>
                <w:rFonts w:ascii="Arial" w:hAnsi="Arial"/>
                <w:bCs/>
                <w:sz w:val="18"/>
                <w:lang w:val="mk-MK"/>
              </w:rPr>
              <w:t>for</w:t>
            </w:r>
            <w:proofErr w:type="spellEnd"/>
            <w:r w:rsidRPr="00556127">
              <w:rPr>
                <w:rFonts w:ascii="Arial" w:hAnsi="Arial"/>
                <w:bCs/>
                <w:sz w:val="18"/>
                <w:lang w:val="mk-MK"/>
              </w:rPr>
              <w:t xml:space="preserve"> </w:t>
            </w:r>
            <w:proofErr w:type="spellStart"/>
            <w:r w:rsidRPr="00556127">
              <w:rPr>
                <w:rFonts w:ascii="Arial" w:hAnsi="Arial"/>
                <w:bCs/>
                <w:sz w:val="18"/>
                <w:lang w:val="mk-MK"/>
              </w:rPr>
              <w:t>insurance</w:t>
            </w:r>
            <w:proofErr w:type="spellEnd"/>
            <w:r w:rsidRPr="00556127">
              <w:rPr>
                <w:rFonts w:ascii="Arial" w:hAnsi="Arial"/>
                <w:bCs/>
                <w:sz w:val="18"/>
                <w:lang w:val="mk-MK"/>
              </w:rPr>
              <w:t xml:space="preserve"> </w:t>
            </w:r>
            <w:proofErr w:type="spellStart"/>
            <w:r w:rsidRPr="00556127">
              <w:rPr>
                <w:rFonts w:ascii="Arial" w:hAnsi="Arial"/>
                <w:bCs/>
                <w:sz w:val="18"/>
                <w:lang w:val="mk-MK"/>
              </w:rPr>
              <w:t>premium</w:t>
            </w:r>
            <w:proofErr w:type="spellEnd"/>
          </w:p>
        </w:tc>
        <w:tc>
          <w:tcPr>
            <w:tcW w:w="1001" w:type="dxa"/>
            <w:shd w:val="clear" w:color="auto" w:fill="auto"/>
            <w:tcMar>
              <w:left w:w="58" w:type="dxa"/>
              <w:right w:w="58" w:type="dxa"/>
            </w:tcMar>
            <w:vAlign w:val="bottom"/>
          </w:tcPr>
          <w:p w14:paraId="35AD10EE" w14:textId="77777777" w:rsidR="00DB63C7" w:rsidRPr="001E6526" w:rsidRDefault="00DB63C7" w:rsidP="00A504C6">
            <w:pPr>
              <w:pStyle w:val="TableText"/>
              <w:spacing w:after="0"/>
              <w:jc w:val="center"/>
              <w:rPr>
                <w:rFonts w:ascii="Arial" w:hAnsi="Arial"/>
                <w:sz w:val="18"/>
                <w:lang w:val="mk-MK"/>
              </w:rPr>
            </w:pPr>
            <w:r w:rsidRPr="001E6526">
              <w:rPr>
                <w:rFonts w:ascii="Arial" w:hAnsi="Arial"/>
                <w:sz w:val="18"/>
                <w:lang w:val="mk-MK"/>
              </w:rPr>
              <w:t>14</w:t>
            </w:r>
          </w:p>
        </w:tc>
        <w:tc>
          <w:tcPr>
            <w:tcW w:w="1640" w:type="dxa"/>
            <w:shd w:val="clear" w:color="auto" w:fill="auto"/>
            <w:tcMar>
              <w:left w:w="58" w:type="dxa"/>
              <w:right w:w="58" w:type="dxa"/>
            </w:tcMar>
            <w:vAlign w:val="bottom"/>
          </w:tcPr>
          <w:p w14:paraId="4B6F57E5" w14:textId="6B188C0E" w:rsidR="00DB63C7" w:rsidRPr="001E6526" w:rsidRDefault="00106064" w:rsidP="00DB63C7">
            <w:pPr>
              <w:spacing w:after="0"/>
              <w:jc w:val="right"/>
              <w:rPr>
                <w:rFonts w:ascii="Arial" w:hAnsi="Arial" w:cs="Arial"/>
                <w:color w:val="000000"/>
                <w:lang w:val="mk-MK"/>
              </w:rPr>
            </w:pPr>
            <w:r w:rsidRPr="001E6526">
              <w:rPr>
                <w:rFonts w:ascii="Arial" w:hAnsi="Arial" w:cs="Arial"/>
                <w:color w:val="000000"/>
                <w:lang w:val="mk-MK"/>
              </w:rPr>
              <w:t>-</w:t>
            </w:r>
          </w:p>
        </w:tc>
        <w:tc>
          <w:tcPr>
            <w:tcW w:w="1638" w:type="dxa"/>
            <w:shd w:val="clear" w:color="auto" w:fill="auto"/>
            <w:tcMar>
              <w:left w:w="58" w:type="dxa"/>
              <w:right w:w="58" w:type="dxa"/>
            </w:tcMar>
            <w:vAlign w:val="bottom"/>
          </w:tcPr>
          <w:p w14:paraId="098BD971" w14:textId="27235EDC" w:rsidR="00DB63C7" w:rsidRPr="001E6526" w:rsidRDefault="00DB63C7" w:rsidP="00DB63C7">
            <w:pPr>
              <w:spacing w:after="0"/>
              <w:jc w:val="right"/>
              <w:rPr>
                <w:rFonts w:ascii="Arial" w:hAnsi="Arial" w:cs="Arial"/>
                <w:color w:val="000000"/>
                <w:lang w:val="mk-MK"/>
              </w:rPr>
            </w:pPr>
            <w:r w:rsidRPr="001E6526">
              <w:rPr>
                <w:rFonts w:ascii="Arial" w:hAnsi="Arial" w:cs="Arial"/>
                <w:color w:val="000000"/>
                <w:lang w:val="mk-MK"/>
              </w:rPr>
              <w:t>11,596</w:t>
            </w:r>
          </w:p>
        </w:tc>
      </w:tr>
      <w:tr w:rsidR="00DB63C7" w:rsidRPr="001E6526" w14:paraId="24CA3C9B" w14:textId="77777777" w:rsidTr="00A504C6">
        <w:trPr>
          <w:trHeight w:val="216"/>
        </w:trPr>
        <w:tc>
          <w:tcPr>
            <w:tcW w:w="4361" w:type="dxa"/>
            <w:shd w:val="clear" w:color="auto" w:fill="auto"/>
            <w:tcMar>
              <w:left w:w="58" w:type="dxa"/>
              <w:right w:w="58" w:type="dxa"/>
            </w:tcMar>
            <w:vAlign w:val="bottom"/>
          </w:tcPr>
          <w:p w14:paraId="04AC275A" w14:textId="5AD1B0E9" w:rsidR="00DB63C7" w:rsidRPr="00CE3053" w:rsidRDefault="00556127" w:rsidP="00DB63C7">
            <w:pPr>
              <w:pStyle w:val="TableText"/>
              <w:spacing w:after="0"/>
              <w:rPr>
                <w:rFonts w:ascii="Arial" w:hAnsi="Arial"/>
                <w:bCs/>
                <w:sz w:val="18"/>
                <w:lang w:val="mk-MK"/>
              </w:rPr>
            </w:pPr>
            <w:proofErr w:type="spellStart"/>
            <w:r w:rsidRPr="00556127">
              <w:rPr>
                <w:rFonts w:ascii="Arial" w:hAnsi="Arial"/>
                <w:bCs/>
                <w:sz w:val="18"/>
                <w:lang w:val="mk-MK"/>
              </w:rPr>
              <w:t>Income</w:t>
            </w:r>
            <w:proofErr w:type="spellEnd"/>
            <w:r w:rsidRPr="00556127">
              <w:rPr>
                <w:rFonts w:ascii="Arial" w:hAnsi="Arial"/>
                <w:bCs/>
                <w:sz w:val="18"/>
                <w:lang w:val="mk-MK"/>
              </w:rPr>
              <w:t xml:space="preserve"> </w:t>
            </w:r>
            <w:proofErr w:type="spellStart"/>
            <w:r w:rsidRPr="00556127">
              <w:rPr>
                <w:rFonts w:ascii="Arial" w:hAnsi="Arial"/>
                <w:bCs/>
                <w:sz w:val="18"/>
                <w:lang w:val="mk-MK"/>
              </w:rPr>
              <w:t>tax</w:t>
            </w:r>
            <w:proofErr w:type="spellEnd"/>
            <w:r w:rsidRPr="00556127">
              <w:rPr>
                <w:rFonts w:ascii="Arial" w:hAnsi="Arial"/>
                <w:bCs/>
                <w:sz w:val="18"/>
                <w:lang w:val="mk-MK"/>
              </w:rPr>
              <w:t xml:space="preserve"> </w:t>
            </w:r>
            <w:proofErr w:type="spellStart"/>
            <w:r w:rsidRPr="00556127">
              <w:rPr>
                <w:rFonts w:ascii="Arial" w:hAnsi="Arial"/>
                <w:bCs/>
                <w:sz w:val="18"/>
                <w:lang w:val="mk-MK"/>
              </w:rPr>
              <w:t>receivables</w:t>
            </w:r>
            <w:proofErr w:type="spellEnd"/>
          </w:p>
        </w:tc>
        <w:tc>
          <w:tcPr>
            <w:tcW w:w="1001" w:type="dxa"/>
            <w:shd w:val="clear" w:color="auto" w:fill="auto"/>
            <w:tcMar>
              <w:left w:w="58" w:type="dxa"/>
              <w:right w:w="58" w:type="dxa"/>
            </w:tcMar>
            <w:vAlign w:val="bottom"/>
          </w:tcPr>
          <w:p w14:paraId="5B6E6476" w14:textId="77777777" w:rsidR="00DB63C7" w:rsidRPr="00CE3053" w:rsidRDefault="00DB63C7" w:rsidP="00A504C6">
            <w:pPr>
              <w:pStyle w:val="TableText"/>
              <w:spacing w:after="0"/>
              <w:jc w:val="center"/>
              <w:rPr>
                <w:rFonts w:ascii="Arial" w:hAnsi="Arial"/>
                <w:sz w:val="18"/>
                <w:lang w:val="mk-MK"/>
              </w:rPr>
            </w:pPr>
          </w:p>
        </w:tc>
        <w:tc>
          <w:tcPr>
            <w:tcW w:w="1640" w:type="dxa"/>
            <w:shd w:val="clear" w:color="auto" w:fill="auto"/>
            <w:tcMar>
              <w:left w:w="58" w:type="dxa"/>
              <w:right w:w="58" w:type="dxa"/>
            </w:tcMar>
            <w:vAlign w:val="bottom"/>
          </w:tcPr>
          <w:p w14:paraId="3510E89F" w14:textId="61637B24" w:rsidR="00DB63C7" w:rsidRPr="001E6526" w:rsidRDefault="00106064" w:rsidP="00DB63C7">
            <w:pPr>
              <w:spacing w:after="0"/>
              <w:jc w:val="right"/>
              <w:rPr>
                <w:rFonts w:ascii="Arial" w:hAnsi="Arial" w:cs="Arial"/>
                <w:color w:val="000000"/>
                <w:lang w:val="mk-MK"/>
              </w:rPr>
            </w:pPr>
            <w:r w:rsidRPr="001E6526">
              <w:rPr>
                <w:rFonts w:ascii="Arial" w:hAnsi="Arial" w:cs="Arial"/>
                <w:color w:val="000000"/>
                <w:lang w:val="mk-MK"/>
              </w:rPr>
              <w:t>3,060</w:t>
            </w:r>
          </w:p>
        </w:tc>
        <w:tc>
          <w:tcPr>
            <w:tcW w:w="1638" w:type="dxa"/>
            <w:shd w:val="clear" w:color="auto" w:fill="auto"/>
            <w:tcMar>
              <w:left w:w="58" w:type="dxa"/>
              <w:right w:w="58" w:type="dxa"/>
            </w:tcMar>
            <w:vAlign w:val="bottom"/>
          </w:tcPr>
          <w:p w14:paraId="64B8E8DC" w14:textId="0A3DE23A" w:rsidR="00DB63C7" w:rsidRPr="00CE3053" w:rsidRDefault="00DB63C7" w:rsidP="00DB63C7">
            <w:pPr>
              <w:spacing w:after="0"/>
              <w:jc w:val="right"/>
              <w:rPr>
                <w:rFonts w:ascii="Arial" w:hAnsi="Arial" w:cs="Arial"/>
                <w:color w:val="000000"/>
                <w:lang w:val="mk-MK"/>
              </w:rPr>
            </w:pPr>
            <w:r w:rsidRPr="00CE3053">
              <w:rPr>
                <w:rFonts w:ascii="Arial" w:hAnsi="Arial" w:cs="Arial"/>
                <w:color w:val="000000"/>
                <w:lang w:val="mk-MK"/>
              </w:rPr>
              <w:t>5,026</w:t>
            </w:r>
          </w:p>
        </w:tc>
      </w:tr>
      <w:tr w:rsidR="00DB63C7" w:rsidRPr="001E6526" w14:paraId="3B375DCF" w14:textId="77777777" w:rsidTr="00A504C6">
        <w:trPr>
          <w:trHeight w:val="216"/>
        </w:trPr>
        <w:tc>
          <w:tcPr>
            <w:tcW w:w="4361" w:type="dxa"/>
            <w:tcBorders>
              <w:top w:val="single" w:sz="4" w:space="0" w:color="auto"/>
              <w:bottom w:val="single" w:sz="4" w:space="0" w:color="auto"/>
            </w:tcBorders>
            <w:shd w:val="clear" w:color="auto" w:fill="auto"/>
            <w:tcMar>
              <w:left w:w="58" w:type="dxa"/>
              <w:right w:w="58" w:type="dxa"/>
            </w:tcMar>
            <w:vAlign w:val="bottom"/>
          </w:tcPr>
          <w:p w14:paraId="7D83C35F" w14:textId="77777777" w:rsidR="00DB63C7" w:rsidRPr="00CE3053" w:rsidRDefault="00DB63C7" w:rsidP="00DB63C7">
            <w:pPr>
              <w:pStyle w:val="TableText"/>
              <w:spacing w:after="0"/>
              <w:rPr>
                <w:rFonts w:ascii="Arial" w:hAnsi="Arial"/>
                <w:b/>
                <w:bCs/>
                <w:sz w:val="18"/>
                <w:lang w:val="mk-MK"/>
              </w:rPr>
            </w:pPr>
          </w:p>
        </w:tc>
        <w:tc>
          <w:tcPr>
            <w:tcW w:w="1001" w:type="dxa"/>
            <w:tcBorders>
              <w:top w:val="single" w:sz="4" w:space="0" w:color="auto"/>
              <w:bottom w:val="single" w:sz="4" w:space="0" w:color="auto"/>
            </w:tcBorders>
            <w:shd w:val="clear" w:color="auto" w:fill="auto"/>
            <w:tcMar>
              <w:left w:w="58" w:type="dxa"/>
              <w:right w:w="58" w:type="dxa"/>
            </w:tcMar>
            <w:vAlign w:val="bottom"/>
          </w:tcPr>
          <w:p w14:paraId="42EB1523" w14:textId="77777777" w:rsidR="00DB63C7" w:rsidRPr="00CE3053" w:rsidRDefault="00DB63C7" w:rsidP="00A504C6">
            <w:pPr>
              <w:pStyle w:val="TableText"/>
              <w:spacing w:after="0"/>
              <w:jc w:val="center"/>
              <w:rPr>
                <w:rFonts w:ascii="Arial" w:hAnsi="Arial"/>
                <w:b/>
                <w:color w:val="FF0000"/>
                <w:sz w:val="18"/>
                <w:lang w:val="mk-MK"/>
              </w:rPr>
            </w:pPr>
          </w:p>
        </w:tc>
        <w:tc>
          <w:tcPr>
            <w:tcW w:w="1640" w:type="dxa"/>
            <w:tcBorders>
              <w:top w:val="single" w:sz="4" w:space="0" w:color="auto"/>
              <w:bottom w:val="single" w:sz="4" w:space="0" w:color="auto"/>
            </w:tcBorders>
            <w:shd w:val="clear" w:color="auto" w:fill="auto"/>
            <w:tcMar>
              <w:left w:w="58" w:type="dxa"/>
              <w:right w:w="58" w:type="dxa"/>
            </w:tcMar>
            <w:vAlign w:val="bottom"/>
          </w:tcPr>
          <w:p w14:paraId="4F96C2D8" w14:textId="541D9861" w:rsidR="00DB63C7" w:rsidRPr="001E6526" w:rsidRDefault="00106064" w:rsidP="00DB63C7">
            <w:pPr>
              <w:spacing w:after="0"/>
              <w:jc w:val="right"/>
              <w:rPr>
                <w:rFonts w:ascii="Arial" w:hAnsi="Arial" w:cs="Arial"/>
                <w:b/>
                <w:bCs/>
                <w:color w:val="000000"/>
                <w:lang w:val="mk-MK"/>
              </w:rPr>
            </w:pPr>
            <w:r w:rsidRPr="001E6526">
              <w:rPr>
                <w:rFonts w:ascii="Arial" w:hAnsi="Arial" w:cs="Arial"/>
                <w:b/>
                <w:bCs/>
                <w:color w:val="000000"/>
                <w:lang w:val="mk-MK"/>
              </w:rPr>
              <w:t>15,218,938</w:t>
            </w:r>
          </w:p>
        </w:tc>
        <w:tc>
          <w:tcPr>
            <w:tcW w:w="1638" w:type="dxa"/>
            <w:tcBorders>
              <w:top w:val="single" w:sz="4" w:space="0" w:color="auto"/>
              <w:bottom w:val="single" w:sz="4" w:space="0" w:color="auto"/>
            </w:tcBorders>
            <w:shd w:val="clear" w:color="auto" w:fill="auto"/>
            <w:tcMar>
              <w:left w:w="58" w:type="dxa"/>
              <w:right w:w="58" w:type="dxa"/>
            </w:tcMar>
            <w:vAlign w:val="bottom"/>
          </w:tcPr>
          <w:p w14:paraId="65BDBE38" w14:textId="78FB7DD6" w:rsidR="00DB63C7" w:rsidRPr="001E6526" w:rsidRDefault="00DB63C7" w:rsidP="00DB63C7">
            <w:pPr>
              <w:spacing w:after="0"/>
              <w:jc w:val="right"/>
              <w:rPr>
                <w:rFonts w:ascii="Arial" w:hAnsi="Arial" w:cs="Arial"/>
                <w:b/>
                <w:bCs/>
                <w:color w:val="000000"/>
                <w:lang w:val="mk-MK"/>
              </w:rPr>
            </w:pPr>
            <w:r w:rsidRPr="00CE3053">
              <w:rPr>
                <w:rFonts w:ascii="Arial" w:hAnsi="Arial" w:cs="Arial"/>
                <w:b/>
                <w:bCs/>
                <w:color w:val="000000"/>
                <w:lang w:val="mk-MK"/>
              </w:rPr>
              <w:t>14,625,547</w:t>
            </w:r>
          </w:p>
        </w:tc>
      </w:tr>
      <w:tr w:rsidR="00DB63C7" w:rsidRPr="001E6526" w14:paraId="4527FA98" w14:textId="77777777" w:rsidTr="00A504C6">
        <w:trPr>
          <w:trHeight w:val="216"/>
        </w:trPr>
        <w:tc>
          <w:tcPr>
            <w:tcW w:w="4361" w:type="dxa"/>
            <w:tcBorders>
              <w:top w:val="single" w:sz="4" w:space="0" w:color="auto"/>
              <w:bottom w:val="double" w:sz="4" w:space="0" w:color="auto"/>
            </w:tcBorders>
            <w:shd w:val="clear" w:color="auto" w:fill="auto"/>
            <w:tcMar>
              <w:left w:w="58" w:type="dxa"/>
              <w:right w:w="58" w:type="dxa"/>
            </w:tcMar>
            <w:vAlign w:val="bottom"/>
          </w:tcPr>
          <w:p w14:paraId="5616A484" w14:textId="6A871544" w:rsidR="00DB63C7" w:rsidRPr="00CE3053" w:rsidRDefault="00556127" w:rsidP="00DB63C7">
            <w:pPr>
              <w:pStyle w:val="TableText"/>
              <w:spacing w:after="0"/>
              <w:rPr>
                <w:rFonts w:ascii="Arial" w:hAnsi="Arial"/>
                <w:b/>
                <w:sz w:val="18"/>
                <w:lang w:val="mk-MK"/>
              </w:rPr>
            </w:pPr>
            <w:proofErr w:type="spellStart"/>
            <w:r w:rsidRPr="00556127">
              <w:rPr>
                <w:rFonts w:ascii="Arial" w:hAnsi="Arial"/>
                <w:b/>
                <w:sz w:val="18"/>
                <w:lang w:val="mk-MK"/>
              </w:rPr>
              <w:t>Total</w:t>
            </w:r>
            <w:proofErr w:type="spellEnd"/>
            <w:r w:rsidRPr="00556127">
              <w:rPr>
                <w:rFonts w:ascii="Arial" w:hAnsi="Arial"/>
                <w:b/>
                <w:sz w:val="18"/>
                <w:lang w:val="mk-MK"/>
              </w:rPr>
              <w:t xml:space="preserve"> </w:t>
            </w:r>
            <w:proofErr w:type="spellStart"/>
            <w:r w:rsidRPr="00556127">
              <w:rPr>
                <w:rFonts w:ascii="Arial" w:hAnsi="Arial"/>
                <w:b/>
                <w:sz w:val="18"/>
                <w:lang w:val="mk-MK"/>
              </w:rPr>
              <w:t>assets</w:t>
            </w:r>
            <w:proofErr w:type="spellEnd"/>
          </w:p>
        </w:tc>
        <w:tc>
          <w:tcPr>
            <w:tcW w:w="1001" w:type="dxa"/>
            <w:tcBorders>
              <w:top w:val="single" w:sz="4" w:space="0" w:color="auto"/>
              <w:bottom w:val="double" w:sz="4" w:space="0" w:color="auto"/>
            </w:tcBorders>
            <w:shd w:val="clear" w:color="auto" w:fill="auto"/>
            <w:tcMar>
              <w:left w:w="58" w:type="dxa"/>
              <w:right w:w="58" w:type="dxa"/>
            </w:tcMar>
            <w:vAlign w:val="bottom"/>
          </w:tcPr>
          <w:p w14:paraId="3DB23F62" w14:textId="77777777" w:rsidR="00DB63C7" w:rsidRPr="00CE3053" w:rsidRDefault="00DB63C7" w:rsidP="00A504C6">
            <w:pPr>
              <w:pStyle w:val="TableText"/>
              <w:spacing w:after="0"/>
              <w:jc w:val="center"/>
              <w:rPr>
                <w:rFonts w:ascii="Arial" w:hAnsi="Arial"/>
                <w:b/>
                <w:color w:val="FF0000"/>
                <w:sz w:val="18"/>
                <w:lang w:val="mk-MK"/>
              </w:rPr>
            </w:pPr>
          </w:p>
        </w:tc>
        <w:tc>
          <w:tcPr>
            <w:tcW w:w="1640" w:type="dxa"/>
            <w:tcBorders>
              <w:top w:val="single" w:sz="4" w:space="0" w:color="auto"/>
              <w:bottom w:val="double" w:sz="4" w:space="0" w:color="auto"/>
            </w:tcBorders>
            <w:shd w:val="clear" w:color="auto" w:fill="auto"/>
            <w:tcMar>
              <w:left w:w="58" w:type="dxa"/>
              <w:right w:w="58" w:type="dxa"/>
            </w:tcMar>
            <w:vAlign w:val="bottom"/>
          </w:tcPr>
          <w:p w14:paraId="7A366DDC" w14:textId="1F346D20" w:rsidR="00DB63C7" w:rsidRPr="001E6526" w:rsidRDefault="00106064" w:rsidP="00DB63C7">
            <w:pPr>
              <w:spacing w:after="0"/>
              <w:jc w:val="right"/>
              <w:rPr>
                <w:rFonts w:ascii="Arial" w:hAnsi="Arial" w:cs="Arial"/>
                <w:b/>
                <w:bCs/>
                <w:color w:val="000000"/>
                <w:lang w:val="mk-MK"/>
              </w:rPr>
            </w:pPr>
            <w:r w:rsidRPr="001E6526">
              <w:rPr>
                <w:rFonts w:ascii="Arial" w:hAnsi="Arial" w:cs="Arial"/>
                <w:b/>
                <w:bCs/>
                <w:color w:val="000000"/>
                <w:lang w:val="mk-MK"/>
              </w:rPr>
              <w:t>15,238,039</w:t>
            </w:r>
          </w:p>
        </w:tc>
        <w:tc>
          <w:tcPr>
            <w:tcW w:w="1638" w:type="dxa"/>
            <w:tcBorders>
              <w:top w:val="single" w:sz="4" w:space="0" w:color="auto"/>
              <w:bottom w:val="double" w:sz="4" w:space="0" w:color="auto"/>
            </w:tcBorders>
            <w:shd w:val="clear" w:color="auto" w:fill="auto"/>
            <w:tcMar>
              <w:left w:w="58" w:type="dxa"/>
              <w:right w:w="58" w:type="dxa"/>
            </w:tcMar>
            <w:vAlign w:val="bottom"/>
          </w:tcPr>
          <w:p w14:paraId="15219A45" w14:textId="15AF4BC8" w:rsidR="00DB63C7" w:rsidRPr="00CE3053" w:rsidRDefault="00DB63C7" w:rsidP="00DB63C7">
            <w:pPr>
              <w:spacing w:after="0"/>
              <w:jc w:val="right"/>
              <w:rPr>
                <w:rFonts w:ascii="Arial" w:hAnsi="Arial" w:cs="Arial"/>
                <w:b/>
                <w:bCs/>
                <w:color w:val="000000"/>
                <w:lang w:val="mk-MK"/>
              </w:rPr>
            </w:pPr>
            <w:r w:rsidRPr="00CE3053">
              <w:rPr>
                <w:rFonts w:ascii="Arial" w:hAnsi="Arial" w:cs="Arial"/>
                <w:b/>
                <w:bCs/>
                <w:color w:val="000000"/>
                <w:lang w:val="mk-MK"/>
              </w:rPr>
              <w:t>14,645,390</w:t>
            </w:r>
          </w:p>
        </w:tc>
      </w:tr>
      <w:tr w:rsidR="00DB63C7" w:rsidRPr="001E6526" w14:paraId="57EE0A1F" w14:textId="77777777" w:rsidTr="00A504C6">
        <w:trPr>
          <w:trHeight w:val="216"/>
        </w:trPr>
        <w:tc>
          <w:tcPr>
            <w:tcW w:w="4361" w:type="dxa"/>
            <w:tcBorders>
              <w:top w:val="double" w:sz="4" w:space="0" w:color="auto"/>
            </w:tcBorders>
            <w:shd w:val="clear" w:color="auto" w:fill="auto"/>
            <w:tcMar>
              <w:left w:w="58" w:type="dxa"/>
              <w:right w:w="58" w:type="dxa"/>
            </w:tcMar>
            <w:vAlign w:val="bottom"/>
          </w:tcPr>
          <w:p w14:paraId="29C57588" w14:textId="77777777" w:rsidR="00DB63C7" w:rsidRPr="00CE3053" w:rsidRDefault="00DB63C7" w:rsidP="00DB63C7">
            <w:pPr>
              <w:pStyle w:val="TableText"/>
              <w:spacing w:after="0"/>
              <w:rPr>
                <w:rFonts w:ascii="Arial" w:hAnsi="Arial"/>
                <w:bCs/>
                <w:sz w:val="18"/>
                <w:lang w:val="mk-MK"/>
              </w:rPr>
            </w:pPr>
          </w:p>
        </w:tc>
        <w:tc>
          <w:tcPr>
            <w:tcW w:w="1001" w:type="dxa"/>
            <w:tcBorders>
              <w:top w:val="double" w:sz="4" w:space="0" w:color="auto"/>
            </w:tcBorders>
            <w:shd w:val="clear" w:color="auto" w:fill="auto"/>
            <w:tcMar>
              <w:left w:w="58" w:type="dxa"/>
              <w:right w:w="58" w:type="dxa"/>
            </w:tcMar>
            <w:vAlign w:val="bottom"/>
          </w:tcPr>
          <w:p w14:paraId="173AB3DB" w14:textId="77777777" w:rsidR="00DB63C7" w:rsidRPr="00CE3053" w:rsidRDefault="00DB63C7" w:rsidP="00A504C6">
            <w:pPr>
              <w:pStyle w:val="TableText"/>
              <w:spacing w:after="0"/>
              <w:jc w:val="center"/>
              <w:rPr>
                <w:rFonts w:ascii="Arial" w:hAnsi="Arial"/>
                <w:bCs/>
                <w:color w:val="FF0000"/>
                <w:sz w:val="18"/>
                <w:lang w:val="mk-MK"/>
              </w:rPr>
            </w:pPr>
          </w:p>
        </w:tc>
        <w:tc>
          <w:tcPr>
            <w:tcW w:w="1640" w:type="dxa"/>
            <w:tcBorders>
              <w:top w:val="double" w:sz="4" w:space="0" w:color="auto"/>
            </w:tcBorders>
            <w:shd w:val="clear" w:color="auto" w:fill="auto"/>
            <w:tcMar>
              <w:left w:w="58" w:type="dxa"/>
              <w:right w:w="58" w:type="dxa"/>
            </w:tcMar>
            <w:vAlign w:val="bottom"/>
          </w:tcPr>
          <w:p w14:paraId="42129D0B" w14:textId="77777777" w:rsidR="00DB63C7" w:rsidRPr="00CE3053" w:rsidRDefault="00DB63C7" w:rsidP="00DB63C7">
            <w:pPr>
              <w:pStyle w:val="TableText"/>
              <w:spacing w:after="0"/>
              <w:jc w:val="right"/>
              <w:rPr>
                <w:rFonts w:ascii="Arial" w:hAnsi="Arial"/>
                <w:bCs/>
                <w:color w:val="000000"/>
                <w:sz w:val="18"/>
                <w:lang w:val="mk-MK"/>
              </w:rPr>
            </w:pPr>
          </w:p>
        </w:tc>
        <w:tc>
          <w:tcPr>
            <w:tcW w:w="1638" w:type="dxa"/>
            <w:tcBorders>
              <w:top w:val="double" w:sz="4" w:space="0" w:color="auto"/>
            </w:tcBorders>
            <w:shd w:val="clear" w:color="auto" w:fill="auto"/>
            <w:tcMar>
              <w:left w:w="58" w:type="dxa"/>
              <w:right w:w="58" w:type="dxa"/>
            </w:tcMar>
            <w:vAlign w:val="bottom"/>
          </w:tcPr>
          <w:p w14:paraId="5F1F8995" w14:textId="77777777" w:rsidR="00DB63C7" w:rsidRPr="00CE3053" w:rsidRDefault="00DB63C7" w:rsidP="00DB63C7">
            <w:pPr>
              <w:pStyle w:val="TableText"/>
              <w:spacing w:after="0"/>
              <w:jc w:val="right"/>
              <w:rPr>
                <w:rFonts w:ascii="Arial" w:hAnsi="Arial"/>
                <w:bCs/>
                <w:color w:val="000000"/>
                <w:sz w:val="18"/>
                <w:lang w:val="mk-MK"/>
              </w:rPr>
            </w:pPr>
          </w:p>
        </w:tc>
      </w:tr>
      <w:tr w:rsidR="00DB63C7" w:rsidRPr="001E6526" w14:paraId="0312C6B1" w14:textId="77777777" w:rsidTr="00A504C6">
        <w:trPr>
          <w:trHeight w:val="216"/>
        </w:trPr>
        <w:tc>
          <w:tcPr>
            <w:tcW w:w="4361" w:type="dxa"/>
            <w:shd w:val="clear" w:color="auto" w:fill="auto"/>
            <w:tcMar>
              <w:left w:w="58" w:type="dxa"/>
              <w:right w:w="58" w:type="dxa"/>
            </w:tcMar>
            <w:vAlign w:val="bottom"/>
          </w:tcPr>
          <w:p w14:paraId="62071DCD" w14:textId="0715BFD2" w:rsidR="00DB63C7" w:rsidRPr="00CE3053" w:rsidRDefault="00556127" w:rsidP="00DB63C7">
            <w:pPr>
              <w:pStyle w:val="TableText"/>
              <w:spacing w:after="0"/>
              <w:rPr>
                <w:rFonts w:ascii="Arial" w:hAnsi="Arial"/>
                <w:b/>
                <w:sz w:val="18"/>
                <w:lang w:val="mk-MK"/>
              </w:rPr>
            </w:pPr>
            <w:proofErr w:type="spellStart"/>
            <w:r w:rsidRPr="00556127">
              <w:rPr>
                <w:rFonts w:ascii="Arial" w:hAnsi="Arial"/>
                <w:b/>
                <w:sz w:val="18"/>
                <w:lang w:val="mk-MK"/>
              </w:rPr>
              <w:t>Equity</w:t>
            </w:r>
            <w:proofErr w:type="spellEnd"/>
          </w:p>
        </w:tc>
        <w:tc>
          <w:tcPr>
            <w:tcW w:w="1001" w:type="dxa"/>
            <w:shd w:val="clear" w:color="auto" w:fill="auto"/>
            <w:tcMar>
              <w:left w:w="58" w:type="dxa"/>
              <w:right w:w="58" w:type="dxa"/>
            </w:tcMar>
            <w:vAlign w:val="bottom"/>
          </w:tcPr>
          <w:p w14:paraId="460F39CF" w14:textId="77777777" w:rsidR="00DB63C7" w:rsidRPr="001E6526" w:rsidRDefault="00DB63C7" w:rsidP="00A504C6">
            <w:pPr>
              <w:pStyle w:val="TableText"/>
              <w:spacing w:after="0"/>
              <w:jc w:val="center"/>
              <w:rPr>
                <w:rFonts w:ascii="Arial" w:hAnsi="Arial"/>
                <w:b/>
                <w:color w:val="FF0000"/>
                <w:sz w:val="18"/>
                <w:lang w:val="mk-MK"/>
              </w:rPr>
            </w:pPr>
          </w:p>
        </w:tc>
        <w:tc>
          <w:tcPr>
            <w:tcW w:w="1640" w:type="dxa"/>
            <w:shd w:val="clear" w:color="auto" w:fill="auto"/>
            <w:tcMar>
              <w:left w:w="58" w:type="dxa"/>
              <w:right w:w="58" w:type="dxa"/>
            </w:tcMar>
            <w:vAlign w:val="bottom"/>
          </w:tcPr>
          <w:p w14:paraId="51298919" w14:textId="77777777" w:rsidR="00DB63C7" w:rsidRPr="00CE3053" w:rsidRDefault="00DB63C7" w:rsidP="00DB63C7">
            <w:pPr>
              <w:pStyle w:val="TableText"/>
              <w:spacing w:after="0"/>
              <w:jc w:val="right"/>
              <w:rPr>
                <w:rFonts w:ascii="Arial" w:hAnsi="Arial"/>
                <w:b/>
                <w:color w:val="000000"/>
                <w:sz w:val="18"/>
                <w:lang w:val="mk-MK"/>
              </w:rPr>
            </w:pPr>
          </w:p>
        </w:tc>
        <w:tc>
          <w:tcPr>
            <w:tcW w:w="1638" w:type="dxa"/>
            <w:shd w:val="clear" w:color="auto" w:fill="auto"/>
            <w:tcMar>
              <w:left w:w="58" w:type="dxa"/>
              <w:right w:w="58" w:type="dxa"/>
            </w:tcMar>
            <w:vAlign w:val="bottom"/>
          </w:tcPr>
          <w:p w14:paraId="417D6830" w14:textId="77777777" w:rsidR="00DB63C7" w:rsidRPr="00CE3053" w:rsidRDefault="00DB63C7" w:rsidP="00DB63C7">
            <w:pPr>
              <w:pStyle w:val="TableText"/>
              <w:spacing w:after="0"/>
              <w:jc w:val="right"/>
              <w:rPr>
                <w:rFonts w:ascii="Arial" w:hAnsi="Arial"/>
                <w:b/>
                <w:color w:val="000000"/>
                <w:sz w:val="18"/>
                <w:lang w:val="mk-MK"/>
              </w:rPr>
            </w:pPr>
          </w:p>
        </w:tc>
      </w:tr>
      <w:tr w:rsidR="00DB63C7" w:rsidRPr="001E6526" w14:paraId="5EA3D54B" w14:textId="77777777" w:rsidTr="00A504C6">
        <w:trPr>
          <w:trHeight w:val="216"/>
        </w:trPr>
        <w:tc>
          <w:tcPr>
            <w:tcW w:w="4361" w:type="dxa"/>
            <w:shd w:val="clear" w:color="auto" w:fill="auto"/>
            <w:tcMar>
              <w:left w:w="58" w:type="dxa"/>
              <w:right w:w="58" w:type="dxa"/>
            </w:tcMar>
            <w:vAlign w:val="bottom"/>
          </w:tcPr>
          <w:p w14:paraId="025D3232" w14:textId="04B85ACF" w:rsidR="00DB63C7" w:rsidRPr="00CE3053" w:rsidRDefault="009B2B1B" w:rsidP="00DB63C7">
            <w:pPr>
              <w:pStyle w:val="TableText"/>
              <w:spacing w:after="0"/>
              <w:rPr>
                <w:rFonts w:ascii="Arial" w:hAnsi="Arial"/>
                <w:bCs/>
                <w:sz w:val="18"/>
                <w:lang w:val="mk-MK"/>
              </w:rPr>
            </w:pPr>
            <w:proofErr w:type="spellStart"/>
            <w:r w:rsidRPr="009B2B1B">
              <w:rPr>
                <w:rFonts w:ascii="Arial" w:hAnsi="Arial"/>
                <w:bCs/>
                <w:sz w:val="18"/>
                <w:lang w:val="mk-MK"/>
              </w:rPr>
              <w:t>Founder’s</w:t>
            </w:r>
            <w:proofErr w:type="spellEnd"/>
            <w:r w:rsidRPr="009B2B1B">
              <w:rPr>
                <w:rFonts w:ascii="Arial" w:hAnsi="Arial"/>
                <w:bCs/>
                <w:sz w:val="18"/>
                <w:lang w:val="mk-MK"/>
              </w:rPr>
              <w:t xml:space="preserve"> </w:t>
            </w:r>
            <w:proofErr w:type="spellStart"/>
            <w:r w:rsidRPr="009B2B1B">
              <w:rPr>
                <w:rFonts w:ascii="Arial" w:hAnsi="Arial"/>
                <w:bCs/>
                <w:sz w:val="18"/>
                <w:lang w:val="mk-MK"/>
              </w:rPr>
              <w:t>capital</w:t>
            </w:r>
            <w:proofErr w:type="spellEnd"/>
          </w:p>
        </w:tc>
        <w:tc>
          <w:tcPr>
            <w:tcW w:w="1001" w:type="dxa"/>
            <w:shd w:val="clear" w:color="auto" w:fill="auto"/>
            <w:tcMar>
              <w:left w:w="58" w:type="dxa"/>
              <w:right w:w="58" w:type="dxa"/>
            </w:tcMar>
            <w:vAlign w:val="bottom"/>
          </w:tcPr>
          <w:p w14:paraId="4C5B5CFE" w14:textId="5D480A27" w:rsidR="00DB63C7" w:rsidRPr="001E6526" w:rsidRDefault="00DB63C7" w:rsidP="00A504C6">
            <w:pPr>
              <w:pStyle w:val="TableText"/>
              <w:spacing w:after="0"/>
              <w:jc w:val="center"/>
              <w:rPr>
                <w:rFonts w:ascii="Arial" w:hAnsi="Arial"/>
                <w:sz w:val="18"/>
                <w:lang w:val="mk-MK"/>
              </w:rPr>
            </w:pPr>
            <w:r w:rsidRPr="001E6526">
              <w:rPr>
                <w:rFonts w:ascii="Arial" w:hAnsi="Arial"/>
                <w:sz w:val="18"/>
                <w:lang w:val="mk-MK"/>
              </w:rPr>
              <w:t>1</w:t>
            </w:r>
            <w:r w:rsidR="00231A38" w:rsidRPr="00CE3053">
              <w:rPr>
                <w:rFonts w:ascii="Arial" w:hAnsi="Arial"/>
                <w:sz w:val="18"/>
                <w:lang w:val="mk-MK"/>
              </w:rPr>
              <w:t>5</w:t>
            </w:r>
          </w:p>
        </w:tc>
        <w:tc>
          <w:tcPr>
            <w:tcW w:w="1640" w:type="dxa"/>
            <w:shd w:val="clear" w:color="auto" w:fill="auto"/>
            <w:tcMar>
              <w:left w:w="58" w:type="dxa"/>
              <w:right w:w="58" w:type="dxa"/>
            </w:tcMar>
            <w:vAlign w:val="bottom"/>
          </w:tcPr>
          <w:p w14:paraId="680B48EB" w14:textId="77777777" w:rsidR="00DB63C7" w:rsidRPr="00CE3053" w:rsidRDefault="00DB63C7" w:rsidP="00DB63C7">
            <w:pPr>
              <w:spacing w:after="0"/>
              <w:jc w:val="right"/>
              <w:rPr>
                <w:rFonts w:ascii="Arial" w:hAnsi="Arial" w:cs="Arial"/>
                <w:color w:val="000000"/>
                <w:lang w:val="mk-MK"/>
              </w:rPr>
            </w:pPr>
            <w:r w:rsidRPr="00CE3053">
              <w:rPr>
                <w:rFonts w:ascii="Arial" w:hAnsi="Arial" w:cs="Arial"/>
                <w:color w:val="000000"/>
                <w:lang w:val="mk-MK"/>
              </w:rPr>
              <w:t>10,300</w:t>
            </w:r>
          </w:p>
        </w:tc>
        <w:tc>
          <w:tcPr>
            <w:tcW w:w="1638" w:type="dxa"/>
            <w:shd w:val="clear" w:color="auto" w:fill="auto"/>
            <w:tcMar>
              <w:left w:w="58" w:type="dxa"/>
              <w:right w:w="58" w:type="dxa"/>
            </w:tcMar>
            <w:vAlign w:val="bottom"/>
          </w:tcPr>
          <w:p w14:paraId="13F950F7" w14:textId="392EBA14" w:rsidR="00DB63C7" w:rsidRPr="00CE3053" w:rsidRDefault="00DB63C7" w:rsidP="00DB63C7">
            <w:pPr>
              <w:spacing w:after="0"/>
              <w:jc w:val="right"/>
              <w:rPr>
                <w:rFonts w:ascii="Arial" w:hAnsi="Arial" w:cs="Arial"/>
                <w:color w:val="000000"/>
                <w:lang w:val="mk-MK"/>
              </w:rPr>
            </w:pPr>
            <w:r w:rsidRPr="00CE3053">
              <w:rPr>
                <w:rFonts w:ascii="Arial" w:hAnsi="Arial" w:cs="Arial"/>
                <w:color w:val="000000"/>
                <w:lang w:val="mk-MK"/>
              </w:rPr>
              <w:t>10,300</w:t>
            </w:r>
          </w:p>
        </w:tc>
      </w:tr>
      <w:tr w:rsidR="00DB63C7" w:rsidRPr="001E6526" w14:paraId="47656F7B" w14:textId="77777777" w:rsidTr="00A504C6">
        <w:trPr>
          <w:trHeight w:val="216"/>
        </w:trPr>
        <w:tc>
          <w:tcPr>
            <w:tcW w:w="4361" w:type="dxa"/>
            <w:shd w:val="clear" w:color="auto" w:fill="auto"/>
            <w:tcMar>
              <w:left w:w="58" w:type="dxa"/>
              <w:right w:w="58" w:type="dxa"/>
            </w:tcMar>
            <w:vAlign w:val="bottom"/>
          </w:tcPr>
          <w:p w14:paraId="4E3A759D" w14:textId="0DFBB694" w:rsidR="00DB63C7" w:rsidRPr="00CE3053" w:rsidRDefault="009B2B1B" w:rsidP="00DB63C7">
            <w:pPr>
              <w:pStyle w:val="TableText"/>
              <w:spacing w:after="0"/>
              <w:rPr>
                <w:rFonts w:ascii="Arial" w:hAnsi="Arial"/>
                <w:bCs/>
                <w:sz w:val="18"/>
                <w:lang w:val="mk-MK"/>
              </w:rPr>
            </w:pPr>
            <w:proofErr w:type="spellStart"/>
            <w:r w:rsidRPr="009B2B1B">
              <w:rPr>
                <w:rFonts w:ascii="Arial" w:hAnsi="Arial"/>
                <w:bCs/>
                <w:sz w:val="18"/>
                <w:lang w:val="mk-MK"/>
              </w:rPr>
              <w:t>Insurance</w:t>
            </w:r>
            <w:proofErr w:type="spellEnd"/>
            <w:r w:rsidRPr="009B2B1B">
              <w:rPr>
                <w:rFonts w:ascii="Arial" w:hAnsi="Arial"/>
                <w:bCs/>
                <w:sz w:val="18"/>
                <w:lang w:val="mk-MK"/>
              </w:rPr>
              <w:t xml:space="preserve"> </w:t>
            </w:r>
            <w:proofErr w:type="spellStart"/>
            <w:r w:rsidRPr="009B2B1B">
              <w:rPr>
                <w:rFonts w:ascii="Arial" w:hAnsi="Arial"/>
                <w:bCs/>
                <w:sz w:val="18"/>
                <w:lang w:val="mk-MK"/>
              </w:rPr>
              <w:t>fund</w:t>
            </w:r>
            <w:proofErr w:type="spellEnd"/>
          </w:p>
        </w:tc>
        <w:tc>
          <w:tcPr>
            <w:tcW w:w="1001" w:type="dxa"/>
            <w:shd w:val="clear" w:color="auto" w:fill="auto"/>
            <w:tcMar>
              <w:left w:w="58" w:type="dxa"/>
              <w:right w:w="58" w:type="dxa"/>
            </w:tcMar>
            <w:vAlign w:val="bottom"/>
          </w:tcPr>
          <w:p w14:paraId="33BED9EF" w14:textId="77777777" w:rsidR="00DB63C7" w:rsidRPr="00CE3053" w:rsidRDefault="00DB63C7" w:rsidP="00A504C6">
            <w:pPr>
              <w:pStyle w:val="TableText"/>
              <w:spacing w:after="0"/>
              <w:jc w:val="center"/>
              <w:rPr>
                <w:rFonts w:ascii="Arial" w:hAnsi="Arial"/>
                <w:color w:val="FF0000"/>
                <w:sz w:val="18"/>
                <w:lang w:val="mk-MK"/>
              </w:rPr>
            </w:pPr>
          </w:p>
        </w:tc>
        <w:tc>
          <w:tcPr>
            <w:tcW w:w="1640" w:type="dxa"/>
            <w:shd w:val="clear" w:color="auto" w:fill="auto"/>
            <w:tcMar>
              <w:left w:w="58" w:type="dxa"/>
              <w:right w:w="58" w:type="dxa"/>
            </w:tcMar>
            <w:vAlign w:val="bottom"/>
          </w:tcPr>
          <w:p w14:paraId="3BBB6DC2" w14:textId="2235E306" w:rsidR="00DB63C7" w:rsidRPr="001E6526" w:rsidRDefault="00106064" w:rsidP="00DB63C7">
            <w:pPr>
              <w:spacing w:after="0"/>
              <w:jc w:val="right"/>
              <w:rPr>
                <w:rFonts w:ascii="Arial" w:hAnsi="Arial" w:cs="Arial"/>
                <w:color w:val="000000"/>
                <w:lang w:val="mk-MK"/>
              </w:rPr>
            </w:pPr>
            <w:r w:rsidRPr="001E6526">
              <w:rPr>
                <w:rFonts w:ascii="Arial" w:hAnsi="Arial" w:cs="Arial"/>
                <w:color w:val="000000"/>
                <w:lang w:val="mk-MK"/>
              </w:rPr>
              <w:t>14,768,533</w:t>
            </w:r>
          </w:p>
        </w:tc>
        <w:tc>
          <w:tcPr>
            <w:tcW w:w="1638" w:type="dxa"/>
            <w:shd w:val="clear" w:color="auto" w:fill="auto"/>
            <w:tcMar>
              <w:left w:w="58" w:type="dxa"/>
              <w:right w:w="58" w:type="dxa"/>
            </w:tcMar>
            <w:vAlign w:val="bottom"/>
          </w:tcPr>
          <w:p w14:paraId="206E6D57" w14:textId="75022854" w:rsidR="00DB63C7" w:rsidRPr="00CE3053" w:rsidRDefault="00DB63C7" w:rsidP="00DB63C7">
            <w:pPr>
              <w:spacing w:after="0"/>
              <w:jc w:val="right"/>
              <w:rPr>
                <w:rFonts w:ascii="Arial" w:hAnsi="Arial" w:cs="Arial"/>
                <w:color w:val="000000"/>
                <w:lang w:val="mk-MK"/>
              </w:rPr>
            </w:pPr>
            <w:r w:rsidRPr="00CE3053">
              <w:rPr>
                <w:rFonts w:ascii="Arial" w:hAnsi="Arial" w:cs="Arial"/>
                <w:color w:val="000000"/>
                <w:lang w:val="mk-MK"/>
              </w:rPr>
              <w:t>13,943,672</w:t>
            </w:r>
          </w:p>
        </w:tc>
      </w:tr>
      <w:tr w:rsidR="00DB63C7" w:rsidRPr="001E6526" w14:paraId="1814ABBB" w14:textId="77777777" w:rsidTr="00A504C6">
        <w:trPr>
          <w:trHeight w:val="216"/>
        </w:trPr>
        <w:tc>
          <w:tcPr>
            <w:tcW w:w="4361" w:type="dxa"/>
            <w:tcBorders>
              <w:bottom w:val="single" w:sz="4" w:space="0" w:color="auto"/>
            </w:tcBorders>
            <w:shd w:val="clear" w:color="auto" w:fill="auto"/>
            <w:tcMar>
              <w:left w:w="58" w:type="dxa"/>
              <w:right w:w="58" w:type="dxa"/>
            </w:tcMar>
            <w:vAlign w:val="bottom"/>
          </w:tcPr>
          <w:p w14:paraId="1972A976" w14:textId="529EDDEA" w:rsidR="00DB63C7" w:rsidRPr="00CE3053" w:rsidRDefault="009B2B1B" w:rsidP="00DB63C7">
            <w:pPr>
              <w:pStyle w:val="TableText"/>
              <w:spacing w:after="0"/>
              <w:rPr>
                <w:rFonts w:ascii="Arial" w:hAnsi="Arial"/>
                <w:bCs/>
                <w:sz w:val="18"/>
                <w:lang w:val="mk-MK"/>
              </w:rPr>
            </w:pPr>
            <w:proofErr w:type="spellStart"/>
            <w:r w:rsidRPr="009B2B1B">
              <w:rPr>
                <w:rFonts w:ascii="Arial" w:hAnsi="Arial"/>
                <w:bCs/>
                <w:sz w:val="18"/>
                <w:lang w:val="mk-MK"/>
              </w:rPr>
              <w:t>Retained</w:t>
            </w:r>
            <w:proofErr w:type="spellEnd"/>
            <w:r w:rsidRPr="009B2B1B">
              <w:rPr>
                <w:rFonts w:ascii="Arial" w:hAnsi="Arial"/>
                <w:bCs/>
                <w:sz w:val="18"/>
                <w:lang w:val="mk-MK"/>
              </w:rPr>
              <w:t xml:space="preserve"> </w:t>
            </w:r>
            <w:proofErr w:type="spellStart"/>
            <w:r w:rsidRPr="009B2B1B">
              <w:rPr>
                <w:rFonts w:ascii="Arial" w:hAnsi="Arial"/>
                <w:bCs/>
                <w:sz w:val="18"/>
                <w:lang w:val="mk-MK"/>
              </w:rPr>
              <w:t>earnings</w:t>
            </w:r>
            <w:proofErr w:type="spellEnd"/>
          </w:p>
        </w:tc>
        <w:tc>
          <w:tcPr>
            <w:tcW w:w="1001" w:type="dxa"/>
            <w:tcBorders>
              <w:bottom w:val="single" w:sz="4" w:space="0" w:color="auto"/>
            </w:tcBorders>
            <w:shd w:val="clear" w:color="auto" w:fill="auto"/>
            <w:tcMar>
              <w:left w:w="58" w:type="dxa"/>
              <w:right w:w="58" w:type="dxa"/>
            </w:tcMar>
            <w:vAlign w:val="bottom"/>
          </w:tcPr>
          <w:p w14:paraId="5EDBDD4C" w14:textId="77777777" w:rsidR="00DB63C7" w:rsidRPr="00CE3053" w:rsidRDefault="00DB63C7" w:rsidP="00A504C6">
            <w:pPr>
              <w:pStyle w:val="TableText"/>
              <w:spacing w:after="0"/>
              <w:jc w:val="center"/>
              <w:rPr>
                <w:rFonts w:ascii="Arial" w:hAnsi="Arial"/>
                <w:color w:val="FF0000"/>
                <w:sz w:val="18"/>
                <w:lang w:val="mk-MK"/>
              </w:rPr>
            </w:pPr>
          </w:p>
        </w:tc>
        <w:tc>
          <w:tcPr>
            <w:tcW w:w="1640" w:type="dxa"/>
            <w:tcBorders>
              <w:bottom w:val="single" w:sz="4" w:space="0" w:color="auto"/>
            </w:tcBorders>
            <w:shd w:val="clear" w:color="auto" w:fill="auto"/>
            <w:tcMar>
              <w:left w:w="58" w:type="dxa"/>
              <w:right w:w="58" w:type="dxa"/>
            </w:tcMar>
            <w:vAlign w:val="bottom"/>
          </w:tcPr>
          <w:p w14:paraId="33C586C0" w14:textId="6A3FF0E9" w:rsidR="00DB63C7" w:rsidRPr="001E6526" w:rsidRDefault="00106064" w:rsidP="00DB63C7">
            <w:pPr>
              <w:spacing w:after="0"/>
              <w:jc w:val="right"/>
              <w:rPr>
                <w:rFonts w:ascii="Arial" w:hAnsi="Arial" w:cs="Arial"/>
                <w:color w:val="000000"/>
                <w:lang w:val="mk-MK"/>
              </w:rPr>
            </w:pPr>
            <w:r w:rsidRPr="001E6526">
              <w:rPr>
                <w:rFonts w:ascii="Arial" w:hAnsi="Arial" w:cs="Arial"/>
                <w:color w:val="000000"/>
                <w:lang w:val="mk-MK"/>
              </w:rPr>
              <w:t>42,250</w:t>
            </w:r>
          </w:p>
        </w:tc>
        <w:tc>
          <w:tcPr>
            <w:tcW w:w="1638" w:type="dxa"/>
            <w:tcBorders>
              <w:bottom w:val="single" w:sz="4" w:space="0" w:color="auto"/>
            </w:tcBorders>
            <w:shd w:val="clear" w:color="auto" w:fill="auto"/>
            <w:tcMar>
              <w:left w:w="58" w:type="dxa"/>
              <w:right w:w="58" w:type="dxa"/>
            </w:tcMar>
            <w:vAlign w:val="bottom"/>
          </w:tcPr>
          <w:p w14:paraId="3BCF3AEF" w14:textId="0E86C3DE" w:rsidR="00DB63C7" w:rsidRPr="00CE3053" w:rsidRDefault="00DB63C7" w:rsidP="00DB63C7">
            <w:pPr>
              <w:spacing w:after="0"/>
              <w:jc w:val="right"/>
              <w:rPr>
                <w:rFonts w:ascii="Arial" w:hAnsi="Arial" w:cs="Arial"/>
                <w:color w:val="000000"/>
                <w:lang w:val="mk-MK"/>
              </w:rPr>
            </w:pPr>
            <w:r w:rsidRPr="00CE3053">
              <w:rPr>
                <w:rFonts w:ascii="Arial" w:hAnsi="Arial" w:cs="Arial"/>
                <w:color w:val="000000"/>
                <w:lang w:val="mk-MK"/>
              </w:rPr>
              <w:t>7</w:t>
            </w:r>
            <w:r w:rsidRPr="001E6526">
              <w:rPr>
                <w:rFonts w:ascii="Arial" w:hAnsi="Arial" w:cs="Arial"/>
                <w:color w:val="000000"/>
                <w:lang w:val="mk-MK"/>
              </w:rPr>
              <w:t>0,194</w:t>
            </w:r>
          </w:p>
        </w:tc>
      </w:tr>
      <w:tr w:rsidR="00DB63C7" w:rsidRPr="001E6526" w14:paraId="4CA6CF6C" w14:textId="77777777" w:rsidTr="00A504C6">
        <w:trPr>
          <w:trHeight w:val="216"/>
        </w:trPr>
        <w:tc>
          <w:tcPr>
            <w:tcW w:w="4361" w:type="dxa"/>
            <w:tcBorders>
              <w:top w:val="single" w:sz="4" w:space="0" w:color="auto"/>
            </w:tcBorders>
            <w:shd w:val="clear" w:color="auto" w:fill="auto"/>
            <w:tcMar>
              <w:left w:w="58" w:type="dxa"/>
              <w:right w:w="58" w:type="dxa"/>
            </w:tcMar>
            <w:vAlign w:val="bottom"/>
          </w:tcPr>
          <w:p w14:paraId="6C0CF4A8" w14:textId="77777777" w:rsidR="00DB63C7" w:rsidRPr="00CE3053" w:rsidRDefault="00DB63C7" w:rsidP="00DB63C7">
            <w:pPr>
              <w:pStyle w:val="TableText"/>
              <w:spacing w:after="0"/>
              <w:rPr>
                <w:rFonts w:ascii="Arial" w:hAnsi="Arial"/>
                <w:b/>
                <w:bCs/>
                <w:sz w:val="18"/>
                <w:lang w:val="mk-MK"/>
              </w:rPr>
            </w:pPr>
          </w:p>
        </w:tc>
        <w:tc>
          <w:tcPr>
            <w:tcW w:w="1001" w:type="dxa"/>
            <w:tcBorders>
              <w:top w:val="single" w:sz="4" w:space="0" w:color="auto"/>
            </w:tcBorders>
            <w:shd w:val="clear" w:color="auto" w:fill="auto"/>
            <w:tcMar>
              <w:left w:w="58" w:type="dxa"/>
              <w:right w:w="58" w:type="dxa"/>
            </w:tcMar>
            <w:vAlign w:val="bottom"/>
          </w:tcPr>
          <w:p w14:paraId="4812B50F" w14:textId="77777777" w:rsidR="00DB63C7" w:rsidRPr="00CE3053" w:rsidRDefault="00DB63C7" w:rsidP="00A504C6">
            <w:pPr>
              <w:pStyle w:val="TableText"/>
              <w:spacing w:after="0"/>
              <w:jc w:val="center"/>
              <w:rPr>
                <w:rFonts w:ascii="Arial" w:hAnsi="Arial"/>
                <w:b/>
                <w:color w:val="FF0000"/>
                <w:sz w:val="18"/>
                <w:lang w:val="mk-MK"/>
              </w:rPr>
            </w:pPr>
          </w:p>
        </w:tc>
        <w:tc>
          <w:tcPr>
            <w:tcW w:w="1640" w:type="dxa"/>
            <w:tcBorders>
              <w:top w:val="single" w:sz="4" w:space="0" w:color="auto"/>
            </w:tcBorders>
            <w:shd w:val="clear" w:color="auto" w:fill="auto"/>
            <w:tcMar>
              <w:left w:w="58" w:type="dxa"/>
              <w:right w:w="58" w:type="dxa"/>
            </w:tcMar>
            <w:vAlign w:val="bottom"/>
          </w:tcPr>
          <w:p w14:paraId="10B8ED2C" w14:textId="4DDD4262" w:rsidR="00DB63C7" w:rsidRPr="00CE3053" w:rsidRDefault="00DB63C7" w:rsidP="00DB63C7">
            <w:pPr>
              <w:spacing w:after="0"/>
              <w:jc w:val="right"/>
              <w:rPr>
                <w:rFonts w:ascii="Arial" w:hAnsi="Arial" w:cs="Arial"/>
                <w:b/>
                <w:bCs/>
                <w:color w:val="000000"/>
                <w:lang w:val="mk-MK"/>
              </w:rPr>
            </w:pPr>
            <w:r w:rsidRPr="00CE3053">
              <w:rPr>
                <w:rFonts w:ascii="Arial" w:hAnsi="Arial" w:cs="Arial"/>
                <w:b/>
                <w:bCs/>
                <w:color w:val="000000"/>
                <w:lang w:val="mk-MK"/>
              </w:rPr>
              <w:t>1</w:t>
            </w:r>
            <w:r w:rsidRPr="001E6526">
              <w:rPr>
                <w:rFonts w:ascii="Arial" w:hAnsi="Arial" w:cs="Arial"/>
                <w:b/>
                <w:bCs/>
                <w:color w:val="000000"/>
                <w:lang w:val="mk-MK"/>
              </w:rPr>
              <w:t>4,</w:t>
            </w:r>
            <w:r w:rsidR="00711844" w:rsidRPr="001E6526">
              <w:rPr>
                <w:rFonts w:ascii="Arial" w:hAnsi="Arial" w:cs="Arial"/>
                <w:b/>
                <w:bCs/>
                <w:color w:val="000000"/>
                <w:lang w:val="mk-MK"/>
              </w:rPr>
              <w:t>821,083</w:t>
            </w:r>
          </w:p>
        </w:tc>
        <w:tc>
          <w:tcPr>
            <w:tcW w:w="1638" w:type="dxa"/>
            <w:tcBorders>
              <w:top w:val="single" w:sz="4" w:space="0" w:color="auto"/>
            </w:tcBorders>
            <w:shd w:val="clear" w:color="auto" w:fill="auto"/>
            <w:tcMar>
              <w:left w:w="58" w:type="dxa"/>
              <w:right w:w="58" w:type="dxa"/>
            </w:tcMar>
            <w:vAlign w:val="bottom"/>
          </w:tcPr>
          <w:p w14:paraId="216F79F7" w14:textId="33B92980" w:rsidR="00DB63C7" w:rsidRPr="00CE3053" w:rsidRDefault="00DB63C7" w:rsidP="00DB63C7">
            <w:pPr>
              <w:spacing w:after="0"/>
              <w:jc w:val="right"/>
              <w:rPr>
                <w:rFonts w:ascii="Arial" w:hAnsi="Arial" w:cs="Arial"/>
                <w:b/>
                <w:bCs/>
                <w:color w:val="000000"/>
                <w:lang w:val="mk-MK"/>
              </w:rPr>
            </w:pPr>
            <w:r w:rsidRPr="00CE3053">
              <w:rPr>
                <w:rFonts w:ascii="Arial" w:hAnsi="Arial" w:cs="Arial"/>
                <w:b/>
                <w:bCs/>
                <w:color w:val="000000"/>
                <w:lang w:val="mk-MK"/>
              </w:rPr>
              <w:t>1</w:t>
            </w:r>
            <w:r w:rsidRPr="001E6526">
              <w:rPr>
                <w:rFonts w:ascii="Arial" w:hAnsi="Arial" w:cs="Arial"/>
                <w:b/>
                <w:bCs/>
                <w:color w:val="000000"/>
                <w:lang w:val="mk-MK"/>
              </w:rPr>
              <w:t>4,024</w:t>
            </w:r>
            <w:r w:rsidRPr="00CE3053">
              <w:rPr>
                <w:rFonts w:ascii="Arial" w:hAnsi="Arial" w:cs="Arial"/>
                <w:b/>
                <w:bCs/>
                <w:color w:val="000000"/>
                <w:lang w:val="mk-MK"/>
              </w:rPr>
              <w:t>,</w:t>
            </w:r>
            <w:r w:rsidRPr="001E6526">
              <w:rPr>
                <w:rFonts w:ascii="Arial" w:hAnsi="Arial" w:cs="Arial"/>
                <w:b/>
                <w:bCs/>
                <w:color w:val="000000"/>
                <w:lang w:val="mk-MK"/>
              </w:rPr>
              <w:t>166</w:t>
            </w:r>
          </w:p>
        </w:tc>
      </w:tr>
      <w:tr w:rsidR="00DB63C7" w:rsidRPr="001E6526" w14:paraId="26E5241A" w14:textId="77777777" w:rsidTr="00A504C6">
        <w:trPr>
          <w:trHeight w:val="216"/>
        </w:trPr>
        <w:tc>
          <w:tcPr>
            <w:tcW w:w="4361" w:type="dxa"/>
            <w:shd w:val="clear" w:color="auto" w:fill="auto"/>
            <w:tcMar>
              <w:left w:w="58" w:type="dxa"/>
              <w:right w:w="58" w:type="dxa"/>
            </w:tcMar>
            <w:vAlign w:val="bottom"/>
          </w:tcPr>
          <w:p w14:paraId="36704225" w14:textId="17BDCAA5" w:rsidR="00DB63C7" w:rsidRPr="00CE3053" w:rsidRDefault="009B2B1B" w:rsidP="00DB63C7">
            <w:pPr>
              <w:pStyle w:val="TableText"/>
              <w:spacing w:after="0"/>
              <w:rPr>
                <w:rFonts w:ascii="Arial" w:hAnsi="Arial"/>
                <w:b/>
                <w:sz w:val="18"/>
                <w:lang w:val="mk-MK"/>
              </w:rPr>
            </w:pPr>
            <w:proofErr w:type="spellStart"/>
            <w:r w:rsidRPr="009B2B1B">
              <w:rPr>
                <w:rFonts w:ascii="Arial" w:hAnsi="Arial"/>
                <w:b/>
                <w:sz w:val="18"/>
                <w:lang w:val="mk-MK"/>
              </w:rPr>
              <w:t>Liabilities</w:t>
            </w:r>
            <w:proofErr w:type="spellEnd"/>
          </w:p>
        </w:tc>
        <w:tc>
          <w:tcPr>
            <w:tcW w:w="1001" w:type="dxa"/>
            <w:shd w:val="clear" w:color="auto" w:fill="auto"/>
            <w:tcMar>
              <w:left w:w="58" w:type="dxa"/>
              <w:right w:w="58" w:type="dxa"/>
            </w:tcMar>
            <w:vAlign w:val="bottom"/>
          </w:tcPr>
          <w:p w14:paraId="0BA64C1A" w14:textId="77777777" w:rsidR="00DB63C7" w:rsidRPr="00CE3053" w:rsidRDefault="00DB63C7" w:rsidP="00A504C6">
            <w:pPr>
              <w:pStyle w:val="TableText"/>
              <w:spacing w:after="0"/>
              <w:jc w:val="center"/>
              <w:rPr>
                <w:rFonts w:ascii="Arial" w:hAnsi="Arial"/>
                <w:b/>
                <w:color w:val="FF0000"/>
                <w:sz w:val="18"/>
                <w:lang w:val="mk-MK"/>
              </w:rPr>
            </w:pPr>
          </w:p>
        </w:tc>
        <w:tc>
          <w:tcPr>
            <w:tcW w:w="1640" w:type="dxa"/>
            <w:shd w:val="clear" w:color="auto" w:fill="auto"/>
            <w:tcMar>
              <w:left w:w="58" w:type="dxa"/>
              <w:right w:w="58" w:type="dxa"/>
            </w:tcMar>
            <w:vAlign w:val="bottom"/>
          </w:tcPr>
          <w:p w14:paraId="05C23FF0" w14:textId="77777777" w:rsidR="00DB63C7" w:rsidRPr="00CE3053" w:rsidRDefault="00DB63C7" w:rsidP="00DB63C7">
            <w:pPr>
              <w:pStyle w:val="TableText"/>
              <w:spacing w:after="0"/>
              <w:jc w:val="right"/>
              <w:rPr>
                <w:rFonts w:ascii="Arial" w:hAnsi="Arial"/>
                <w:b/>
                <w:color w:val="000000"/>
                <w:sz w:val="18"/>
                <w:lang w:val="mk-MK"/>
              </w:rPr>
            </w:pPr>
          </w:p>
        </w:tc>
        <w:tc>
          <w:tcPr>
            <w:tcW w:w="1638" w:type="dxa"/>
            <w:shd w:val="clear" w:color="auto" w:fill="auto"/>
            <w:tcMar>
              <w:left w:w="58" w:type="dxa"/>
              <w:right w:w="58" w:type="dxa"/>
            </w:tcMar>
            <w:vAlign w:val="bottom"/>
          </w:tcPr>
          <w:p w14:paraId="081BA066" w14:textId="77777777" w:rsidR="00DB63C7" w:rsidRPr="00CE3053" w:rsidRDefault="00DB63C7" w:rsidP="00DB63C7">
            <w:pPr>
              <w:pStyle w:val="TableText"/>
              <w:spacing w:after="0"/>
              <w:jc w:val="right"/>
              <w:rPr>
                <w:rFonts w:ascii="Arial" w:hAnsi="Arial"/>
                <w:b/>
                <w:color w:val="000000"/>
                <w:sz w:val="18"/>
                <w:lang w:val="mk-MK"/>
              </w:rPr>
            </w:pPr>
          </w:p>
        </w:tc>
      </w:tr>
      <w:tr w:rsidR="00DB63C7" w:rsidRPr="001E6526" w14:paraId="1D368456" w14:textId="77777777" w:rsidTr="00A504C6">
        <w:trPr>
          <w:trHeight w:val="216"/>
        </w:trPr>
        <w:tc>
          <w:tcPr>
            <w:tcW w:w="4361" w:type="dxa"/>
            <w:shd w:val="clear" w:color="auto" w:fill="auto"/>
            <w:tcMar>
              <w:left w:w="58" w:type="dxa"/>
              <w:right w:w="58" w:type="dxa"/>
            </w:tcMar>
            <w:vAlign w:val="bottom"/>
          </w:tcPr>
          <w:p w14:paraId="3FA6B204" w14:textId="714A893F" w:rsidR="00DB63C7" w:rsidRPr="00CE3053" w:rsidRDefault="009B2B1B" w:rsidP="00DB63C7">
            <w:pPr>
              <w:pStyle w:val="TableText"/>
              <w:spacing w:after="0"/>
              <w:rPr>
                <w:rFonts w:ascii="Arial" w:hAnsi="Arial"/>
                <w:b/>
                <w:sz w:val="18"/>
                <w:lang w:val="mk-MK"/>
              </w:rPr>
            </w:pPr>
            <w:proofErr w:type="spellStart"/>
            <w:r w:rsidRPr="009B2B1B">
              <w:rPr>
                <w:rFonts w:ascii="Arial" w:hAnsi="Arial"/>
                <w:b/>
                <w:sz w:val="18"/>
                <w:lang w:val="mk-MK"/>
              </w:rPr>
              <w:t>Short-term</w:t>
            </w:r>
            <w:proofErr w:type="spellEnd"/>
            <w:r w:rsidRPr="009B2B1B">
              <w:rPr>
                <w:rFonts w:ascii="Arial" w:hAnsi="Arial"/>
                <w:b/>
                <w:sz w:val="18"/>
                <w:lang w:val="mk-MK"/>
              </w:rPr>
              <w:t xml:space="preserve"> </w:t>
            </w:r>
            <w:proofErr w:type="spellStart"/>
            <w:r w:rsidRPr="009B2B1B">
              <w:rPr>
                <w:rFonts w:ascii="Arial" w:hAnsi="Arial"/>
                <w:b/>
                <w:sz w:val="18"/>
                <w:lang w:val="mk-MK"/>
              </w:rPr>
              <w:t>liabilities</w:t>
            </w:r>
            <w:proofErr w:type="spellEnd"/>
          </w:p>
        </w:tc>
        <w:tc>
          <w:tcPr>
            <w:tcW w:w="1001" w:type="dxa"/>
            <w:shd w:val="clear" w:color="auto" w:fill="auto"/>
            <w:tcMar>
              <w:left w:w="58" w:type="dxa"/>
              <w:right w:w="58" w:type="dxa"/>
            </w:tcMar>
            <w:vAlign w:val="bottom"/>
          </w:tcPr>
          <w:p w14:paraId="7908229C" w14:textId="77777777" w:rsidR="00DB63C7" w:rsidRPr="00CE3053" w:rsidRDefault="00DB63C7" w:rsidP="00A504C6">
            <w:pPr>
              <w:pStyle w:val="TableText"/>
              <w:spacing w:after="0"/>
              <w:jc w:val="center"/>
              <w:rPr>
                <w:rFonts w:ascii="Arial" w:hAnsi="Arial"/>
                <w:b/>
                <w:color w:val="FF0000"/>
                <w:sz w:val="18"/>
                <w:lang w:val="mk-MK"/>
              </w:rPr>
            </w:pPr>
          </w:p>
        </w:tc>
        <w:tc>
          <w:tcPr>
            <w:tcW w:w="1640" w:type="dxa"/>
            <w:shd w:val="clear" w:color="auto" w:fill="auto"/>
            <w:tcMar>
              <w:left w:w="58" w:type="dxa"/>
              <w:right w:w="58" w:type="dxa"/>
            </w:tcMar>
            <w:vAlign w:val="bottom"/>
          </w:tcPr>
          <w:p w14:paraId="4824AEBC" w14:textId="77777777" w:rsidR="00DB63C7" w:rsidRPr="00CE3053" w:rsidRDefault="00DB63C7" w:rsidP="00DB63C7">
            <w:pPr>
              <w:pStyle w:val="TableText"/>
              <w:spacing w:after="0"/>
              <w:jc w:val="right"/>
              <w:rPr>
                <w:rFonts w:ascii="Arial" w:hAnsi="Arial"/>
                <w:b/>
                <w:color w:val="000000"/>
                <w:sz w:val="18"/>
                <w:lang w:val="mk-MK"/>
              </w:rPr>
            </w:pPr>
          </w:p>
        </w:tc>
        <w:tc>
          <w:tcPr>
            <w:tcW w:w="1638" w:type="dxa"/>
            <w:shd w:val="clear" w:color="auto" w:fill="auto"/>
            <w:tcMar>
              <w:left w:w="58" w:type="dxa"/>
              <w:right w:w="58" w:type="dxa"/>
            </w:tcMar>
            <w:vAlign w:val="bottom"/>
          </w:tcPr>
          <w:p w14:paraId="42504A13" w14:textId="77777777" w:rsidR="00DB63C7" w:rsidRPr="00CE3053" w:rsidRDefault="00DB63C7" w:rsidP="00DB63C7">
            <w:pPr>
              <w:pStyle w:val="TableText"/>
              <w:spacing w:after="0"/>
              <w:jc w:val="right"/>
              <w:rPr>
                <w:rFonts w:ascii="Arial" w:hAnsi="Arial"/>
                <w:b/>
                <w:color w:val="000000"/>
                <w:sz w:val="18"/>
                <w:lang w:val="mk-MK"/>
              </w:rPr>
            </w:pPr>
          </w:p>
        </w:tc>
      </w:tr>
      <w:tr w:rsidR="00DB63C7" w:rsidRPr="001E6526" w14:paraId="65CAD443" w14:textId="77777777" w:rsidTr="00A504C6">
        <w:trPr>
          <w:trHeight w:val="216"/>
        </w:trPr>
        <w:tc>
          <w:tcPr>
            <w:tcW w:w="4361" w:type="dxa"/>
            <w:shd w:val="clear" w:color="auto" w:fill="auto"/>
            <w:tcMar>
              <w:left w:w="58" w:type="dxa"/>
              <w:right w:w="58" w:type="dxa"/>
            </w:tcMar>
            <w:vAlign w:val="bottom"/>
          </w:tcPr>
          <w:p w14:paraId="4F7F8B04" w14:textId="0C14F073" w:rsidR="00DB63C7" w:rsidRPr="001E6526" w:rsidRDefault="009B2B1B" w:rsidP="00DB63C7">
            <w:pPr>
              <w:pStyle w:val="TableText"/>
              <w:spacing w:after="0"/>
              <w:rPr>
                <w:rFonts w:ascii="Arial" w:hAnsi="Arial"/>
                <w:bCs/>
                <w:sz w:val="18"/>
                <w:lang w:val="mk-MK"/>
              </w:rPr>
            </w:pPr>
            <w:proofErr w:type="spellStart"/>
            <w:r w:rsidRPr="009B2B1B">
              <w:rPr>
                <w:rFonts w:ascii="Arial" w:hAnsi="Arial"/>
                <w:bCs/>
                <w:sz w:val="18"/>
                <w:lang w:val="mk-MK"/>
              </w:rPr>
              <w:t>Claims</w:t>
            </w:r>
            <w:proofErr w:type="spellEnd"/>
            <w:r w:rsidRPr="009B2B1B">
              <w:rPr>
                <w:rFonts w:ascii="Arial" w:hAnsi="Arial"/>
                <w:bCs/>
                <w:sz w:val="18"/>
                <w:lang w:val="mk-MK"/>
              </w:rPr>
              <w:t xml:space="preserve"> </w:t>
            </w:r>
            <w:proofErr w:type="spellStart"/>
            <w:r w:rsidRPr="009B2B1B">
              <w:rPr>
                <w:rFonts w:ascii="Arial" w:hAnsi="Arial"/>
                <w:bCs/>
                <w:sz w:val="18"/>
                <w:lang w:val="mk-MK"/>
              </w:rPr>
              <w:t>payables</w:t>
            </w:r>
            <w:proofErr w:type="spellEnd"/>
          </w:p>
        </w:tc>
        <w:tc>
          <w:tcPr>
            <w:tcW w:w="1001" w:type="dxa"/>
            <w:shd w:val="clear" w:color="auto" w:fill="auto"/>
            <w:tcMar>
              <w:left w:w="58" w:type="dxa"/>
              <w:right w:w="58" w:type="dxa"/>
            </w:tcMar>
            <w:vAlign w:val="bottom"/>
          </w:tcPr>
          <w:p w14:paraId="6B0505FF" w14:textId="2FBA4F96" w:rsidR="00DB63C7" w:rsidRPr="001E6526" w:rsidRDefault="00DB63C7" w:rsidP="00A504C6">
            <w:pPr>
              <w:pStyle w:val="TableText"/>
              <w:spacing w:after="0"/>
              <w:jc w:val="center"/>
              <w:rPr>
                <w:rFonts w:ascii="Arial" w:hAnsi="Arial"/>
                <w:sz w:val="18"/>
                <w:lang w:val="mk-MK"/>
              </w:rPr>
            </w:pPr>
            <w:r w:rsidRPr="001E6526">
              <w:rPr>
                <w:rFonts w:ascii="Arial" w:hAnsi="Arial"/>
                <w:sz w:val="18"/>
                <w:lang w:val="mk-MK"/>
              </w:rPr>
              <w:t>1</w:t>
            </w:r>
            <w:r w:rsidR="00231A38" w:rsidRPr="00CE3053">
              <w:rPr>
                <w:rFonts w:ascii="Arial" w:hAnsi="Arial"/>
                <w:sz w:val="18"/>
                <w:lang w:val="mk-MK"/>
              </w:rPr>
              <w:t>6</w:t>
            </w:r>
          </w:p>
        </w:tc>
        <w:tc>
          <w:tcPr>
            <w:tcW w:w="1640" w:type="dxa"/>
            <w:shd w:val="clear" w:color="auto" w:fill="auto"/>
            <w:tcMar>
              <w:left w:w="58" w:type="dxa"/>
              <w:right w:w="58" w:type="dxa"/>
            </w:tcMar>
            <w:vAlign w:val="bottom"/>
          </w:tcPr>
          <w:p w14:paraId="3AC3F6E8" w14:textId="2FB71A16" w:rsidR="00DB63C7" w:rsidRPr="001E6526" w:rsidRDefault="00711844" w:rsidP="00DB63C7">
            <w:pPr>
              <w:spacing w:after="0"/>
              <w:jc w:val="right"/>
              <w:rPr>
                <w:rFonts w:ascii="Arial" w:hAnsi="Arial" w:cs="Arial"/>
                <w:color w:val="000000"/>
                <w:lang w:val="mk-MK"/>
              </w:rPr>
            </w:pPr>
            <w:r w:rsidRPr="001E6526">
              <w:rPr>
                <w:rFonts w:ascii="Arial" w:hAnsi="Arial" w:cs="Arial"/>
                <w:color w:val="000000"/>
                <w:lang w:val="mk-MK"/>
              </w:rPr>
              <w:t>416,884</w:t>
            </w:r>
          </w:p>
        </w:tc>
        <w:tc>
          <w:tcPr>
            <w:tcW w:w="1638" w:type="dxa"/>
            <w:shd w:val="clear" w:color="auto" w:fill="auto"/>
            <w:tcMar>
              <w:left w:w="58" w:type="dxa"/>
              <w:right w:w="58" w:type="dxa"/>
            </w:tcMar>
            <w:vAlign w:val="bottom"/>
          </w:tcPr>
          <w:p w14:paraId="0AE3F215" w14:textId="1C34440F" w:rsidR="00DB63C7" w:rsidRPr="00CE3053" w:rsidRDefault="00DB63C7" w:rsidP="00DB63C7">
            <w:pPr>
              <w:spacing w:after="0"/>
              <w:jc w:val="right"/>
              <w:rPr>
                <w:rFonts w:ascii="Arial" w:hAnsi="Arial" w:cs="Arial"/>
                <w:color w:val="000000"/>
                <w:lang w:val="mk-MK"/>
              </w:rPr>
            </w:pPr>
            <w:r w:rsidRPr="001E6526">
              <w:rPr>
                <w:rFonts w:ascii="Arial" w:hAnsi="Arial" w:cs="Arial"/>
                <w:color w:val="000000"/>
                <w:lang w:val="mk-MK"/>
              </w:rPr>
              <w:t>621,156</w:t>
            </w:r>
          </w:p>
        </w:tc>
      </w:tr>
      <w:tr w:rsidR="00DB63C7" w:rsidRPr="001E6526" w14:paraId="3C2E4294" w14:textId="77777777" w:rsidTr="00A504C6">
        <w:trPr>
          <w:trHeight w:val="216"/>
        </w:trPr>
        <w:tc>
          <w:tcPr>
            <w:tcW w:w="4361" w:type="dxa"/>
            <w:shd w:val="clear" w:color="auto" w:fill="auto"/>
            <w:tcMar>
              <w:left w:w="58" w:type="dxa"/>
              <w:right w:w="58" w:type="dxa"/>
            </w:tcMar>
            <w:vAlign w:val="bottom"/>
          </w:tcPr>
          <w:p w14:paraId="313DF6DE" w14:textId="5366DE1A" w:rsidR="00DB63C7" w:rsidRPr="00CE3053" w:rsidRDefault="009B2B1B" w:rsidP="00DB63C7">
            <w:pPr>
              <w:pStyle w:val="TableText"/>
              <w:spacing w:after="0"/>
              <w:rPr>
                <w:rFonts w:ascii="Arial" w:hAnsi="Arial"/>
                <w:bCs/>
                <w:sz w:val="18"/>
                <w:lang w:val="mk-MK"/>
              </w:rPr>
            </w:pPr>
            <w:proofErr w:type="spellStart"/>
            <w:r w:rsidRPr="009B2B1B">
              <w:rPr>
                <w:rFonts w:ascii="Arial" w:hAnsi="Arial"/>
                <w:bCs/>
                <w:sz w:val="18"/>
                <w:lang w:val="mk-MK"/>
              </w:rPr>
              <w:t>Other</w:t>
            </w:r>
            <w:proofErr w:type="spellEnd"/>
            <w:r w:rsidRPr="009B2B1B">
              <w:rPr>
                <w:rFonts w:ascii="Arial" w:hAnsi="Arial"/>
                <w:bCs/>
                <w:sz w:val="18"/>
                <w:lang w:val="mk-MK"/>
              </w:rPr>
              <w:t xml:space="preserve"> </w:t>
            </w:r>
            <w:proofErr w:type="spellStart"/>
            <w:r w:rsidRPr="009B2B1B">
              <w:rPr>
                <w:rFonts w:ascii="Arial" w:hAnsi="Arial"/>
                <w:bCs/>
                <w:sz w:val="18"/>
                <w:lang w:val="mk-MK"/>
              </w:rPr>
              <w:t>payables</w:t>
            </w:r>
            <w:proofErr w:type="spellEnd"/>
          </w:p>
        </w:tc>
        <w:tc>
          <w:tcPr>
            <w:tcW w:w="1001" w:type="dxa"/>
            <w:shd w:val="clear" w:color="auto" w:fill="auto"/>
            <w:tcMar>
              <w:left w:w="58" w:type="dxa"/>
              <w:right w:w="58" w:type="dxa"/>
            </w:tcMar>
            <w:vAlign w:val="bottom"/>
          </w:tcPr>
          <w:p w14:paraId="31346509" w14:textId="198C0A08" w:rsidR="00DB63C7" w:rsidRPr="001E6526" w:rsidRDefault="00DB63C7" w:rsidP="00A504C6">
            <w:pPr>
              <w:pStyle w:val="TableText"/>
              <w:spacing w:after="0"/>
              <w:jc w:val="center"/>
              <w:rPr>
                <w:rFonts w:ascii="Arial" w:hAnsi="Arial"/>
                <w:sz w:val="18"/>
                <w:lang w:val="mk-MK"/>
              </w:rPr>
            </w:pPr>
            <w:r w:rsidRPr="001E6526">
              <w:rPr>
                <w:rFonts w:ascii="Arial" w:hAnsi="Arial"/>
                <w:sz w:val="18"/>
                <w:lang w:val="mk-MK"/>
              </w:rPr>
              <w:t>1</w:t>
            </w:r>
            <w:r w:rsidR="00231A38" w:rsidRPr="00CE3053">
              <w:rPr>
                <w:rFonts w:ascii="Arial" w:hAnsi="Arial"/>
                <w:sz w:val="18"/>
                <w:lang w:val="mk-MK"/>
              </w:rPr>
              <w:t>7</w:t>
            </w:r>
          </w:p>
        </w:tc>
        <w:tc>
          <w:tcPr>
            <w:tcW w:w="1640" w:type="dxa"/>
            <w:shd w:val="clear" w:color="auto" w:fill="auto"/>
            <w:tcMar>
              <w:left w:w="58" w:type="dxa"/>
              <w:right w:w="58" w:type="dxa"/>
            </w:tcMar>
            <w:vAlign w:val="bottom"/>
          </w:tcPr>
          <w:p w14:paraId="4214E190" w14:textId="1C039446" w:rsidR="00DB63C7" w:rsidRPr="001E6526" w:rsidRDefault="00711844" w:rsidP="00DB63C7">
            <w:pPr>
              <w:spacing w:after="0"/>
              <w:jc w:val="right"/>
              <w:rPr>
                <w:rFonts w:ascii="Arial" w:hAnsi="Arial" w:cs="Arial"/>
                <w:color w:val="000000"/>
                <w:lang w:val="mk-MK"/>
              </w:rPr>
            </w:pPr>
            <w:r w:rsidRPr="001E6526">
              <w:rPr>
                <w:rFonts w:ascii="Arial" w:hAnsi="Arial" w:cs="Arial"/>
                <w:color w:val="000000"/>
                <w:lang w:val="mk-MK"/>
              </w:rPr>
              <w:t>72</w:t>
            </w:r>
          </w:p>
        </w:tc>
        <w:tc>
          <w:tcPr>
            <w:tcW w:w="1638" w:type="dxa"/>
            <w:shd w:val="clear" w:color="auto" w:fill="auto"/>
            <w:tcMar>
              <w:left w:w="58" w:type="dxa"/>
              <w:right w:w="58" w:type="dxa"/>
            </w:tcMar>
            <w:vAlign w:val="bottom"/>
          </w:tcPr>
          <w:p w14:paraId="361E1C3E" w14:textId="1F519D90" w:rsidR="00DB63C7" w:rsidRPr="00CE3053" w:rsidRDefault="00DB63C7" w:rsidP="00DB63C7">
            <w:pPr>
              <w:spacing w:after="0"/>
              <w:jc w:val="right"/>
              <w:rPr>
                <w:rFonts w:ascii="Arial" w:hAnsi="Arial" w:cs="Arial"/>
                <w:color w:val="000000"/>
                <w:lang w:val="mk-MK"/>
              </w:rPr>
            </w:pPr>
            <w:r w:rsidRPr="001E6526">
              <w:rPr>
                <w:rFonts w:ascii="Arial" w:hAnsi="Arial" w:cs="Arial"/>
                <w:color w:val="000000"/>
                <w:lang w:val="mk-MK"/>
              </w:rPr>
              <w:t>68</w:t>
            </w:r>
          </w:p>
        </w:tc>
      </w:tr>
      <w:tr w:rsidR="00DB63C7" w:rsidRPr="001E6526" w14:paraId="49F69064" w14:textId="77777777" w:rsidTr="00A504C6">
        <w:trPr>
          <w:trHeight w:val="216"/>
        </w:trPr>
        <w:tc>
          <w:tcPr>
            <w:tcW w:w="4361" w:type="dxa"/>
            <w:tcBorders>
              <w:top w:val="single" w:sz="4" w:space="0" w:color="auto"/>
              <w:bottom w:val="single" w:sz="4" w:space="0" w:color="auto"/>
            </w:tcBorders>
            <w:shd w:val="clear" w:color="auto" w:fill="auto"/>
            <w:tcMar>
              <w:left w:w="58" w:type="dxa"/>
              <w:right w:w="58" w:type="dxa"/>
            </w:tcMar>
            <w:vAlign w:val="bottom"/>
          </w:tcPr>
          <w:p w14:paraId="55BCE941" w14:textId="77777777" w:rsidR="00DB63C7" w:rsidRPr="00CE3053" w:rsidRDefault="00DB63C7" w:rsidP="00DB63C7">
            <w:pPr>
              <w:pStyle w:val="TableText"/>
              <w:spacing w:after="0"/>
              <w:rPr>
                <w:rFonts w:ascii="Arial" w:hAnsi="Arial"/>
                <w:b/>
                <w:bCs/>
                <w:sz w:val="18"/>
                <w:lang w:val="mk-MK"/>
              </w:rPr>
            </w:pPr>
          </w:p>
        </w:tc>
        <w:tc>
          <w:tcPr>
            <w:tcW w:w="1001" w:type="dxa"/>
            <w:tcBorders>
              <w:top w:val="single" w:sz="4" w:space="0" w:color="auto"/>
              <w:bottom w:val="single" w:sz="4" w:space="0" w:color="auto"/>
            </w:tcBorders>
            <w:shd w:val="clear" w:color="auto" w:fill="auto"/>
            <w:tcMar>
              <w:left w:w="58" w:type="dxa"/>
              <w:right w:w="58" w:type="dxa"/>
            </w:tcMar>
            <w:vAlign w:val="bottom"/>
          </w:tcPr>
          <w:p w14:paraId="4B4D3303" w14:textId="77777777" w:rsidR="00DB63C7" w:rsidRPr="00CE3053" w:rsidRDefault="00DB63C7" w:rsidP="00A504C6">
            <w:pPr>
              <w:pStyle w:val="TableText"/>
              <w:spacing w:after="0"/>
              <w:jc w:val="center"/>
              <w:rPr>
                <w:rFonts w:ascii="Arial" w:hAnsi="Arial"/>
                <w:b/>
                <w:color w:val="FF0000"/>
                <w:sz w:val="18"/>
                <w:lang w:val="mk-MK"/>
              </w:rPr>
            </w:pPr>
          </w:p>
        </w:tc>
        <w:tc>
          <w:tcPr>
            <w:tcW w:w="1640" w:type="dxa"/>
            <w:tcBorders>
              <w:top w:val="single" w:sz="4" w:space="0" w:color="auto"/>
              <w:bottom w:val="single" w:sz="4" w:space="0" w:color="auto"/>
            </w:tcBorders>
            <w:shd w:val="clear" w:color="auto" w:fill="auto"/>
            <w:tcMar>
              <w:left w:w="58" w:type="dxa"/>
              <w:right w:w="58" w:type="dxa"/>
            </w:tcMar>
            <w:vAlign w:val="bottom"/>
          </w:tcPr>
          <w:p w14:paraId="6BAAD01B" w14:textId="1290F15B" w:rsidR="00DB63C7" w:rsidRPr="001E6526" w:rsidRDefault="00711844" w:rsidP="00DB63C7">
            <w:pPr>
              <w:spacing w:after="0"/>
              <w:jc w:val="right"/>
              <w:rPr>
                <w:rFonts w:ascii="Arial" w:hAnsi="Arial" w:cs="Arial"/>
                <w:b/>
                <w:bCs/>
                <w:color w:val="000000"/>
                <w:lang w:val="mk-MK"/>
              </w:rPr>
            </w:pPr>
            <w:r w:rsidRPr="001E6526">
              <w:rPr>
                <w:rFonts w:ascii="Arial" w:hAnsi="Arial" w:cs="Arial"/>
                <w:b/>
                <w:bCs/>
                <w:color w:val="000000"/>
                <w:lang w:val="mk-MK"/>
              </w:rPr>
              <w:t>416,956</w:t>
            </w:r>
          </w:p>
        </w:tc>
        <w:tc>
          <w:tcPr>
            <w:tcW w:w="1638" w:type="dxa"/>
            <w:tcBorders>
              <w:top w:val="single" w:sz="4" w:space="0" w:color="auto"/>
              <w:bottom w:val="single" w:sz="4" w:space="0" w:color="auto"/>
            </w:tcBorders>
            <w:shd w:val="clear" w:color="auto" w:fill="auto"/>
            <w:tcMar>
              <w:left w:w="58" w:type="dxa"/>
              <w:right w:w="58" w:type="dxa"/>
            </w:tcMar>
            <w:vAlign w:val="bottom"/>
          </w:tcPr>
          <w:p w14:paraId="12FE89BB" w14:textId="0CEEAFF7" w:rsidR="00DB63C7" w:rsidRPr="00CE3053" w:rsidRDefault="00DB63C7" w:rsidP="00DB63C7">
            <w:pPr>
              <w:spacing w:after="0"/>
              <w:jc w:val="right"/>
              <w:rPr>
                <w:rFonts w:ascii="Arial" w:hAnsi="Arial" w:cs="Arial"/>
                <w:b/>
                <w:bCs/>
                <w:color w:val="000000"/>
                <w:lang w:val="mk-MK"/>
              </w:rPr>
            </w:pPr>
            <w:r w:rsidRPr="001E6526">
              <w:rPr>
                <w:rFonts w:ascii="Arial" w:hAnsi="Arial" w:cs="Arial"/>
                <w:b/>
                <w:bCs/>
                <w:color w:val="000000"/>
                <w:lang w:val="mk-MK"/>
              </w:rPr>
              <w:t>621,224</w:t>
            </w:r>
          </w:p>
        </w:tc>
      </w:tr>
      <w:tr w:rsidR="00DB63C7" w:rsidRPr="001E6526" w14:paraId="4FA0D1C2" w14:textId="77777777" w:rsidTr="00A504C6">
        <w:trPr>
          <w:trHeight w:val="216"/>
        </w:trPr>
        <w:tc>
          <w:tcPr>
            <w:tcW w:w="4361" w:type="dxa"/>
            <w:tcBorders>
              <w:top w:val="single" w:sz="4" w:space="0" w:color="auto"/>
              <w:bottom w:val="double" w:sz="4" w:space="0" w:color="auto"/>
            </w:tcBorders>
            <w:shd w:val="clear" w:color="auto" w:fill="auto"/>
            <w:tcMar>
              <w:left w:w="58" w:type="dxa"/>
              <w:right w:w="58" w:type="dxa"/>
            </w:tcMar>
            <w:vAlign w:val="bottom"/>
          </w:tcPr>
          <w:p w14:paraId="130E34C8" w14:textId="70E84757" w:rsidR="00DB63C7" w:rsidRPr="00CE3053" w:rsidRDefault="009B2B1B" w:rsidP="00DB63C7">
            <w:pPr>
              <w:pStyle w:val="TableText"/>
              <w:spacing w:after="0"/>
              <w:rPr>
                <w:rFonts w:ascii="Arial" w:hAnsi="Arial"/>
                <w:b/>
                <w:sz w:val="18"/>
                <w:lang w:val="mk-MK"/>
              </w:rPr>
            </w:pPr>
            <w:proofErr w:type="spellStart"/>
            <w:r w:rsidRPr="009B2B1B">
              <w:rPr>
                <w:rFonts w:ascii="Arial" w:hAnsi="Arial"/>
                <w:b/>
                <w:sz w:val="18"/>
                <w:lang w:val="mk-MK"/>
              </w:rPr>
              <w:t>Total</w:t>
            </w:r>
            <w:proofErr w:type="spellEnd"/>
            <w:r w:rsidRPr="009B2B1B">
              <w:rPr>
                <w:rFonts w:ascii="Arial" w:hAnsi="Arial"/>
                <w:b/>
                <w:sz w:val="18"/>
                <w:lang w:val="mk-MK"/>
              </w:rPr>
              <w:t xml:space="preserve"> </w:t>
            </w:r>
            <w:proofErr w:type="spellStart"/>
            <w:r w:rsidRPr="009B2B1B">
              <w:rPr>
                <w:rFonts w:ascii="Arial" w:hAnsi="Arial"/>
                <w:b/>
                <w:sz w:val="18"/>
                <w:lang w:val="mk-MK"/>
              </w:rPr>
              <w:t>equity</w:t>
            </w:r>
            <w:proofErr w:type="spellEnd"/>
            <w:r w:rsidRPr="009B2B1B">
              <w:rPr>
                <w:rFonts w:ascii="Arial" w:hAnsi="Arial"/>
                <w:b/>
                <w:sz w:val="18"/>
                <w:lang w:val="mk-MK"/>
              </w:rPr>
              <w:t xml:space="preserve"> </w:t>
            </w:r>
            <w:proofErr w:type="spellStart"/>
            <w:r w:rsidRPr="009B2B1B">
              <w:rPr>
                <w:rFonts w:ascii="Arial" w:hAnsi="Arial"/>
                <w:b/>
                <w:sz w:val="18"/>
                <w:lang w:val="mk-MK"/>
              </w:rPr>
              <w:t>and</w:t>
            </w:r>
            <w:proofErr w:type="spellEnd"/>
            <w:r w:rsidRPr="009B2B1B">
              <w:rPr>
                <w:rFonts w:ascii="Arial" w:hAnsi="Arial"/>
                <w:b/>
                <w:sz w:val="18"/>
                <w:lang w:val="mk-MK"/>
              </w:rPr>
              <w:t xml:space="preserve"> </w:t>
            </w:r>
            <w:proofErr w:type="spellStart"/>
            <w:r w:rsidRPr="009B2B1B">
              <w:rPr>
                <w:rFonts w:ascii="Arial" w:hAnsi="Arial"/>
                <w:b/>
                <w:sz w:val="18"/>
                <w:lang w:val="mk-MK"/>
              </w:rPr>
              <w:t>liabilities</w:t>
            </w:r>
            <w:proofErr w:type="spellEnd"/>
          </w:p>
        </w:tc>
        <w:tc>
          <w:tcPr>
            <w:tcW w:w="1001" w:type="dxa"/>
            <w:tcBorders>
              <w:top w:val="single" w:sz="4" w:space="0" w:color="auto"/>
              <w:bottom w:val="double" w:sz="4" w:space="0" w:color="auto"/>
            </w:tcBorders>
            <w:shd w:val="clear" w:color="auto" w:fill="auto"/>
            <w:tcMar>
              <w:left w:w="58" w:type="dxa"/>
              <w:right w:w="58" w:type="dxa"/>
            </w:tcMar>
            <w:vAlign w:val="bottom"/>
          </w:tcPr>
          <w:p w14:paraId="230B9814" w14:textId="77777777" w:rsidR="00DB63C7" w:rsidRPr="00CE3053" w:rsidRDefault="00DB63C7" w:rsidP="00A504C6">
            <w:pPr>
              <w:pStyle w:val="TableText"/>
              <w:spacing w:after="0"/>
              <w:jc w:val="center"/>
              <w:rPr>
                <w:rFonts w:ascii="Arial" w:hAnsi="Arial"/>
                <w:b/>
                <w:color w:val="FF0000"/>
                <w:sz w:val="18"/>
                <w:lang w:val="mk-MK"/>
              </w:rPr>
            </w:pPr>
          </w:p>
        </w:tc>
        <w:tc>
          <w:tcPr>
            <w:tcW w:w="1640" w:type="dxa"/>
            <w:tcBorders>
              <w:top w:val="single" w:sz="4" w:space="0" w:color="auto"/>
              <w:bottom w:val="double" w:sz="4" w:space="0" w:color="auto"/>
            </w:tcBorders>
            <w:shd w:val="clear" w:color="auto" w:fill="auto"/>
            <w:tcMar>
              <w:left w:w="58" w:type="dxa"/>
              <w:right w:w="58" w:type="dxa"/>
            </w:tcMar>
            <w:vAlign w:val="bottom"/>
          </w:tcPr>
          <w:p w14:paraId="0ED5EC51" w14:textId="5F8C9A93" w:rsidR="00DB63C7" w:rsidRPr="001E6526" w:rsidRDefault="00711844" w:rsidP="00DB63C7">
            <w:pPr>
              <w:spacing w:after="0"/>
              <w:jc w:val="right"/>
              <w:rPr>
                <w:rFonts w:ascii="Arial" w:hAnsi="Arial" w:cs="Arial"/>
                <w:b/>
                <w:bCs/>
                <w:color w:val="000000"/>
                <w:lang w:val="mk-MK"/>
              </w:rPr>
            </w:pPr>
            <w:r w:rsidRPr="001E6526">
              <w:rPr>
                <w:rFonts w:ascii="Arial" w:hAnsi="Arial" w:cs="Arial"/>
                <w:b/>
                <w:bCs/>
                <w:color w:val="000000"/>
                <w:lang w:val="mk-MK"/>
              </w:rPr>
              <w:t>15,238,039</w:t>
            </w:r>
          </w:p>
        </w:tc>
        <w:tc>
          <w:tcPr>
            <w:tcW w:w="1638" w:type="dxa"/>
            <w:tcBorders>
              <w:top w:val="single" w:sz="4" w:space="0" w:color="auto"/>
              <w:bottom w:val="double" w:sz="4" w:space="0" w:color="auto"/>
            </w:tcBorders>
            <w:shd w:val="clear" w:color="auto" w:fill="auto"/>
            <w:tcMar>
              <w:left w:w="58" w:type="dxa"/>
              <w:right w:w="58" w:type="dxa"/>
            </w:tcMar>
            <w:vAlign w:val="bottom"/>
          </w:tcPr>
          <w:p w14:paraId="3FD7A9FB" w14:textId="4E3615EC" w:rsidR="00DB63C7" w:rsidRPr="00CE3053" w:rsidRDefault="00DB63C7" w:rsidP="00DB63C7">
            <w:pPr>
              <w:spacing w:after="0"/>
              <w:jc w:val="right"/>
              <w:rPr>
                <w:rFonts w:ascii="Arial" w:hAnsi="Arial" w:cs="Arial"/>
                <w:b/>
                <w:bCs/>
                <w:color w:val="000000"/>
                <w:lang w:val="mk-MK"/>
              </w:rPr>
            </w:pPr>
            <w:r w:rsidRPr="001E6526">
              <w:rPr>
                <w:rFonts w:ascii="Arial" w:hAnsi="Arial" w:cs="Arial"/>
                <w:b/>
                <w:bCs/>
                <w:color w:val="000000"/>
                <w:lang w:val="mk-MK"/>
              </w:rPr>
              <w:t>14,645,390</w:t>
            </w:r>
          </w:p>
        </w:tc>
      </w:tr>
    </w:tbl>
    <w:p w14:paraId="679BD591" w14:textId="77777777" w:rsidR="00815E65" w:rsidRPr="00CE3053" w:rsidRDefault="00815E65" w:rsidP="00815E65">
      <w:pPr>
        <w:pStyle w:val="BodyText"/>
        <w:spacing w:after="0"/>
        <w:rPr>
          <w:rFonts w:ascii="Arial" w:hAnsi="Arial" w:cs="Arial"/>
          <w:lang w:val="mk-MK"/>
        </w:rPr>
      </w:pPr>
    </w:p>
    <w:p w14:paraId="605D1090" w14:textId="46DCB0B9" w:rsidR="00815E65" w:rsidRPr="00CE3053" w:rsidRDefault="009B2B1B" w:rsidP="006E26B2">
      <w:pPr>
        <w:pStyle w:val="BodyText"/>
        <w:jc w:val="both"/>
        <w:rPr>
          <w:rFonts w:ascii="Arial" w:hAnsi="Arial" w:cs="Arial"/>
          <w:lang w:val="mk-MK"/>
        </w:rPr>
      </w:pPr>
      <w:r>
        <w:rPr>
          <w:rFonts w:ascii="Arial" w:hAnsi="Arial" w:cs="Arial"/>
          <w:lang w:val="en-US"/>
        </w:rPr>
        <w:t xml:space="preserve">These financial statements were approved by Fund’s Board of Directors on </w:t>
      </w:r>
      <w:r w:rsidR="00815E65" w:rsidRPr="001E6526">
        <w:rPr>
          <w:rFonts w:ascii="Arial" w:hAnsi="Arial" w:cs="Arial"/>
          <w:lang w:val="mk-MK"/>
        </w:rPr>
        <w:t>2</w:t>
      </w:r>
      <w:r w:rsidR="0042721A" w:rsidRPr="00CE3053">
        <w:rPr>
          <w:rFonts w:ascii="Arial" w:hAnsi="Arial" w:cs="Arial"/>
          <w:lang w:val="mk-MK"/>
        </w:rPr>
        <w:t>3</w:t>
      </w:r>
      <w:r w:rsidR="00815E65" w:rsidRPr="001E6526">
        <w:rPr>
          <w:rFonts w:ascii="Arial" w:hAnsi="Arial" w:cs="Arial"/>
          <w:lang w:val="mk-MK"/>
        </w:rPr>
        <w:t xml:space="preserve"> </w:t>
      </w:r>
      <w:r>
        <w:rPr>
          <w:rFonts w:ascii="Arial" w:hAnsi="Arial" w:cs="Arial"/>
          <w:lang w:val="en-US"/>
        </w:rPr>
        <w:t>February</w:t>
      </w:r>
      <w:r w:rsidR="00815E65" w:rsidRPr="00CE3053">
        <w:rPr>
          <w:rFonts w:ascii="Arial" w:hAnsi="Arial" w:cs="Arial"/>
          <w:lang w:val="mk-MK"/>
        </w:rPr>
        <w:t xml:space="preserve"> 202</w:t>
      </w:r>
      <w:r w:rsidR="00BA090E" w:rsidRPr="001E6526">
        <w:rPr>
          <w:rFonts w:ascii="Arial" w:hAnsi="Arial" w:cs="Arial"/>
          <w:lang w:val="mk-MK"/>
        </w:rPr>
        <w:t>2</w:t>
      </w:r>
      <w:r w:rsidR="00815E65" w:rsidRPr="00CE3053">
        <w:rPr>
          <w:rFonts w:ascii="Arial" w:hAnsi="Arial" w:cs="Arial"/>
          <w:lang w:val="mk-MK"/>
        </w:rPr>
        <w:t xml:space="preserve"> </w:t>
      </w:r>
      <w:r>
        <w:rPr>
          <w:rFonts w:ascii="Arial" w:hAnsi="Arial" w:cs="Arial"/>
          <w:lang w:val="en-US"/>
        </w:rPr>
        <w:t>and signed on its behalf by:</w:t>
      </w:r>
      <w:r w:rsidR="00815E65" w:rsidRPr="00CE3053">
        <w:rPr>
          <w:rFonts w:ascii="Arial" w:hAnsi="Arial" w:cs="Arial"/>
          <w:lang w:val="mk-MK"/>
        </w:rPr>
        <w:t xml:space="preserve"> </w:t>
      </w:r>
    </w:p>
    <w:p w14:paraId="6D514BF0" w14:textId="77777777" w:rsidR="001F52F9" w:rsidRPr="00CE3053" w:rsidRDefault="001F52F9" w:rsidP="00815E65">
      <w:pPr>
        <w:pStyle w:val="BodyText"/>
        <w:rPr>
          <w:rFonts w:ascii="Arial" w:hAnsi="Arial" w:cs="Arial"/>
          <w:lang w:val="mk-MK"/>
        </w:rPr>
      </w:pPr>
    </w:p>
    <w:p w14:paraId="62DB180B" w14:textId="77777777" w:rsidR="00815E65" w:rsidRPr="00CE3053" w:rsidRDefault="00815E65" w:rsidP="00815E65">
      <w:pPr>
        <w:pStyle w:val="BodyText"/>
        <w:rPr>
          <w:rFonts w:ascii="Arial" w:hAnsi="Arial" w:cs="Arial"/>
          <w:lang w:val="mk-MK"/>
        </w:rPr>
      </w:pPr>
    </w:p>
    <w:tbl>
      <w:tblPr>
        <w:tblW w:w="8640" w:type="dxa"/>
        <w:tblInd w:w="86" w:type="dxa"/>
        <w:tblLook w:val="01E0" w:firstRow="1" w:lastRow="1" w:firstColumn="1" w:lastColumn="1" w:noHBand="0" w:noVBand="0"/>
      </w:tblPr>
      <w:tblGrid>
        <w:gridCol w:w="2592"/>
        <w:gridCol w:w="3456"/>
        <w:gridCol w:w="2592"/>
      </w:tblGrid>
      <w:tr w:rsidR="00815E65" w:rsidRPr="001E6526" w14:paraId="70D1DA4C" w14:textId="77777777" w:rsidTr="00815E65">
        <w:trPr>
          <w:trHeight w:val="216"/>
        </w:trPr>
        <w:tc>
          <w:tcPr>
            <w:tcW w:w="2592" w:type="dxa"/>
            <w:tcBorders>
              <w:top w:val="single" w:sz="4" w:space="0" w:color="auto"/>
            </w:tcBorders>
            <w:shd w:val="clear" w:color="auto" w:fill="auto"/>
            <w:tcMar>
              <w:left w:w="58" w:type="dxa"/>
              <w:right w:w="58" w:type="dxa"/>
            </w:tcMar>
            <w:vAlign w:val="bottom"/>
          </w:tcPr>
          <w:p w14:paraId="0A364088" w14:textId="20396623" w:rsidR="00815E65" w:rsidRPr="00CE3053" w:rsidRDefault="00815E65" w:rsidP="00815E65">
            <w:pPr>
              <w:pStyle w:val="MacroText"/>
              <w:tabs>
                <w:tab w:val="clear" w:pos="480"/>
                <w:tab w:val="clear" w:pos="960"/>
                <w:tab w:val="clear" w:pos="1440"/>
                <w:tab w:val="clear" w:pos="1920"/>
                <w:tab w:val="clear" w:pos="2400"/>
                <w:tab w:val="clear" w:pos="2880"/>
                <w:tab w:val="clear" w:pos="3360"/>
                <w:tab w:val="clear" w:pos="3840"/>
                <w:tab w:val="clear" w:pos="4320"/>
              </w:tabs>
              <w:spacing w:before="20" w:after="20"/>
              <w:rPr>
                <w:rFonts w:ascii="Arial" w:hAnsi="Arial" w:cs="Arial"/>
                <w:lang w:val="mk-MK"/>
              </w:rPr>
            </w:pPr>
            <w:proofErr w:type="spellStart"/>
            <w:r w:rsidRPr="00CE3053">
              <w:rPr>
                <w:rFonts w:ascii="Arial" w:hAnsi="Arial" w:cs="Arial"/>
                <w:lang w:val="mk-MK"/>
              </w:rPr>
              <w:t>Amir</w:t>
            </w:r>
            <w:proofErr w:type="spellEnd"/>
            <w:r w:rsidRPr="00CE3053">
              <w:rPr>
                <w:rFonts w:ascii="Arial" w:hAnsi="Arial" w:cs="Arial"/>
                <w:lang w:val="mk-MK"/>
              </w:rPr>
              <w:t xml:space="preserve"> </w:t>
            </w:r>
            <w:proofErr w:type="spellStart"/>
            <w:r w:rsidRPr="00CE3053">
              <w:rPr>
                <w:rFonts w:ascii="Arial" w:hAnsi="Arial" w:cs="Arial"/>
                <w:lang w:val="mk-MK"/>
              </w:rPr>
              <w:t>Shabani</w:t>
            </w:r>
            <w:proofErr w:type="spellEnd"/>
          </w:p>
        </w:tc>
        <w:tc>
          <w:tcPr>
            <w:tcW w:w="3456" w:type="dxa"/>
            <w:tcMar>
              <w:left w:w="58" w:type="dxa"/>
              <w:right w:w="58" w:type="dxa"/>
            </w:tcMar>
          </w:tcPr>
          <w:p w14:paraId="5E564F69" w14:textId="77777777" w:rsidR="00815E65" w:rsidRPr="001E6526" w:rsidRDefault="00815E65" w:rsidP="00815E65">
            <w:pPr>
              <w:pStyle w:val="MacroText"/>
              <w:tabs>
                <w:tab w:val="clear" w:pos="480"/>
                <w:tab w:val="clear" w:pos="960"/>
                <w:tab w:val="clear" w:pos="1440"/>
                <w:tab w:val="clear" w:pos="1920"/>
                <w:tab w:val="clear" w:pos="2400"/>
                <w:tab w:val="clear" w:pos="2880"/>
                <w:tab w:val="clear" w:pos="3360"/>
                <w:tab w:val="clear" w:pos="3840"/>
                <w:tab w:val="clear" w:pos="4320"/>
              </w:tabs>
              <w:spacing w:before="20" w:after="20"/>
              <w:jc w:val="right"/>
              <w:rPr>
                <w:rFonts w:ascii="Arial" w:hAnsi="Arial" w:cs="Arial"/>
                <w:lang w:val="mk-MK"/>
              </w:rPr>
            </w:pPr>
          </w:p>
        </w:tc>
        <w:tc>
          <w:tcPr>
            <w:tcW w:w="2592" w:type="dxa"/>
            <w:tcBorders>
              <w:top w:val="single" w:sz="4" w:space="0" w:color="auto"/>
            </w:tcBorders>
            <w:tcMar>
              <w:left w:w="58" w:type="dxa"/>
              <w:right w:w="58" w:type="dxa"/>
            </w:tcMar>
            <w:vAlign w:val="bottom"/>
          </w:tcPr>
          <w:p w14:paraId="30315D37" w14:textId="4B288A0D" w:rsidR="00815E65" w:rsidRPr="009B2B1B" w:rsidRDefault="009B2B1B" w:rsidP="00815E65">
            <w:pPr>
              <w:pStyle w:val="MacroText"/>
              <w:tabs>
                <w:tab w:val="clear" w:pos="480"/>
                <w:tab w:val="clear" w:pos="960"/>
                <w:tab w:val="clear" w:pos="1440"/>
                <w:tab w:val="clear" w:pos="1920"/>
                <w:tab w:val="clear" w:pos="2400"/>
                <w:tab w:val="clear" w:pos="2880"/>
                <w:tab w:val="clear" w:pos="3360"/>
                <w:tab w:val="clear" w:pos="3840"/>
                <w:tab w:val="clear" w:pos="4320"/>
              </w:tabs>
              <w:spacing w:before="20" w:after="20"/>
              <w:jc w:val="right"/>
              <w:rPr>
                <w:rFonts w:ascii="Arial" w:hAnsi="Arial" w:cs="Arial"/>
                <w:lang w:val="en-US"/>
              </w:rPr>
            </w:pPr>
            <w:r>
              <w:rPr>
                <w:rFonts w:ascii="Arial" w:hAnsi="Arial" w:cs="Arial"/>
                <w:lang w:val="en-US"/>
              </w:rPr>
              <w:t>Dragi Polevski</w:t>
            </w:r>
          </w:p>
        </w:tc>
      </w:tr>
      <w:tr w:rsidR="00815E65" w:rsidRPr="001E6526" w14:paraId="0DFE90EF" w14:textId="77777777" w:rsidTr="006E26B2">
        <w:trPr>
          <w:trHeight w:val="68"/>
        </w:trPr>
        <w:tc>
          <w:tcPr>
            <w:tcW w:w="2592" w:type="dxa"/>
            <w:shd w:val="clear" w:color="auto" w:fill="auto"/>
            <w:tcMar>
              <w:left w:w="58" w:type="dxa"/>
              <w:right w:w="58" w:type="dxa"/>
            </w:tcMar>
            <w:vAlign w:val="bottom"/>
          </w:tcPr>
          <w:p w14:paraId="3DB09536" w14:textId="73148A6E" w:rsidR="00815E65" w:rsidRPr="00CE3053" w:rsidRDefault="009B2B1B" w:rsidP="00815E65">
            <w:pPr>
              <w:pStyle w:val="MacroText"/>
              <w:tabs>
                <w:tab w:val="clear" w:pos="480"/>
                <w:tab w:val="clear" w:pos="960"/>
                <w:tab w:val="clear" w:pos="1440"/>
                <w:tab w:val="clear" w:pos="1920"/>
                <w:tab w:val="clear" w:pos="2400"/>
                <w:tab w:val="clear" w:pos="2880"/>
                <w:tab w:val="clear" w:pos="3360"/>
                <w:tab w:val="clear" w:pos="3840"/>
                <w:tab w:val="clear" w:pos="4320"/>
              </w:tabs>
              <w:spacing w:before="20" w:after="20"/>
              <w:rPr>
                <w:rFonts w:ascii="Arial" w:hAnsi="Arial" w:cs="Arial"/>
                <w:b/>
                <w:lang w:val="mk-MK"/>
              </w:rPr>
            </w:pPr>
            <w:r>
              <w:rPr>
                <w:rFonts w:ascii="Arial" w:hAnsi="Arial" w:cs="Arial"/>
                <w:b/>
                <w:lang w:val="en-US"/>
              </w:rPr>
              <w:t>Director</w:t>
            </w:r>
            <w:r w:rsidR="00815E65" w:rsidRPr="001E6526">
              <w:rPr>
                <w:rFonts w:ascii="Arial" w:hAnsi="Arial" w:cs="Arial"/>
                <w:b/>
                <w:lang w:val="mk-MK"/>
              </w:rPr>
              <w:t xml:space="preserve"> </w:t>
            </w:r>
          </w:p>
        </w:tc>
        <w:tc>
          <w:tcPr>
            <w:tcW w:w="3456" w:type="dxa"/>
            <w:tcMar>
              <w:left w:w="58" w:type="dxa"/>
              <w:right w:w="58" w:type="dxa"/>
            </w:tcMar>
          </w:tcPr>
          <w:p w14:paraId="3A591F58" w14:textId="77777777" w:rsidR="00815E65" w:rsidRPr="001E6526" w:rsidRDefault="00815E65" w:rsidP="00815E65">
            <w:pPr>
              <w:pStyle w:val="MacroText"/>
              <w:tabs>
                <w:tab w:val="clear" w:pos="480"/>
                <w:tab w:val="clear" w:pos="960"/>
                <w:tab w:val="clear" w:pos="1440"/>
                <w:tab w:val="clear" w:pos="1920"/>
                <w:tab w:val="clear" w:pos="2400"/>
                <w:tab w:val="clear" w:pos="2880"/>
                <w:tab w:val="clear" w:pos="3360"/>
                <w:tab w:val="clear" w:pos="3840"/>
                <w:tab w:val="clear" w:pos="4320"/>
              </w:tabs>
              <w:spacing w:before="20" w:after="20"/>
              <w:rPr>
                <w:rFonts w:ascii="Arial" w:hAnsi="Arial" w:cs="Arial"/>
                <w:b/>
                <w:lang w:val="mk-MK"/>
              </w:rPr>
            </w:pPr>
          </w:p>
        </w:tc>
        <w:tc>
          <w:tcPr>
            <w:tcW w:w="2592" w:type="dxa"/>
            <w:tcMar>
              <w:left w:w="58" w:type="dxa"/>
              <w:right w:w="58" w:type="dxa"/>
            </w:tcMar>
            <w:vAlign w:val="bottom"/>
          </w:tcPr>
          <w:p w14:paraId="08144DEF" w14:textId="4FF51588" w:rsidR="00815E65" w:rsidRPr="009B2B1B" w:rsidRDefault="009B2B1B" w:rsidP="00815E65">
            <w:pPr>
              <w:pStyle w:val="MacroText"/>
              <w:tabs>
                <w:tab w:val="clear" w:pos="480"/>
                <w:tab w:val="clear" w:pos="960"/>
                <w:tab w:val="clear" w:pos="1440"/>
                <w:tab w:val="clear" w:pos="1920"/>
                <w:tab w:val="clear" w:pos="2400"/>
                <w:tab w:val="clear" w:pos="2880"/>
                <w:tab w:val="clear" w:pos="3360"/>
                <w:tab w:val="clear" w:pos="3840"/>
                <w:tab w:val="clear" w:pos="4320"/>
              </w:tabs>
              <w:spacing w:before="20" w:after="20"/>
              <w:jc w:val="right"/>
              <w:rPr>
                <w:rFonts w:ascii="Arial" w:hAnsi="Arial" w:cs="Arial"/>
                <w:b/>
                <w:lang w:val="en-US"/>
              </w:rPr>
            </w:pPr>
            <w:r>
              <w:rPr>
                <w:rFonts w:ascii="Arial" w:hAnsi="Arial" w:cs="Arial"/>
                <w:b/>
                <w:lang w:val="en-US"/>
              </w:rPr>
              <w:t>Accountant</w:t>
            </w:r>
          </w:p>
        </w:tc>
      </w:tr>
    </w:tbl>
    <w:p w14:paraId="7A0AE2C2" w14:textId="77777777" w:rsidR="00815E65" w:rsidRPr="00CE3053" w:rsidRDefault="00815E65" w:rsidP="00815E65">
      <w:pPr>
        <w:pStyle w:val="BodyText"/>
        <w:rPr>
          <w:rFonts w:ascii="Arial" w:hAnsi="Arial" w:cs="Arial"/>
          <w:lang w:val="mk-MK"/>
        </w:rPr>
      </w:pPr>
    </w:p>
    <w:p w14:paraId="0EAA26B0" w14:textId="77777777" w:rsidR="00815E65" w:rsidRPr="00CE3053" w:rsidRDefault="00815E65" w:rsidP="00815E65">
      <w:pPr>
        <w:pStyle w:val="BodyText"/>
        <w:rPr>
          <w:rFonts w:ascii="Arial" w:hAnsi="Arial" w:cs="Arial"/>
          <w:lang w:val="mk-MK"/>
        </w:rPr>
        <w:sectPr w:rsidR="00815E65" w:rsidRPr="00CE3053" w:rsidSect="0026290B">
          <w:pgSz w:w="11906" w:h="16838" w:code="9"/>
          <w:pgMar w:top="1985" w:right="737" w:bottom="1134" w:left="2608" w:header="709" w:footer="567" w:gutter="0"/>
          <w:cols w:space="708"/>
          <w:docGrid w:linePitch="360"/>
        </w:sectPr>
      </w:pPr>
    </w:p>
    <w:p w14:paraId="309AEB4E" w14:textId="4CBB027F" w:rsidR="00BF38DF" w:rsidRPr="001E6526" w:rsidRDefault="00BF38DF" w:rsidP="00BF38DF">
      <w:pPr>
        <w:pStyle w:val="SectionTitle"/>
        <w:framePr w:wrap="around"/>
        <w:spacing w:after="0"/>
        <w:rPr>
          <w:color w:val="4F2D7F"/>
          <w:sz w:val="36"/>
          <w:szCs w:val="36"/>
          <w:lang w:val="mk-MK"/>
        </w:rPr>
      </w:pPr>
      <w:r w:rsidRPr="001E6526">
        <w:rPr>
          <w:lang w:val="mk-MK"/>
        </w:rPr>
        <w:lastRenderedPageBreak/>
        <w:br w:type="page"/>
      </w:r>
      <w:proofErr w:type="spellStart"/>
      <w:r w:rsidR="009B2B1B" w:rsidRPr="009B2B1B">
        <w:rPr>
          <w:color w:val="4F2D7F"/>
          <w:sz w:val="36"/>
          <w:szCs w:val="36"/>
          <w:lang w:val="mk-MK"/>
        </w:rPr>
        <w:t>Statement</w:t>
      </w:r>
      <w:proofErr w:type="spellEnd"/>
      <w:r w:rsidR="009B2B1B" w:rsidRPr="009B2B1B">
        <w:rPr>
          <w:color w:val="4F2D7F"/>
          <w:sz w:val="36"/>
          <w:szCs w:val="36"/>
          <w:lang w:val="mk-MK"/>
        </w:rPr>
        <w:t xml:space="preserve"> </w:t>
      </w:r>
      <w:proofErr w:type="spellStart"/>
      <w:r w:rsidR="009B2B1B" w:rsidRPr="009B2B1B">
        <w:rPr>
          <w:color w:val="4F2D7F"/>
          <w:sz w:val="36"/>
          <w:szCs w:val="36"/>
          <w:lang w:val="mk-MK"/>
        </w:rPr>
        <w:t>of</w:t>
      </w:r>
      <w:proofErr w:type="spellEnd"/>
      <w:r w:rsidR="009B2B1B" w:rsidRPr="009B2B1B">
        <w:rPr>
          <w:color w:val="4F2D7F"/>
          <w:sz w:val="36"/>
          <w:szCs w:val="36"/>
          <w:lang w:val="mk-MK"/>
        </w:rPr>
        <w:t xml:space="preserve"> </w:t>
      </w:r>
      <w:proofErr w:type="spellStart"/>
      <w:r w:rsidR="009B2B1B" w:rsidRPr="009B2B1B">
        <w:rPr>
          <w:color w:val="4F2D7F"/>
          <w:sz w:val="36"/>
          <w:szCs w:val="36"/>
          <w:lang w:val="mk-MK"/>
        </w:rPr>
        <w:t>Changes</w:t>
      </w:r>
      <w:proofErr w:type="spellEnd"/>
      <w:r w:rsidR="009B2B1B" w:rsidRPr="009B2B1B">
        <w:rPr>
          <w:color w:val="4F2D7F"/>
          <w:sz w:val="36"/>
          <w:szCs w:val="36"/>
          <w:lang w:val="mk-MK"/>
        </w:rPr>
        <w:t xml:space="preserve"> </w:t>
      </w:r>
      <w:proofErr w:type="spellStart"/>
      <w:r w:rsidR="009B2B1B" w:rsidRPr="009B2B1B">
        <w:rPr>
          <w:color w:val="4F2D7F"/>
          <w:sz w:val="36"/>
          <w:szCs w:val="36"/>
          <w:lang w:val="mk-MK"/>
        </w:rPr>
        <w:t>in</w:t>
      </w:r>
      <w:proofErr w:type="spellEnd"/>
      <w:r w:rsidR="009B2B1B" w:rsidRPr="009B2B1B">
        <w:rPr>
          <w:color w:val="4F2D7F"/>
          <w:sz w:val="36"/>
          <w:szCs w:val="36"/>
          <w:lang w:val="mk-MK"/>
        </w:rPr>
        <w:t xml:space="preserve"> </w:t>
      </w:r>
      <w:proofErr w:type="spellStart"/>
      <w:r w:rsidR="009B2B1B" w:rsidRPr="009B2B1B">
        <w:rPr>
          <w:color w:val="4F2D7F"/>
          <w:sz w:val="36"/>
          <w:szCs w:val="36"/>
          <w:lang w:val="mk-MK"/>
        </w:rPr>
        <w:t>Equity</w:t>
      </w:r>
      <w:proofErr w:type="spellEnd"/>
    </w:p>
    <w:p w14:paraId="4241E01C" w14:textId="77777777" w:rsidR="00BF38DF" w:rsidRPr="001E6526" w:rsidRDefault="00BF38DF" w:rsidP="00BF38DF">
      <w:pPr>
        <w:pStyle w:val="BodyText"/>
        <w:rPr>
          <w:rFonts w:asciiTheme="majorHAnsi" w:hAnsiTheme="majorHAnsi" w:cstheme="majorHAnsi"/>
          <w:lang w:val="mk-MK"/>
        </w:rPr>
      </w:pPr>
    </w:p>
    <w:p w14:paraId="743F64AA" w14:textId="77777777" w:rsidR="00815E65" w:rsidRPr="001E6526" w:rsidRDefault="00815E65" w:rsidP="00BF38DF">
      <w:pPr>
        <w:pStyle w:val="BodyText"/>
        <w:rPr>
          <w:rFonts w:asciiTheme="majorHAnsi" w:hAnsiTheme="majorHAnsi" w:cstheme="majorHAnsi"/>
          <w:lang w:val="mk-MK"/>
        </w:rPr>
      </w:pPr>
    </w:p>
    <w:tbl>
      <w:tblPr>
        <w:tblW w:w="8640" w:type="dxa"/>
        <w:tblInd w:w="86" w:type="dxa"/>
        <w:tblLayout w:type="fixed"/>
        <w:tblLook w:val="01E0" w:firstRow="1" w:lastRow="1" w:firstColumn="1" w:lastColumn="1" w:noHBand="0" w:noVBand="0"/>
      </w:tblPr>
      <w:tblGrid>
        <w:gridCol w:w="2762"/>
        <w:gridCol w:w="1469"/>
        <w:gridCol w:w="1470"/>
        <w:gridCol w:w="1561"/>
        <w:gridCol w:w="1378"/>
      </w:tblGrid>
      <w:tr w:rsidR="00815E65" w:rsidRPr="001E6526" w14:paraId="71647566" w14:textId="77777777" w:rsidTr="00815E65">
        <w:trPr>
          <w:trHeight w:val="216"/>
        </w:trPr>
        <w:tc>
          <w:tcPr>
            <w:tcW w:w="2762" w:type="dxa"/>
            <w:shd w:val="clear" w:color="auto" w:fill="auto"/>
            <w:tcMar>
              <w:left w:w="58" w:type="dxa"/>
              <w:right w:w="58" w:type="dxa"/>
            </w:tcMar>
            <w:vAlign w:val="bottom"/>
          </w:tcPr>
          <w:p w14:paraId="3F05CD70" w14:textId="77777777" w:rsidR="00815E65" w:rsidRPr="00CE3053" w:rsidRDefault="00815E65" w:rsidP="00815E65">
            <w:pPr>
              <w:pStyle w:val="TableText"/>
              <w:spacing w:after="0"/>
              <w:rPr>
                <w:rFonts w:ascii="Arial" w:hAnsi="Arial"/>
                <w:sz w:val="18"/>
                <w:lang w:val="mk-MK"/>
              </w:rPr>
            </w:pPr>
          </w:p>
        </w:tc>
        <w:tc>
          <w:tcPr>
            <w:tcW w:w="1469" w:type="dxa"/>
            <w:shd w:val="clear" w:color="auto" w:fill="auto"/>
            <w:tcMar>
              <w:left w:w="58" w:type="dxa"/>
              <w:right w:w="58" w:type="dxa"/>
            </w:tcMar>
            <w:vAlign w:val="bottom"/>
          </w:tcPr>
          <w:p w14:paraId="230746D2" w14:textId="77777777" w:rsidR="001921A0" w:rsidRPr="001921A0" w:rsidRDefault="001921A0" w:rsidP="001921A0">
            <w:pPr>
              <w:pStyle w:val="TableText"/>
              <w:spacing w:after="0"/>
              <w:jc w:val="right"/>
              <w:rPr>
                <w:rFonts w:ascii="Arial" w:hAnsi="Arial"/>
                <w:sz w:val="18"/>
                <w:lang w:val="mk-MK"/>
              </w:rPr>
            </w:pPr>
            <w:proofErr w:type="spellStart"/>
            <w:r w:rsidRPr="001921A0">
              <w:rPr>
                <w:rFonts w:ascii="Arial" w:hAnsi="Arial"/>
                <w:sz w:val="18"/>
                <w:lang w:val="mk-MK"/>
              </w:rPr>
              <w:t>Founder’s</w:t>
            </w:r>
            <w:proofErr w:type="spellEnd"/>
          </w:p>
          <w:p w14:paraId="5CA708F1" w14:textId="6934A274" w:rsidR="00815E65" w:rsidRPr="00CE3053" w:rsidRDefault="001921A0" w:rsidP="001921A0">
            <w:pPr>
              <w:pStyle w:val="TableText"/>
              <w:spacing w:after="0"/>
              <w:jc w:val="right"/>
              <w:rPr>
                <w:rFonts w:ascii="Arial" w:hAnsi="Arial"/>
                <w:sz w:val="18"/>
                <w:lang w:val="mk-MK"/>
              </w:rPr>
            </w:pPr>
            <w:proofErr w:type="spellStart"/>
            <w:r w:rsidRPr="001921A0">
              <w:rPr>
                <w:rFonts w:ascii="Arial" w:hAnsi="Arial"/>
                <w:sz w:val="18"/>
                <w:lang w:val="mk-MK"/>
              </w:rPr>
              <w:t>capital</w:t>
            </w:r>
            <w:proofErr w:type="spellEnd"/>
          </w:p>
        </w:tc>
        <w:tc>
          <w:tcPr>
            <w:tcW w:w="1470" w:type="dxa"/>
            <w:shd w:val="clear" w:color="auto" w:fill="auto"/>
            <w:tcMar>
              <w:left w:w="58" w:type="dxa"/>
              <w:right w:w="58" w:type="dxa"/>
            </w:tcMar>
            <w:vAlign w:val="bottom"/>
          </w:tcPr>
          <w:p w14:paraId="6D8AA326" w14:textId="77777777" w:rsidR="001921A0" w:rsidRPr="001921A0" w:rsidRDefault="001921A0" w:rsidP="001921A0">
            <w:pPr>
              <w:pStyle w:val="TableText"/>
              <w:spacing w:after="0"/>
              <w:jc w:val="right"/>
              <w:rPr>
                <w:rFonts w:ascii="Arial" w:hAnsi="Arial"/>
                <w:sz w:val="18"/>
                <w:lang w:val="mk-MK"/>
              </w:rPr>
            </w:pPr>
            <w:proofErr w:type="spellStart"/>
            <w:r w:rsidRPr="001921A0">
              <w:rPr>
                <w:rFonts w:ascii="Arial" w:hAnsi="Arial"/>
                <w:sz w:val="18"/>
                <w:lang w:val="mk-MK"/>
              </w:rPr>
              <w:t>Insurance</w:t>
            </w:r>
            <w:proofErr w:type="spellEnd"/>
            <w:r w:rsidRPr="001921A0">
              <w:rPr>
                <w:rFonts w:ascii="Arial" w:hAnsi="Arial"/>
                <w:sz w:val="18"/>
                <w:lang w:val="mk-MK"/>
              </w:rPr>
              <w:t xml:space="preserve"> </w:t>
            </w:r>
          </w:p>
          <w:p w14:paraId="0F0EFBCA" w14:textId="7AA1C7E3" w:rsidR="00815E65" w:rsidRPr="001921A0" w:rsidRDefault="001921A0" w:rsidP="001921A0">
            <w:pPr>
              <w:pStyle w:val="TableText"/>
              <w:spacing w:after="0"/>
              <w:jc w:val="right"/>
              <w:rPr>
                <w:rFonts w:ascii="Arial" w:hAnsi="Arial"/>
                <w:sz w:val="18"/>
                <w:lang w:val="en-US"/>
              </w:rPr>
            </w:pPr>
            <w:proofErr w:type="spellStart"/>
            <w:r w:rsidRPr="001921A0">
              <w:rPr>
                <w:rFonts w:ascii="Arial" w:hAnsi="Arial"/>
                <w:sz w:val="18"/>
                <w:lang w:val="mk-MK"/>
              </w:rPr>
              <w:t>fund</w:t>
            </w:r>
            <w:proofErr w:type="spellEnd"/>
          </w:p>
        </w:tc>
        <w:tc>
          <w:tcPr>
            <w:tcW w:w="1561" w:type="dxa"/>
            <w:shd w:val="clear" w:color="auto" w:fill="auto"/>
            <w:tcMar>
              <w:left w:w="58" w:type="dxa"/>
              <w:right w:w="58" w:type="dxa"/>
            </w:tcMar>
            <w:vAlign w:val="bottom"/>
          </w:tcPr>
          <w:p w14:paraId="4CDE3FFC" w14:textId="25D48E0D" w:rsidR="00815E65" w:rsidRPr="00CE3053" w:rsidRDefault="001921A0" w:rsidP="00815E65">
            <w:pPr>
              <w:pStyle w:val="TableText"/>
              <w:spacing w:after="0"/>
              <w:jc w:val="right"/>
              <w:rPr>
                <w:rFonts w:ascii="Arial" w:hAnsi="Arial"/>
                <w:sz w:val="18"/>
                <w:lang w:val="mk-MK"/>
              </w:rPr>
            </w:pPr>
            <w:proofErr w:type="spellStart"/>
            <w:r w:rsidRPr="001921A0">
              <w:rPr>
                <w:rFonts w:ascii="Arial" w:hAnsi="Arial"/>
                <w:sz w:val="18"/>
                <w:lang w:val="mk-MK"/>
              </w:rPr>
              <w:t>Retained</w:t>
            </w:r>
            <w:proofErr w:type="spellEnd"/>
            <w:r w:rsidRPr="001921A0">
              <w:rPr>
                <w:rFonts w:ascii="Arial" w:hAnsi="Arial"/>
                <w:sz w:val="18"/>
                <w:lang w:val="mk-MK"/>
              </w:rPr>
              <w:t xml:space="preserve"> </w:t>
            </w:r>
            <w:proofErr w:type="spellStart"/>
            <w:r w:rsidRPr="001921A0">
              <w:rPr>
                <w:rFonts w:ascii="Arial" w:hAnsi="Arial"/>
                <w:sz w:val="18"/>
                <w:lang w:val="mk-MK"/>
              </w:rPr>
              <w:t>earnings</w:t>
            </w:r>
            <w:proofErr w:type="spellEnd"/>
          </w:p>
        </w:tc>
        <w:tc>
          <w:tcPr>
            <w:tcW w:w="1378" w:type="dxa"/>
            <w:shd w:val="clear" w:color="auto" w:fill="auto"/>
            <w:tcMar>
              <w:left w:w="58" w:type="dxa"/>
              <w:right w:w="58" w:type="dxa"/>
            </w:tcMar>
            <w:vAlign w:val="bottom"/>
          </w:tcPr>
          <w:p w14:paraId="05498AF4" w14:textId="429A6797" w:rsidR="00815E65" w:rsidRPr="001921A0" w:rsidRDefault="001921A0" w:rsidP="00815E65">
            <w:pPr>
              <w:pStyle w:val="TableText"/>
              <w:spacing w:after="0"/>
              <w:jc w:val="right"/>
              <w:rPr>
                <w:rFonts w:ascii="Arial" w:hAnsi="Arial"/>
                <w:sz w:val="18"/>
                <w:lang w:val="en-US"/>
              </w:rPr>
            </w:pPr>
            <w:r>
              <w:rPr>
                <w:rFonts w:ascii="Arial" w:hAnsi="Arial"/>
                <w:sz w:val="18"/>
                <w:lang w:val="en-US"/>
              </w:rPr>
              <w:t>Total</w:t>
            </w:r>
          </w:p>
        </w:tc>
      </w:tr>
      <w:tr w:rsidR="00815E65" w:rsidRPr="001E6526" w14:paraId="68FA2F6C" w14:textId="77777777" w:rsidTr="00815E65">
        <w:trPr>
          <w:trHeight w:val="216"/>
        </w:trPr>
        <w:tc>
          <w:tcPr>
            <w:tcW w:w="2762" w:type="dxa"/>
            <w:shd w:val="clear" w:color="auto" w:fill="auto"/>
            <w:tcMar>
              <w:left w:w="58" w:type="dxa"/>
              <w:right w:w="58" w:type="dxa"/>
            </w:tcMar>
            <w:vAlign w:val="bottom"/>
          </w:tcPr>
          <w:p w14:paraId="35F8C430" w14:textId="77777777" w:rsidR="00815E65" w:rsidRPr="00CE3053" w:rsidRDefault="00815E65" w:rsidP="00815E65">
            <w:pPr>
              <w:pStyle w:val="TableText"/>
              <w:spacing w:after="0"/>
              <w:rPr>
                <w:rFonts w:ascii="Arial" w:hAnsi="Arial"/>
                <w:sz w:val="18"/>
                <w:lang w:val="mk-MK"/>
              </w:rPr>
            </w:pPr>
          </w:p>
        </w:tc>
        <w:tc>
          <w:tcPr>
            <w:tcW w:w="1469" w:type="dxa"/>
            <w:shd w:val="clear" w:color="auto" w:fill="auto"/>
            <w:tcMar>
              <w:left w:w="58" w:type="dxa"/>
              <w:right w:w="58" w:type="dxa"/>
            </w:tcMar>
            <w:vAlign w:val="bottom"/>
          </w:tcPr>
          <w:p w14:paraId="238B4247" w14:textId="676F8BB5" w:rsidR="00815E65" w:rsidRPr="001921A0" w:rsidRDefault="00815E65" w:rsidP="00815E65">
            <w:pPr>
              <w:pStyle w:val="TableText"/>
              <w:spacing w:after="0"/>
              <w:jc w:val="right"/>
              <w:rPr>
                <w:rFonts w:ascii="Arial" w:hAnsi="Arial"/>
                <w:sz w:val="18"/>
                <w:lang w:val="en-US"/>
              </w:rPr>
            </w:pPr>
            <w:r w:rsidRPr="00CE3053">
              <w:rPr>
                <w:rFonts w:ascii="Arial" w:hAnsi="Arial"/>
                <w:sz w:val="18"/>
                <w:lang w:val="mk-MK"/>
              </w:rPr>
              <w:t xml:space="preserve">000 </w:t>
            </w:r>
            <w:proofErr w:type="spellStart"/>
            <w:r w:rsidR="001921A0">
              <w:rPr>
                <w:rFonts w:ascii="Arial" w:hAnsi="Arial"/>
                <w:sz w:val="18"/>
                <w:lang w:val="en-US"/>
              </w:rPr>
              <w:t>mkd</w:t>
            </w:r>
            <w:proofErr w:type="spellEnd"/>
          </w:p>
        </w:tc>
        <w:tc>
          <w:tcPr>
            <w:tcW w:w="1470" w:type="dxa"/>
            <w:shd w:val="clear" w:color="auto" w:fill="auto"/>
            <w:tcMar>
              <w:left w:w="58" w:type="dxa"/>
              <w:right w:w="58" w:type="dxa"/>
            </w:tcMar>
            <w:vAlign w:val="bottom"/>
          </w:tcPr>
          <w:p w14:paraId="307A534B" w14:textId="2631BF73" w:rsidR="00815E65" w:rsidRPr="001921A0" w:rsidRDefault="00815E65" w:rsidP="00815E65">
            <w:pPr>
              <w:pStyle w:val="TableText"/>
              <w:spacing w:after="0"/>
              <w:jc w:val="right"/>
              <w:rPr>
                <w:rFonts w:ascii="Arial" w:hAnsi="Arial"/>
                <w:sz w:val="18"/>
                <w:lang w:val="en-US"/>
              </w:rPr>
            </w:pPr>
            <w:r w:rsidRPr="00CE3053">
              <w:rPr>
                <w:rFonts w:ascii="Arial" w:hAnsi="Arial"/>
                <w:sz w:val="18"/>
                <w:lang w:val="mk-MK"/>
              </w:rPr>
              <w:t xml:space="preserve">000 </w:t>
            </w:r>
            <w:proofErr w:type="spellStart"/>
            <w:r w:rsidR="001921A0">
              <w:rPr>
                <w:rFonts w:ascii="Arial" w:hAnsi="Arial"/>
                <w:sz w:val="18"/>
                <w:lang w:val="en-US"/>
              </w:rPr>
              <w:t>mkd</w:t>
            </w:r>
            <w:proofErr w:type="spellEnd"/>
          </w:p>
        </w:tc>
        <w:tc>
          <w:tcPr>
            <w:tcW w:w="1561" w:type="dxa"/>
            <w:shd w:val="clear" w:color="auto" w:fill="auto"/>
            <w:tcMar>
              <w:left w:w="58" w:type="dxa"/>
              <w:right w:w="58" w:type="dxa"/>
            </w:tcMar>
            <w:vAlign w:val="bottom"/>
          </w:tcPr>
          <w:p w14:paraId="5FDA323F" w14:textId="71CE54DE" w:rsidR="00815E65" w:rsidRPr="001921A0" w:rsidRDefault="00815E65" w:rsidP="00815E65">
            <w:pPr>
              <w:pStyle w:val="TableText"/>
              <w:spacing w:after="0"/>
              <w:jc w:val="right"/>
              <w:rPr>
                <w:rFonts w:ascii="Arial" w:hAnsi="Arial"/>
                <w:sz w:val="18"/>
                <w:lang w:val="en-US"/>
              </w:rPr>
            </w:pPr>
            <w:r w:rsidRPr="00CE3053">
              <w:rPr>
                <w:rFonts w:ascii="Arial" w:hAnsi="Arial"/>
                <w:sz w:val="18"/>
                <w:lang w:val="mk-MK"/>
              </w:rPr>
              <w:t xml:space="preserve">000 </w:t>
            </w:r>
            <w:proofErr w:type="spellStart"/>
            <w:r w:rsidR="001921A0">
              <w:rPr>
                <w:rFonts w:ascii="Arial" w:hAnsi="Arial"/>
                <w:sz w:val="18"/>
                <w:lang w:val="en-US"/>
              </w:rPr>
              <w:t>mkd</w:t>
            </w:r>
            <w:proofErr w:type="spellEnd"/>
          </w:p>
        </w:tc>
        <w:tc>
          <w:tcPr>
            <w:tcW w:w="1378" w:type="dxa"/>
            <w:shd w:val="clear" w:color="auto" w:fill="auto"/>
            <w:tcMar>
              <w:left w:w="58" w:type="dxa"/>
              <w:right w:w="58" w:type="dxa"/>
            </w:tcMar>
            <w:vAlign w:val="bottom"/>
          </w:tcPr>
          <w:p w14:paraId="50C67819" w14:textId="16F36A84" w:rsidR="00815E65" w:rsidRPr="001921A0" w:rsidRDefault="00815E65" w:rsidP="00815E65">
            <w:pPr>
              <w:pStyle w:val="TableText"/>
              <w:spacing w:after="0"/>
              <w:jc w:val="right"/>
              <w:rPr>
                <w:rFonts w:ascii="Arial" w:hAnsi="Arial"/>
                <w:sz w:val="18"/>
                <w:lang w:val="en-US"/>
              </w:rPr>
            </w:pPr>
            <w:r w:rsidRPr="00CE3053">
              <w:rPr>
                <w:rFonts w:ascii="Arial" w:hAnsi="Arial"/>
                <w:sz w:val="18"/>
                <w:lang w:val="mk-MK"/>
              </w:rPr>
              <w:t xml:space="preserve">000 </w:t>
            </w:r>
            <w:proofErr w:type="spellStart"/>
            <w:r w:rsidR="001921A0">
              <w:rPr>
                <w:rFonts w:ascii="Arial" w:hAnsi="Arial"/>
                <w:sz w:val="18"/>
                <w:lang w:val="en-US"/>
              </w:rPr>
              <w:t>mkd</w:t>
            </w:r>
            <w:proofErr w:type="spellEnd"/>
          </w:p>
        </w:tc>
      </w:tr>
      <w:tr w:rsidR="00815E65" w:rsidRPr="001E6526" w14:paraId="11016C14" w14:textId="77777777" w:rsidTr="00815E65">
        <w:trPr>
          <w:trHeight w:val="216"/>
        </w:trPr>
        <w:tc>
          <w:tcPr>
            <w:tcW w:w="2762" w:type="dxa"/>
            <w:shd w:val="clear" w:color="auto" w:fill="auto"/>
            <w:tcMar>
              <w:left w:w="58" w:type="dxa"/>
              <w:right w:w="58" w:type="dxa"/>
            </w:tcMar>
            <w:vAlign w:val="bottom"/>
          </w:tcPr>
          <w:p w14:paraId="60FA21FE" w14:textId="77777777" w:rsidR="00815E65" w:rsidRPr="00CE3053" w:rsidRDefault="00815E65" w:rsidP="00815E65">
            <w:pPr>
              <w:pStyle w:val="TableText"/>
              <w:spacing w:after="0"/>
              <w:rPr>
                <w:rFonts w:ascii="Arial" w:hAnsi="Arial"/>
                <w:sz w:val="18"/>
                <w:lang w:val="mk-MK"/>
              </w:rPr>
            </w:pPr>
          </w:p>
        </w:tc>
        <w:tc>
          <w:tcPr>
            <w:tcW w:w="1469" w:type="dxa"/>
            <w:shd w:val="clear" w:color="auto" w:fill="auto"/>
            <w:tcMar>
              <w:left w:w="58" w:type="dxa"/>
              <w:right w:w="58" w:type="dxa"/>
            </w:tcMar>
            <w:vAlign w:val="bottom"/>
          </w:tcPr>
          <w:p w14:paraId="76F6EC5B" w14:textId="77777777" w:rsidR="00815E65" w:rsidRPr="00CE3053" w:rsidRDefault="00815E65" w:rsidP="00815E65">
            <w:pPr>
              <w:pStyle w:val="TableText"/>
              <w:spacing w:after="0"/>
              <w:jc w:val="right"/>
              <w:rPr>
                <w:rFonts w:ascii="Arial" w:hAnsi="Arial"/>
                <w:sz w:val="18"/>
                <w:lang w:val="mk-MK"/>
              </w:rPr>
            </w:pPr>
          </w:p>
        </w:tc>
        <w:tc>
          <w:tcPr>
            <w:tcW w:w="1470" w:type="dxa"/>
            <w:shd w:val="clear" w:color="auto" w:fill="auto"/>
            <w:tcMar>
              <w:left w:w="58" w:type="dxa"/>
              <w:right w:w="58" w:type="dxa"/>
            </w:tcMar>
            <w:vAlign w:val="bottom"/>
          </w:tcPr>
          <w:p w14:paraId="79D64C27" w14:textId="77777777" w:rsidR="00815E65" w:rsidRPr="00CE3053" w:rsidRDefault="00815E65" w:rsidP="00815E65">
            <w:pPr>
              <w:pStyle w:val="TableText"/>
              <w:spacing w:after="0"/>
              <w:jc w:val="right"/>
              <w:rPr>
                <w:rFonts w:ascii="Arial" w:hAnsi="Arial"/>
                <w:sz w:val="18"/>
                <w:lang w:val="mk-MK"/>
              </w:rPr>
            </w:pPr>
          </w:p>
        </w:tc>
        <w:tc>
          <w:tcPr>
            <w:tcW w:w="1561" w:type="dxa"/>
            <w:shd w:val="clear" w:color="auto" w:fill="auto"/>
            <w:tcMar>
              <w:left w:w="58" w:type="dxa"/>
              <w:right w:w="58" w:type="dxa"/>
            </w:tcMar>
            <w:vAlign w:val="bottom"/>
          </w:tcPr>
          <w:p w14:paraId="2D345FFE" w14:textId="77777777" w:rsidR="00815E65" w:rsidRPr="00CE3053" w:rsidRDefault="00815E65" w:rsidP="00815E65">
            <w:pPr>
              <w:pStyle w:val="TableText"/>
              <w:spacing w:after="0"/>
              <w:jc w:val="right"/>
              <w:rPr>
                <w:rFonts w:ascii="Arial" w:hAnsi="Arial"/>
                <w:sz w:val="18"/>
                <w:lang w:val="mk-MK"/>
              </w:rPr>
            </w:pPr>
          </w:p>
        </w:tc>
        <w:tc>
          <w:tcPr>
            <w:tcW w:w="1378" w:type="dxa"/>
            <w:shd w:val="clear" w:color="auto" w:fill="auto"/>
            <w:tcMar>
              <w:left w:w="58" w:type="dxa"/>
              <w:right w:w="58" w:type="dxa"/>
            </w:tcMar>
            <w:vAlign w:val="bottom"/>
          </w:tcPr>
          <w:p w14:paraId="4D53556F" w14:textId="77777777" w:rsidR="00815E65" w:rsidRPr="00CE3053" w:rsidRDefault="00815E65" w:rsidP="00815E65">
            <w:pPr>
              <w:pStyle w:val="TableText"/>
              <w:spacing w:after="0"/>
              <w:jc w:val="right"/>
              <w:rPr>
                <w:rFonts w:ascii="Arial" w:hAnsi="Arial"/>
                <w:sz w:val="18"/>
                <w:lang w:val="mk-MK"/>
              </w:rPr>
            </w:pPr>
          </w:p>
        </w:tc>
      </w:tr>
      <w:tr w:rsidR="00815E65" w:rsidRPr="001E6526" w14:paraId="7C9AA015" w14:textId="77777777" w:rsidTr="00815E65">
        <w:trPr>
          <w:trHeight w:val="216"/>
        </w:trPr>
        <w:tc>
          <w:tcPr>
            <w:tcW w:w="2762" w:type="dxa"/>
            <w:shd w:val="clear" w:color="auto" w:fill="auto"/>
            <w:tcMar>
              <w:left w:w="58" w:type="dxa"/>
              <w:right w:w="58" w:type="dxa"/>
            </w:tcMar>
            <w:vAlign w:val="bottom"/>
          </w:tcPr>
          <w:p w14:paraId="7E9BEC31" w14:textId="7DFE90FD" w:rsidR="00815E65" w:rsidRPr="00CE3053" w:rsidRDefault="001921A0" w:rsidP="00815E65">
            <w:pPr>
              <w:pStyle w:val="TableText"/>
              <w:spacing w:after="0"/>
              <w:rPr>
                <w:rFonts w:ascii="Arial" w:hAnsi="Arial"/>
                <w:b/>
                <w:bCs/>
                <w:sz w:val="18"/>
                <w:lang w:val="mk-MK"/>
              </w:rPr>
            </w:pPr>
            <w:r>
              <w:rPr>
                <w:rFonts w:ascii="Arial" w:hAnsi="Arial"/>
                <w:b/>
                <w:sz w:val="18"/>
                <w:lang w:val="en-US"/>
              </w:rPr>
              <w:t>At</w:t>
            </w:r>
            <w:r w:rsidR="00815E65" w:rsidRPr="00CE3053">
              <w:rPr>
                <w:rFonts w:ascii="Arial" w:hAnsi="Arial"/>
                <w:b/>
                <w:sz w:val="18"/>
                <w:lang w:val="mk-MK"/>
              </w:rPr>
              <w:t xml:space="preserve"> 01 </w:t>
            </w:r>
            <w:r>
              <w:rPr>
                <w:rFonts w:ascii="Arial" w:hAnsi="Arial"/>
                <w:b/>
                <w:sz w:val="18"/>
                <w:lang w:val="en-US"/>
              </w:rPr>
              <w:t xml:space="preserve">January </w:t>
            </w:r>
            <w:r w:rsidR="00815E65" w:rsidRPr="00CE3053">
              <w:rPr>
                <w:rFonts w:ascii="Arial" w:hAnsi="Arial"/>
                <w:b/>
                <w:sz w:val="18"/>
                <w:lang w:val="mk-MK"/>
              </w:rPr>
              <w:t>202</w:t>
            </w:r>
            <w:r w:rsidR="00711844" w:rsidRPr="001E6526">
              <w:rPr>
                <w:rFonts w:ascii="Arial" w:hAnsi="Arial"/>
                <w:b/>
                <w:sz w:val="18"/>
                <w:lang w:val="mk-MK"/>
              </w:rPr>
              <w:t>1</w:t>
            </w:r>
          </w:p>
        </w:tc>
        <w:tc>
          <w:tcPr>
            <w:tcW w:w="1469" w:type="dxa"/>
            <w:shd w:val="clear" w:color="auto" w:fill="auto"/>
            <w:tcMar>
              <w:left w:w="58" w:type="dxa"/>
              <w:right w:w="58" w:type="dxa"/>
            </w:tcMar>
            <w:vAlign w:val="bottom"/>
          </w:tcPr>
          <w:p w14:paraId="3EC10518" w14:textId="77777777" w:rsidR="00815E65" w:rsidRPr="001E6526" w:rsidRDefault="00815E65" w:rsidP="00815E65">
            <w:pPr>
              <w:spacing w:after="0"/>
              <w:jc w:val="right"/>
              <w:rPr>
                <w:rFonts w:ascii="Arial" w:hAnsi="Arial" w:cs="Arial"/>
                <w:b/>
                <w:bCs/>
                <w:color w:val="000000"/>
                <w:lang w:val="mk-MK"/>
              </w:rPr>
            </w:pPr>
            <w:r w:rsidRPr="001E6526">
              <w:rPr>
                <w:rFonts w:ascii="Arial" w:hAnsi="Arial" w:cs="Arial"/>
                <w:b/>
                <w:bCs/>
                <w:color w:val="000000"/>
                <w:lang w:val="mk-MK"/>
              </w:rPr>
              <w:t>10,300</w:t>
            </w:r>
          </w:p>
        </w:tc>
        <w:tc>
          <w:tcPr>
            <w:tcW w:w="1470" w:type="dxa"/>
            <w:shd w:val="clear" w:color="auto" w:fill="auto"/>
            <w:tcMar>
              <w:left w:w="58" w:type="dxa"/>
              <w:right w:w="58" w:type="dxa"/>
            </w:tcMar>
            <w:vAlign w:val="bottom"/>
          </w:tcPr>
          <w:p w14:paraId="0DED35C6" w14:textId="4CF0392F" w:rsidR="00815E65" w:rsidRPr="001E6526" w:rsidRDefault="00711844" w:rsidP="00815E65">
            <w:pPr>
              <w:spacing w:after="0"/>
              <w:jc w:val="right"/>
              <w:rPr>
                <w:rFonts w:ascii="Arial" w:hAnsi="Arial" w:cs="Arial"/>
                <w:b/>
                <w:bCs/>
                <w:color w:val="000000"/>
                <w:lang w:val="mk-MK"/>
              </w:rPr>
            </w:pPr>
            <w:r w:rsidRPr="001E6526">
              <w:rPr>
                <w:rFonts w:ascii="Arial" w:hAnsi="Arial" w:cs="Arial"/>
                <w:b/>
                <w:bCs/>
                <w:color w:val="000000"/>
                <w:lang w:val="mk-MK"/>
              </w:rPr>
              <w:t>13,943,672</w:t>
            </w:r>
          </w:p>
        </w:tc>
        <w:tc>
          <w:tcPr>
            <w:tcW w:w="1561" w:type="dxa"/>
            <w:shd w:val="clear" w:color="auto" w:fill="auto"/>
            <w:tcMar>
              <w:left w:w="58" w:type="dxa"/>
              <w:right w:w="58" w:type="dxa"/>
            </w:tcMar>
            <w:vAlign w:val="bottom"/>
          </w:tcPr>
          <w:p w14:paraId="6034AE6A" w14:textId="3D010741" w:rsidR="00815E65" w:rsidRPr="001E6526" w:rsidRDefault="003F08CD" w:rsidP="00815E65">
            <w:pPr>
              <w:spacing w:after="0"/>
              <w:jc w:val="right"/>
              <w:rPr>
                <w:rFonts w:ascii="Arial" w:hAnsi="Arial" w:cs="Arial"/>
                <w:b/>
                <w:bCs/>
                <w:color w:val="000000"/>
                <w:lang w:val="mk-MK"/>
              </w:rPr>
            </w:pPr>
            <w:r w:rsidRPr="001E6526">
              <w:rPr>
                <w:rFonts w:ascii="Arial" w:hAnsi="Arial" w:cs="Arial"/>
                <w:b/>
                <w:bCs/>
                <w:color w:val="000000"/>
                <w:lang w:val="mk-MK"/>
              </w:rPr>
              <w:t>70,194</w:t>
            </w:r>
          </w:p>
        </w:tc>
        <w:tc>
          <w:tcPr>
            <w:tcW w:w="1378" w:type="dxa"/>
            <w:shd w:val="clear" w:color="auto" w:fill="auto"/>
            <w:tcMar>
              <w:left w:w="58" w:type="dxa"/>
              <w:right w:w="58" w:type="dxa"/>
            </w:tcMar>
            <w:vAlign w:val="bottom"/>
          </w:tcPr>
          <w:p w14:paraId="60140F44" w14:textId="042D3C6E" w:rsidR="00815E65" w:rsidRPr="001E6526" w:rsidRDefault="003C2544" w:rsidP="00815E65">
            <w:pPr>
              <w:spacing w:after="0"/>
              <w:jc w:val="right"/>
              <w:rPr>
                <w:rFonts w:ascii="Arial" w:hAnsi="Arial" w:cs="Arial"/>
                <w:b/>
                <w:bCs/>
                <w:color w:val="000000"/>
                <w:lang w:val="mk-MK"/>
              </w:rPr>
            </w:pPr>
            <w:r w:rsidRPr="001E6526">
              <w:rPr>
                <w:rFonts w:ascii="Arial" w:hAnsi="Arial" w:cs="Arial"/>
                <w:b/>
                <w:bCs/>
                <w:color w:val="000000"/>
                <w:lang w:val="mk-MK"/>
              </w:rPr>
              <w:t>14,024,166</w:t>
            </w:r>
          </w:p>
        </w:tc>
      </w:tr>
      <w:tr w:rsidR="00815E65" w:rsidRPr="001E6526" w14:paraId="05201966" w14:textId="77777777" w:rsidTr="00815E65">
        <w:trPr>
          <w:trHeight w:val="216"/>
        </w:trPr>
        <w:tc>
          <w:tcPr>
            <w:tcW w:w="2762" w:type="dxa"/>
            <w:shd w:val="clear" w:color="auto" w:fill="auto"/>
            <w:tcMar>
              <w:left w:w="58" w:type="dxa"/>
              <w:right w:w="58" w:type="dxa"/>
            </w:tcMar>
            <w:vAlign w:val="bottom"/>
          </w:tcPr>
          <w:p w14:paraId="52FC338C" w14:textId="0E19A858" w:rsidR="00815E65" w:rsidRPr="00CE3053" w:rsidRDefault="001921A0" w:rsidP="00815E65">
            <w:pPr>
              <w:pStyle w:val="TableText"/>
              <w:spacing w:after="0"/>
              <w:rPr>
                <w:rFonts w:ascii="Arial" w:hAnsi="Arial"/>
                <w:bCs/>
                <w:sz w:val="18"/>
                <w:lang w:val="mk-MK"/>
              </w:rPr>
            </w:pPr>
            <w:proofErr w:type="spellStart"/>
            <w:r w:rsidRPr="001921A0">
              <w:rPr>
                <w:rFonts w:ascii="Arial" w:hAnsi="Arial"/>
                <w:bCs/>
                <w:sz w:val="18"/>
                <w:lang w:val="mk-MK"/>
              </w:rPr>
              <w:t>Accrued</w:t>
            </w:r>
            <w:proofErr w:type="spellEnd"/>
            <w:r w:rsidRPr="001921A0">
              <w:rPr>
                <w:rFonts w:ascii="Arial" w:hAnsi="Arial"/>
                <w:bCs/>
                <w:sz w:val="18"/>
                <w:lang w:val="mk-MK"/>
              </w:rPr>
              <w:t xml:space="preserve"> </w:t>
            </w:r>
            <w:proofErr w:type="spellStart"/>
            <w:r w:rsidRPr="001921A0">
              <w:rPr>
                <w:rFonts w:ascii="Arial" w:hAnsi="Arial"/>
                <w:bCs/>
                <w:sz w:val="18"/>
                <w:lang w:val="mk-MK"/>
              </w:rPr>
              <w:t>technical</w:t>
            </w:r>
            <w:proofErr w:type="spellEnd"/>
            <w:r w:rsidRPr="001921A0">
              <w:rPr>
                <w:rFonts w:ascii="Arial" w:hAnsi="Arial"/>
                <w:bCs/>
                <w:sz w:val="18"/>
                <w:lang w:val="mk-MK"/>
              </w:rPr>
              <w:t xml:space="preserve"> </w:t>
            </w:r>
            <w:proofErr w:type="spellStart"/>
            <w:r w:rsidRPr="001921A0">
              <w:rPr>
                <w:rFonts w:ascii="Arial" w:hAnsi="Arial"/>
                <w:bCs/>
                <w:sz w:val="18"/>
                <w:lang w:val="mk-MK"/>
              </w:rPr>
              <w:t>premium</w:t>
            </w:r>
            <w:proofErr w:type="spellEnd"/>
          </w:p>
        </w:tc>
        <w:tc>
          <w:tcPr>
            <w:tcW w:w="1469" w:type="dxa"/>
            <w:shd w:val="clear" w:color="auto" w:fill="auto"/>
            <w:tcMar>
              <w:left w:w="58" w:type="dxa"/>
              <w:right w:w="58" w:type="dxa"/>
            </w:tcMar>
            <w:vAlign w:val="bottom"/>
          </w:tcPr>
          <w:p w14:paraId="30526DAF"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c>
          <w:tcPr>
            <w:tcW w:w="1470" w:type="dxa"/>
            <w:shd w:val="clear" w:color="auto" w:fill="auto"/>
            <w:tcMar>
              <w:left w:w="58" w:type="dxa"/>
              <w:right w:w="58" w:type="dxa"/>
            </w:tcMar>
            <w:vAlign w:val="bottom"/>
          </w:tcPr>
          <w:p w14:paraId="654694A9" w14:textId="55061233" w:rsidR="00815E65" w:rsidRPr="001E6526" w:rsidRDefault="002C7CCE" w:rsidP="00815E65">
            <w:pPr>
              <w:spacing w:after="0"/>
              <w:jc w:val="right"/>
              <w:rPr>
                <w:rFonts w:ascii="Arial" w:hAnsi="Arial" w:cs="Arial"/>
                <w:color w:val="000000"/>
                <w:lang w:val="mk-MK"/>
              </w:rPr>
            </w:pPr>
            <w:r w:rsidRPr="001E6526">
              <w:rPr>
                <w:rFonts w:ascii="Arial" w:hAnsi="Arial" w:cs="Arial"/>
                <w:color w:val="000000"/>
                <w:lang w:val="mk-MK"/>
              </w:rPr>
              <w:t>757,749</w:t>
            </w:r>
          </w:p>
        </w:tc>
        <w:tc>
          <w:tcPr>
            <w:tcW w:w="1561" w:type="dxa"/>
            <w:shd w:val="clear" w:color="auto" w:fill="auto"/>
            <w:tcMar>
              <w:left w:w="58" w:type="dxa"/>
              <w:right w:w="58" w:type="dxa"/>
            </w:tcMar>
            <w:vAlign w:val="bottom"/>
          </w:tcPr>
          <w:p w14:paraId="5FC1F92D"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c>
          <w:tcPr>
            <w:tcW w:w="1378" w:type="dxa"/>
            <w:shd w:val="clear" w:color="auto" w:fill="auto"/>
            <w:tcMar>
              <w:left w:w="58" w:type="dxa"/>
              <w:right w:w="58" w:type="dxa"/>
            </w:tcMar>
            <w:vAlign w:val="bottom"/>
          </w:tcPr>
          <w:p w14:paraId="2F810EC3" w14:textId="00C73230"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7</w:t>
            </w:r>
            <w:r w:rsidR="003C2544" w:rsidRPr="001E6526">
              <w:rPr>
                <w:rFonts w:ascii="Arial" w:hAnsi="Arial" w:cs="Arial"/>
                <w:color w:val="000000"/>
                <w:lang w:val="mk-MK"/>
              </w:rPr>
              <w:t>57,749</w:t>
            </w:r>
          </w:p>
        </w:tc>
      </w:tr>
      <w:tr w:rsidR="00815E65" w:rsidRPr="001E6526" w14:paraId="02E141BC" w14:textId="77777777" w:rsidTr="00815E65">
        <w:trPr>
          <w:trHeight w:val="216"/>
        </w:trPr>
        <w:tc>
          <w:tcPr>
            <w:tcW w:w="2762" w:type="dxa"/>
            <w:shd w:val="clear" w:color="auto" w:fill="auto"/>
            <w:tcMar>
              <w:left w:w="58" w:type="dxa"/>
              <w:right w:w="58" w:type="dxa"/>
            </w:tcMar>
            <w:vAlign w:val="bottom"/>
          </w:tcPr>
          <w:p w14:paraId="3B7B0744" w14:textId="32E63A77" w:rsidR="00815E65" w:rsidRPr="00CE3053" w:rsidRDefault="001921A0" w:rsidP="00815E65">
            <w:pPr>
              <w:pStyle w:val="TableText"/>
              <w:spacing w:after="0"/>
              <w:rPr>
                <w:rFonts w:ascii="Arial" w:hAnsi="Arial"/>
                <w:bCs/>
                <w:sz w:val="18"/>
                <w:lang w:val="mk-MK"/>
              </w:rPr>
            </w:pPr>
            <w:proofErr w:type="spellStart"/>
            <w:r w:rsidRPr="001921A0">
              <w:rPr>
                <w:rFonts w:ascii="Arial" w:hAnsi="Arial"/>
                <w:bCs/>
                <w:sz w:val="18"/>
                <w:lang w:val="mk-MK"/>
              </w:rPr>
              <w:t>Return</w:t>
            </w:r>
            <w:proofErr w:type="spellEnd"/>
            <w:r w:rsidRPr="001921A0">
              <w:rPr>
                <w:rFonts w:ascii="Arial" w:hAnsi="Arial"/>
                <w:bCs/>
                <w:sz w:val="18"/>
                <w:lang w:val="mk-MK"/>
              </w:rPr>
              <w:t xml:space="preserve"> </w:t>
            </w:r>
            <w:proofErr w:type="spellStart"/>
            <w:r w:rsidRPr="001921A0">
              <w:rPr>
                <w:rFonts w:ascii="Arial" w:hAnsi="Arial"/>
                <w:bCs/>
                <w:sz w:val="18"/>
                <w:lang w:val="mk-MK"/>
              </w:rPr>
              <w:t>of</w:t>
            </w:r>
            <w:proofErr w:type="spellEnd"/>
            <w:r w:rsidRPr="001921A0">
              <w:rPr>
                <w:rFonts w:ascii="Arial" w:hAnsi="Arial"/>
                <w:bCs/>
                <w:sz w:val="18"/>
                <w:lang w:val="mk-MK"/>
              </w:rPr>
              <w:t xml:space="preserve"> </w:t>
            </w:r>
            <w:proofErr w:type="spellStart"/>
            <w:r w:rsidRPr="001921A0">
              <w:rPr>
                <w:rFonts w:ascii="Arial" w:hAnsi="Arial"/>
                <w:bCs/>
                <w:sz w:val="18"/>
                <w:lang w:val="mk-MK"/>
              </w:rPr>
              <w:t>funds</w:t>
            </w:r>
            <w:proofErr w:type="spellEnd"/>
            <w:r w:rsidRPr="001921A0">
              <w:rPr>
                <w:rFonts w:ascii="Arial" w:hAnsi="Arial"/>
                <w:bCs/>
                <w:sz w:val="18"/>
                <w:lang w:val="mk-MK"/>
              </w:rPr>
              <w:t xml:space="preserve"> </w:t>
            </w:r>
            <w:proofErr w:type="spellStart"/>
            <w:r w:rsidRPr="001921A0">
              <w:rPr>
                <w:rFonts w:ascii="Arial" w:hAnsi="Arial"/>
                <w:bCs/>
                <w:sz w:val="18"/>
                <w:lang w:val="mk-MK"/>
              </w:rPr>
              <w:t>for</w:t>
            </w:r>
            <w:proofErr w:type="spellEnd"/>
            <w:r w:rsidRPr="001921A0">
              <w:rPr>
                <w:rFonts w:ascii="Arial" w:hAnsi="Arial"/>
                <w:bCs/>
                <w:sz w:val="18"/>
                <w:lang w:val="mk-MK"/>
              </w:rPr>
              <w:t xml:space="preserve"> </w:t>
            </w:r>
            <w:proofErr w:type="spellStart"/>
            <w:r w:rsidRPr="001921A0">
              <w:rPr>
                <w:rFonts w:ascii="Arial" w:hAnsi="Arial"/>
                <w:bCs/>
                <w:sz w:val="18"/>
                <w:lang w:val="mk-MK"/>
              </w:rPr>
              <w:t>previously</w:t>
            </w:r>
            <w:proofErr w:type="spellEnd"/>
            <w:r w:rsidRPr="001921A0">
              <w:rPr>
                <w:rFonts w:ascii="Arial" w:hAnsi="Arial"/>
                <w:bCs/>
                <w:sz w:val="18"/>
                <w:lang w:val="mk-MK"/>
              </w:rPr>
              <w:t xml:space="preserve"> </w:t>
            </w:r>
            <w:proofErr w:type="spellStart"/>
            <w:r w:rsidRPr="001921A0">
              <w:rPr>
                <w:rFonts w:ascii="Arial" w:hAnsi="Arial"/>
                <w:bCs/>
                <w:sz w:val="18"/>
                <w:lang w:val="mk-MK"/>
              </w:rPr>
              <w:t>paid</w:t>
            </w:r>
            <w:proofErr w:type="spellEnd"/>
            <w:r w:rsidRPr="001921A0">
              <w:rPr>
                <w:rFonts w:ascii="Arial" w:hAnsi="Arial"/>
                <w:bCs/>
                <w:sz w:val="18"/>
                <w:lang w:val="mk-MK"/>
              </w:rPr>
              <w:t xml:space="preserve"> </w:t>
            </w:r>
            <w:proofErr w:type="spellStart"/>
            <w:r w:rsidRPr="001921A0">
              <w:rPr>
                <w:rFonts w:ascii="Arial" w:hAnsi="Arial"/>
                <w:bCs/>
                <w:sz w:val="18"/>
                <w:lang w:val="mk-MK"/>
              </w:rPr>
              <w:t>indemnification</w:t>
            </w:r>
            <w:proofErr w:type="spellEnd"/>
          </w:p>
        </w:tc>
        <w:tc>
          <w:tcPr>
            <w:tcW w:w="1469" w:type="dxa"/>
            <w:shd w:val="clear" w:color="auto" w:fill="auto"/>
            <w:tcMar>
              <w:left w:w="58" w:type="dxa"/>
              <w:right w:w="58" w:type="dxa"/>
            </w:tcMar>
            <w:vAlign w:val="bottom"/>
          </w:tcPr>
          <w:p w14:paraId="79D291CB"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c>
          <w:tcPr>
            <w:tcW w:w="1470" w:type="dxa"/>
            <w:shd w:val="clear" w:color="auto" w:fill="auto"/>
            <w:tcMar>
              <w:left w:w="58" w:type="dxa"/>
              <w:right w:w="58" w:type="dxa"/>
            </w:tcMar>
            <w:vAlign w:val="bottom"/>
          </w:tcPr>
          <w:p w14:paraId="1E300DA3"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c>
          <w:tcPr>
            <w:tcW w:w="1561" w:type="dxa"/>
            <w:shd w:val="clear" w:color="auto" w:fill="auto"/>
            <w:tcMar>
              <w:left w:w="58" w:type="dxa"/>
              <w:right w:w="58" w:type="dxa"/>
            </w:tcMar>
            <w:vAlign w:val="bottom"/>
          </w:tcPr>
          <w:p w14:paraId="3487E77A"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c>
          <w:tcPr>
            <w:tcW w:w="1378" w:type="dxa"/>
            <w:shd w:val="clear" w:color="auto" w:fill="auto"/>
            <w:tcMar>
              <w:left w:w="58" w:type="dxa"/>
              <w:right w:w="58" w:type="dxa"/>
            </w:tcMar>
            <w:vAlign w:val="bottom"/>
          </w:tcPr>
          <w:p w14:paraId="5CC8152D"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r>
      <w:tr w:rsidR="00815E65" w:rsidRPr="001E6526" w14:paraId="2BFA5DCB" w14:textId="77777777" w:rsidTr="00815E65">
        <w:trPr>
          <w:trHeight w:val="216"/>
        </w:trPr>
        <w:tc>
          <w:tcPr>
            <w:tcW w:w="2762" w:type="dxa"/>
            <w:shd w:val="clear" w:color="auto" w:fill="auto"/>
            <w:tcMar>
              <w:left w:w="58" w:type="dxa"/>
              <w:right w:w="58" w:type="dxa"/>
            </w:tcMar>
            <w:vAlign w:val="bottom"/>
          </w:tcPr>
          <w:p w14:paraId="16A3695E" w14:textId="16ACD2C9" w:rsidR="00815E65" w:rsidRPr="00CE3053" w:rsidRDefault="001921A0" w:rsidP="00815E65">
            <w:pPr>
              <w:pStyle w:val="TableText"/>
              <w:spacing w:after="0"/>
              <w:rPr>
                <w:rFonts w:ascii="Arial" w:hAnsi="Arial"/>
                <w:bCs/>
                <w:sz w:val="18"/>
                <w:lang w:val="mk-MK"/>
              </w:rPr>
            </w:pPr>
            <w:proofErr w:type="spellStart"/>
            <w:r w:rsidRPr="001921A0">
              <w:rPr>
                <w:rFonts w:ascii="Arial" w:hAnsi="Arial"/>
                <w:bCs/>
                <w:sz w:val="18"/>
                <w:lang w:val="mk-MK"/>
              </w:rPr>
              <w:t>Compensation</w:t>
            </w:r>
            <w:proofErr w:type="spellEnd"/>
            <w:r w:rsidRPr="001921A0">
              <w:rPr>
                <w:rFonts w:ascii="Arial" w:hAnsi="Arial"/>
                <w:bCs/>
                <w:sz w:val="18"/>
                <w:lang w:val="mk-MK"/>
              </w:rPr>
              <w:t xml:space="preserve"> </w:t>
            </w:r>
            <w:proofErr w:type="spellStart"/>
            <w:r w:rsidRPr="001921A0">
              <w:rPr>
                <w:rFonts w:ascii="Arial" w:hAnsi="Arial"/>
                <w:bCs/>
                <w:sz w:val="18"/>
                <w:lang w:val="mk-MK"/>
              </w:rPr>
              <w:t>for</w:t>
            </w:r>
            <w:proofErr w:type="spellEnd"/>
            <w:r w:rsidRPr="001921A0">
              <w:rPr>
                <w:rFonts w:ascii="Arial" w:hAnsi="Arial"/>
                <w:bCs/>
                <w:sz w:val="18"/>
                <w:lang w:val="mk-MK"/>
              </w:rPr>
              <w:t xml:space="preserve"> </w:t>
            </w:r>
            <w:proofErr w:type="spellStart"/>
            <w:r w:rsidRPr="001921A0">
              <w:rPr>
                <w:rFonts w:ascii="Arial" w:hAnsi="Arial"/>
                <w:bCs/>
                <w:sz w:val="18"/>
                <w:lang w:val="mk-MK"/>
              </w:rPr>
              <w:t>indemnification</w:t>
            </w:r>
            <w:proofErr w:type="spellEnd"/>
            <w:r w:rsidRPr="001921A0">
              <w:rPr>
                <w:rFonts w:ascii="Arial" w:hAnsi="Arial"/>
                <w:bCs/>
                <w:sz w:val="18"/>
                <w:lang w:val="mk-MK"/>
              </w:rPr>
              <w:t xml:space="preserve"> </w:t>
            </w:r>
            <w:r w:rsidR="00815E65" w:rsidRPr="001E6526">
              <w:rPr>
                <w:rFonts w:ascii="Arial" w:hAnsi="Arial"/>
                <w:bCs/>
                <w:sz w:val="18"/>
                <w:lang w:val="mk-MK"/>
              </w:rPr>
              <w:t>(</w:t>
            </w:r>
            <w:r>
              <w:rPr>
                <w:rFonts w:ascii="Arial" w:hAnsi="Arial"/>
                <w:bCs/>
                <w:sz w:val="18"/>
                <w:lang w:val="en-US"/>
              </w:rPr>
              <w:t>Note</w:t>
            </w:r>
            <w:r w:rsidR="00815E65" w:rsidRPr="001E6526">
              <w:rPr>
                <w:rFonts w:ascii="Arial" w:hAnsi="Arial"/>
                <w:bCs/>
                <w:sz w:val="18"/>
                <w:lang w:val="mk-MK"/>
              </w:rPr>
              <w:t xml:space="preserve"> 1</w:t>
            </w:r>
            <w:r w:rsidR="00671CF8" w:rsidRPr="00CE3053">
              <w:rPr>
                <w:rFonts w:ascii="Arial" w:hAnsi="Arial"/>
                <w:bCs/>
                <w:sz w:val="18"/>
                <w:lang w:val="mk-MK"/>
              </w:rPr>
              <w:t>5</w:t>
            </w:r>
            <w:r w:rsidR="00815E65" w:rsidRPr="001E6526">
              <w:rPr>
                <w:rFonts w:ascii="Arial" w:hAnsi="Arial"/>
                <w:bCs/>
                <w:sz w:val="18"/>
                <w:lang w:val="mk-MK"/>
              </w:rPr>
              <w:t>)</w:t>
            </w:r>
          </w:p>
        </w:tc>
        <w:tc>
          <w:tcPr>
            <w:tcW w:w="1469" w:type="dxa"/>
            <w:shd w:val="clear" w:color="auto" w:fill="auto"/>
            <w:tcMar>
              <w:left w:w="58" w:type="dxa"/>
              <w:right w:w="58" w:type="dxa"/>
            </w:tcMar>
            <w:vAlign w:val="bottom"/>
          </w:tcPr>
          <w:p w14:paraId="160E0B1A"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c>
          <w:tcPr>
            <w:tcW w:w="1470" w:type="dxa"/>
            <w:shd w:val="clear" w:color="auto" w:fill="auto"/>
            <w:tcMar>
              <w:left w:w="58" w:type="dxa"/>
              <w:right w:w="58" w:type="dxa"/>
            </w:tcMar>
            <w:vAlign w:val="bottom"/>
          </w:tcPr>
          <w:p w14:paraId="33CCA7A8" w14:textId="1ED4074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r w:rsidR="003F08CD" w:rsidRPr="001E6526">
              <w:rPr>
                <w:rFonts w:ascii="Arial" w:hAnsi="Arial" w:cs="Arial"/>
                <w:color w:val="000000"/>
                <w:lang w:val="mk-MK"/>
              </w:rPr>
              <w:t>3,082</w:t>
            </w:r>
            <w:r w:rsidRPr="001E6526">
              <w:rPr>
                <w:rFonts w:ascii="Arial" w:hAnsi="Arial" w:cs="Arial"/>
                <w:color w:val="000000"/>
                <w:lang w:val="mk-MK"/>
              </w:rPr>
              <w:t>)</w:t>
            </w:r>
          </w:p>
        </w:tc>
        <w:tc>
          <w:tcPr>
            <w:tcW w:w="1561" w:type="dxa"/>
            <w:shd w:val="clear" w:color="auto" w:fill="auto"/>
            <w:tcMar>
              <w:left w:w="58" w:type="dxa"/>
              <w:right w:w="58" w:type="dxa"/>
            </w:tcMar>
            <w:vAlign w:val="bottom"/>
          </w:tcPr>
          <w:p w14:paraId="4D48AF3F"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c>
          <w:tcPr>
            <w:tcW w:w="1378" w:type="dxa"/>
            <w:shd w:val="clear" w:color="auto" w:fill="auto"/>
            <w:tcMar>
              <w:left w:w="58" w:type="dxa"/>
              <w:right w:w="58" w:type="dxa"/>
            </w:tcMar>
            <w:vAlign w:val="bottom"/>
          </w:tcPr>
          <w:p w14:paraId="7877EE35" w14:textId="18E8F99E"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r w:rsidR="003C2544" w:rsidRPr="001E6526">
              <w:rPr>
                <w:rFonts w:ascii="Arial" w:hAnsi="Arial" w:cs="Arial"/>
                <w:color w:val="000000"/>
                <w:lang w:val="mk-MK"/>
              </w:rPr>
              <w:t>3,082</w:t>
            </w:r>
            <w:r w:rsidRPr="001E6526">
              <w:rPr>
                <w:rFonts w:ascii="Arial" w:hAnsi="Arial" w:cs="Arial"/>
                <w:color w:val="000000"/>
                <w:lang w:val="mk-MK"/>
              </w:rPr>
              <w:t>)</w:t>
            </w:r>
          </w:p>
        </w:tc>
      </w:tr>
      <w:tr w:rsidR="00815E65" w:rsidRPr="001E6526" w14:paraId="7276E48E" w14:textId="77777777" w:rsidTr="00815E65">
        <w:trPr>
          <w:trHeight w:val="216"/>
        </w:trPr>
        <w:tc>
          <w:tcPr>
            <w:tcW w:w="2762" w:type="dxa"/>
            <w:shd w:val="clear" w:color="auto" w:fill="auto"/>
            <w:tcMar>
              <w:left w:w="58" w:type="dxa"/>
              <w:right w:w="58" w:type="dxa"/>
            </w:tcMar>
            <w:vAlign w:val="bottom"/>
          </w:tcPr>
          <w:p w14:paraId="3EECF602" w14:textId="34028022" w:rsidR="00815E65" w:rsidRPr="001E6526" w:rsidRDefault="001921A0" w:rsidP="00815E65">
            <w:pPr>
              <w:pStyle w:val="TableText"/>
              <w:spacing w:after="0"/>
              <w:rPr>
                <w:rFonts w:ascii="Arial" w:hAnsi="Arial"/>
                <w:bCs/>
                <w:sz w:val="18"/>
                <w:lang w:val="mk-MK"/>
              </w:rPr>
            </w:pPr>
            <w:proofErr w:type="spellStart"/>
            <w:r w:rsidRPr="001921A0">
              <w:rPr>
                <w:rFonts w:ascii="Arial" w:hAnsi="Arial"/>
                <w:bCs/>
                <w:sz w:val="18"/>
                <w:lang w:val="mk-MK"/>
              </w:rPr>
              <w:t>Transfer</w:t>
            </w:r>
            <w:proofErr w:type="spellEnd"/>
            <w:r w:rsidRPr="001921A0">
              <w:rPr>
                <w:rFonts w:ascii="Arial" w:hAnsi="Arial"/>
                <w:bCs/>
                <w:sz w:val="18"/>
                <w:lang w:val="mk-MK"/>
              </w:rPr>
              <w:t xml:space="preserve"> </w:t>
            </w:r>
            <w:proofErr w:type="spellStart"/>
            <w:r w:rsidRPr="001921A0">
              <w:rPr>
                <w:rFonts w:ascii="Arial" w:hAnsi="Arial"/>
                <w:bCs/>
                <w:sz w:val="18"/>
                <w:lang w:val="mk-MK"/>
              </w:rPr>
              <w:t>to</w:t>
            </w:r>
            <w:proofErr w:type="spellEnd"/>
            <w:r w:rsidRPr="001921A0">
              <w:rPr>
                <w:rFonts w:ascii="Arial" w:hAnsi="Arial"/>
                <w:bCs/>
                <w:sz w:val="18"/>
                <w:lang w:val="mk-MK"/>
              </w:rPr>
              <w:t xml:space="preserve"> </w:t>
            </w:r>
            <w:proofErr w:type="spellStart"/>
            <w:r w:rsidRPr="001921A0">
              <w:rPr>
                <w:rFonts w:ascii="Arial" w:hAnsi="Arial"/>
                <w:bCs/>
                <w:sz w:val="18"/>
                <w:lang w:val="mk-MK"/>
              </w:rPr>
              <w:t>Insurance</w:t>
            </w:r>
            <w:proofErr w:type="spellEnd"/>
            <w:r w:rsidRPr="001921A0">
              <w:rPr>
                <w:rFonts w:ascii="Arial" w:hAnsi="Arial"/>
                <w:bCs/>
                <w:sz w:val="18"/>
                <w:lang w:val="mk-MK"/>
              </w:rPr>
              <w:t xml:space="preserve"> </w:t>
            </w:r>
            <w:proofErr w:type="spellStart"/>
            <w:r w:rsidRPr="001921A0">
              <w:rPr>
                <w:rFonts w:ascii="Arial" w:hAnsi="Arial"/>
                <w:bCs/>
                <w:sz w:val="18"/>
                <w:lang w:val="mk-MK"/>
              </w:rPr>
              <w:t>fund</w:t>
            </w:r>
            <w:proofErr w:type="spellEnd"/>
            <w:r w:rsidRPr="001921A0">
              <w:rPr>
                <w:rFonts w:ascii="Arial" w:hAnsi="Arial"/>
                <w:bCs/>
                <w:sz w:val="18"/>
                <w:lang w:val="mk-MK"/>
              </w:rPr>
              <w:t xml:space="preserve"> </w:t>
            </w:r>
            <w:proofErr w:type="spellStart"/>
            <w:r w:rsidRPr="001921A0">
              <w:rPr>
                <w:rFonts w:ascii="Arial" w:hAnsi="Arial"/>
                <w:bCs/>
                <w:sz w:val="18"/>
                <w:lang w:val="mk-MK"/>
              </w:rPr>
              <w:t>from</w:t>
            </w:r>
            <w:proofErr w:type="spellEnd"/>
            <w:r w:rsidRPr="001921A0">
              <w:rPr>
                <w:rFonts w:ascii="Arial" w:hAnsi="Arial"/>
                <w:bCs/>
                <w:sz w:val="18"/>
                <w:lang w:val="mk-MK"/>
              </w:rPr>
              <w:t xml:space="preserve"> </w:t>
            </w:r>
            <w:proofErr w:type="spellStart"/>
            <w:r w:rsidRPr="001921A0">
              <w:rPr>
                <w:rFonts w:ascii="Arial" w:hAnsi="Arial"/>
                <w:bCs/>
                <w:sz w:val="18"/>
                <w:lang w:val="mk-MK"/>
              </w:rPr>
              <w:t>indemnification</w:t>
            </w:r>
            <w:proofErr w:type="spellEnd"/>
            <w:r w:rsidRPr="001921A0">
              <w:rPr>
                <w:rFonts w:ascii="Arial" w:hAnsi="Arial"/>
                <w:bCs/>
                <w:sz w:val="18"/>
                <w:lang w:val="mk-MK"/>
              </w:rPr>
              <w:t xml:space="preserve"> </w:t>
            </w:r>
            <w:proofErr w:type="spellStart"/>
            <w:r w:rsidRPr="001921A0">
              <w:rPr>
                <w:rFonts w:ascii="Arial" w:hAnsi="Arial"/>
                <w:bCs/>
                <w:sz w:val="18"/>
                <w:lang w:val="mk-MK"/>
              </w:rPr>
              <w:t>obligations</w:t>
            </w:r>
            <w:proofErr w:type="spellEnd"/>
          </w:p>
        </w:tc>
        <w:tc>
          <w:tcPr>
            <w:tcW w:w="1469" w:type="dxa"/>
            <w:shd w:val="clear" w:color="auto" w:fill="auto"/>
            <w:tcMar>
              <w:left w:w="58" w:type="dxa"/>
              <w:right w:w="58" w:type="dxa"/>
            </w:tcMar>
            <w:vAlign w:val="bottom"/>
          </w:tcPr>
          <w:p w14:paraId="23A68C96"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c>
          <w:tcPr>
            <w:tcW w:w="1470" w:type="dxa"/>
            <w:shd w:val="clear" w:color="auto" w:fill="auto"/>
            <w:tcMar>
              <w:left w:w="58" w:type="dxa"/>
              <w:right w:w="58" w:type="dxa"/>
            </w:tcMar>
            <w:vAlign w:val="bottom"/>
          </w:tcPr>
          <w:p w14:paraId="476C1282"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c>
          <w:tcPr>
            <w:tcW w:w="1561" w:type="dxa"/>
            <w:shd w:val="clear" w:color="auto" w:fill="auto"/>
            <w:tcMar>
              <w:left w:w="58" w:type="dxa"/>
              <w:right w:w="58" w:type="dxa"/>
            </w:tcMar>
            <w:vAlign w:val="bottom"/>
          </w:tcPr>
          <w:p w14:paraId="180EF206"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c>
          <w:tcPr>
            <w:tcW w:w="1378" w:type="dxa"/>
            <w:shd w:val="clear" w:color="auto" w:fill="auto"/>
            <w:tcMar>
              <w:left w:w="58" w:type="dxa"/>
              <w:right w:w="58" w:type="dxa"/>
            </w:tcMar>
            <w:vAlign w:val="bottom"/>
          </w:tcPr>
          <w:p w14:paraId="1067A022"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r>
      <w:tr w:rsidR="00815E65" w:rsidRPr="001E6526" w14:paraId="51F45856" w14:textId="77777777" w:rsidTr="00815E65">
        <w:trPr>
          <w:trHeight w:val="216"/>
        </w:trPr>
        <w:tc>
          <w:tcPr>
            <w:tcW w:w="2762" w:type="dxa"/>
            <w:tcBorders>
              <w:bottom w:val="single" w:sz="4" w:space="0" w:color="auto"/>
            </w:tcBorders>
            <w:shd w:val="clear" w:color="auto" w:fill="auto"/>
            <w:tcMar>
              <w:left w:w="58" w:type="dxa"/>
              <w:right w:w="58" w:type="dxa"/>
            </w:tcMar>
            <w:vAlign w:val="bottom"/>
          </w:tcPr>
          <w:p w14:paraId="562B223B" w14:textId="75259127" w:rsidR="00815E65" w:rsidRPr="00CE3053" w:rsidRDefault="001921A0" w:rsidP="00815E65">
            <w:pPr>
              <w:pStyle w:val="TableText"/>
              <w:spacing w:after="0"/>
              <w:rPr>
                <w:rFonts w:ascii="Arial" w:hAnsi="Arial"/>
                <w:bCs/>
                <w:sz w:val="18"/>
                <w:lang w:val="mk-MK"/>
              </w:rPr>
            </w:pPr>
            <w:proofErr w:type="spellStart"/>
            <w:r w:rsidRPr="001921A0">
              <w:rPr>
                <w:rFonts w:ascii="Arial" w:hAnsi="Arial"/>
                <w:bCs/>
                <w:sz w:val="18"/>
                <w:lang w:val="mk-MK"/>
              </w:rPr>
              <w:t>Transfer</w:t>
            </w:r>
            <w:proofErr w:type="spellEnd"/>
            <w:r w:rsidRPr="001921A0">
              <w:rPr>
                <w:rFonts w:ascii="Arial" w:hAnsi="Arial"/>
                <w:bCs/>
                <w:sz w:val="18"/>
                <w:lang w:val="mk-MK"/>
              </w:rPr>
              <w:t xml:space="preserve"> </w:t>
            </w:r>
            <w:proofErr w:type="spellStart"/>
            <w:r w:rsidRPr="001921A0">
              <w:rPr>
                <w:rFonts w:ascii="Arial" w:hAnsi="Arial"/>
                <w:bCs/>
                <w:sz w:val="18"/>
                <w:lang w:val="mk-MK"/>
              </w:rPr>
              <w:t>to</w:t>
            </w:r>
            <w:proofErr w:type="spellEnd"/>
            <w:r w:rsidRPr="001921A0">
              <w:rPr>
                <w:rFonts w:ascii="Arial" w:hAnsi="Arial"/>
                <w:bCs/>
                <w:sz w:val="18"/>
                <w:lang w:val="mk-MK"/>
              </w:rPr>
              <w:t xml:space="preserve"> </w:t>
            </w:r>
            <w:proofErr w:type="spellStart"/>
            <w:r w:rsidRPr="001921A0">
              <w:rPr>
                <w:rFonts w:ascii="Arial" w:hAnsi="Arial"/>
                <w:bCs/>
                <w:sz w:val="18"/>
                <w:lang w:val="mk-MK"/>
              </w:rPr>
              <w:t>Insurance</w:t>
            </w:r>
            <w:proofErr w:type="spellEnd"/>
            <w:r w:rsidRPr="001921A0">
              <w:rPr>
                <w:rFonts w:ascii="Arial" w:hAnsi="Arial"/>
                <w:bCs/>
                <w:sz w:val="18"/>
                <w:lang w:val="mk-MK"/>
              </w:rPr>
              <w:t xml:space="preserve"> </w:t>
            </w:r>
            <w:proofErr w:type="spellStart"/>
            <w:r w:rsidRPr="001921A0">
              <w:rPr>
                <w:rFonts w:ascii="Arial" w:hAnsi="Arial"/>
                <w:bCs/>
                <w:sz w:val="18"/>
                <w:lang w:val="mk-MK"/>
              </w:rPr>
              <w:t>fund</w:t>
            </w:r>
            <w:proofErr w:type="spellEnd"/>
          </w:p>
        </w:tc>
        <w:tc>
          <w:tcPr>
            <w:tcW w:w="1469" w:type="dxa"/>
            <w:tcBorders>
              <w:bottom w:val="single" w:sz="4" w:space="0" w:color="auto"/>
            </w:tcBorders>
            <w:shd w:val="clear" w:color="auto" w:fill="auto"/>
            <w:tcMar>
              <w:left w:w="58" w:type="dxa"/>
              <w:right w:w="58" w:type="dxa"/>
            </w:tcMar>
            <w:vAlign w:val="bottom"/>
          </w:tcPr>
          <w:p w14:paraId="4FCD1B02"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c>
          <w:tcPr>
            <w:tcW w:w="1470" w:type="dxa"/>
            <w:tcBorders>
              <w:bottom w:val="single" w:sz="4" w:space="0" w:color="auto"/>
            </w:tcBorders>
            <w:shd w:val="clear" w:color="auto" w:fill="auto"/>
            <w:tcMar>
              <w:left w:w="58" w:type="dxa"/>
              <w:right w:w="58" w:type="dxa"/>
            </w:tcMar>
            <w:vAlign w:val="bottom"/>
          </w:tcPr>
          <w:p w14:paraId="0A91F2F2" w14:textId="018F1E02" w:rsidR="00815E65" w:rsidRPr="001E6526" w:rsidRDefault="003F08CD" w:rsidP="00815E65">
            <w:pPr>
              <w:spacing w:after="0"/>
              <w:jc w:val="right"/>
              <w:rPr>
                <w:rFonts w:ascii="Arial" w:hAnsi="Arial" w:cs="Arial"/>
                <w:color w:val="000000"/>
                <w:lang w:val="mk-MK"/>
              </w:rPr>
            </w:pPr>
            <w:r w:rsidRPr="001E6526">
              <w:rPr>
                <w:rFonts w:ascii="Arial" w:hAnsi="Arial" w:cs="Arial"/>
                <w:color w:val="000000"/>
                <w:lang w:val="mk-MK"/>
              </w:rPr>
              <w:t>70,194</w:t>
            </w:r>
          </w:p>
        </w:tc>
        <w:tc>
          <w:tcPr>
            <w:tcW w:w="1561" w:type="dxa"/>
            <w:tcBorders>
              <w:bottom w:val="single" w:sz="4" w:space="0" w:color="auto"/>
            </w:tcBorders>
            <w:shd w:val="clear" w:color="auto" w:fill="auto"/>
            <w:tcMar>
              <w:left w:w="58" w:type="dxa"/>
              <w:right w:w="58" w:type="dxa"/>
            </w:tcMar>
            <w:vAlign w:val="bottom"/>
          </w:tcPr>
          <w:p w14:paraId="1C21F1E0" w14:textId="3D925848"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r w:rsidR="003F08CD" w:rsidRPr="001E6526">
              <w:rPr>
                <w:rFonts w:ascii="Arial" w:hAnsi="Arial" w:cs="Arial"/>
                <w:color w:val="000000"/>
                <w:lang w:val="mk-MK"/>
              </w:rPr>
              <w:t>70,194</w:t>
            </w:r>
            <w:r w:rsidRPr="001E6526">
              <w:rPr>
                <w:rFonts w:ascii="Arial" w:hAnsi="Arial" w:cs="Arial"/>
                <w:color w:val="000000"/>
                <w:lang w:val="mk-MK"/>
              </w:rPr>
              <w:t>)</w:t>
            </w:r>
          </w:p>
        </w:tc>
        <w:tc>
          <w:tcPr>
            <w:tcW w:w="1378" w:type="dxa"/>
            <w:tcBorders>
              <w:bottom w:val="single" w:sz="4" w:space="0" w:color="auto"/>
            </w:tcBorders>
            <w:shd w:val="clear" w:color="auto" w:fill="auto"/>
            <w:tcMar>
              <w:left w:w="58" w:type="dxa"/>
              <w:right w:w="58" w:type="dxa"/>
            </w:tcMar>
            <w:vAlign w:val="bottom"/>
          </w:tcPr>
          <w:p w14:paraId="5D48EE8C"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r>
      <w:tr w:rsidR="00815E65" w:rsidRPr="001E6526" w14:paraId="1D1F5FD7" w14:textId="77777777" w:rsidTr="00815E65">
        <w:trPr>
          <w:trHeight w:val="216"/>
        </w:trPr>
        <w:tc>
          <w:tcPr>
            <w:tcW w:w="2762" w:type="dxa"/>
            <w:shd w:val="clear" w:color="auto" w:fill="auto"/>
            <w:tcMar>
              <w:left w:w="58" w:type="dxa"/>
              <w:right w:w="58" w:type="dxa"/>
            </w:tcMar>
            <w:vAlign w:val="bottom"/>
          </w:tcPr>
          <w:p w14:paraId="25EDAF2A" w14:textId="65BE2EEB" w:rsidR="00815E65" w:rsidRPr="00CE3053" w:rsidRDefault="001921A0" w:rsidP="00815E65">
            <w:pPr>
              <w:pStyle w:val="TableText"/>
              <w:spacing w:after="0"/>
              <w:rPr>
                <w:rFonts w:ascii="Arial" w:hAnsi="Arial"/>
                <w:bCs/>
                <w:sz w:val="18"/>
                <w:lang w:val="mk-MK"/>
              </w:rPr>
            </w:pPr>
            <w:proofErr w:type="spellStart"/>
            <w:r w:rsidRPr="001921A0">
              <w:rPr>
                <w:rFonts w:ascii="Arial" w:hAnsi="Arial"/>
                <w:b/>
                <w:sz w:val="18"/>
                <w:lang w:val="mk-MK"/>
              </w:rPr>
              <w:t>Transactions</w:t>
            </w:r>
            <w:proofErr w:type="spellEnd"/>
            <w:r w:rsidRPr="001921A0">
              <w:rPr>
                <w:rFonts w:ascii="Arial" w:hAnsi="Arial"/>
                <w:b/>
                <w:sz w:val="18"/>
                <w:lang w:val="mk-MK"/>
              </w:rPr>
              <w:t xml:space="preserve"> </w:t>
            </w:r>
            <w:proofErr w:type="spellStart"/>
            <w:r w:rsidRPr="001921A0">
              <w:rPr>
                <w:rFonts w:ascii="Arial" w:hAnsi="Arial"/>
                <w:b/>
                <w:sz w:val="18"/>
                <w:lang w:val="mk-MK"/>
              </w:rPr>
              <w:t>with</w:t>
            </w:r>
            <w:proofErr w:type="spellEnd"/>
            <w:r w:rsidRPr="001921A0">
              <w:rPr>
                <w:rFonts w:ascii="Arial" w:hAnsi="Arial"/>
                <w:b/>
                <w:sz w:val="18"/>
                <w:lang w:val="mk-MK"/>
              </w:rPr>
              <w:t xml:space="preserve"> </w:t>
            </w:r>
            <w:proofErr w:type="spellStart"/>
            <w:r w:rsidRPr="001921A0">
              <w:rPr>
                <w:rFonts w:ascii="Arial" w:hAnsi="Arial"/>
                <w:b/>
                <w:sz w:val="18"/>
                <w:lang w:val="mk-MK"/>
              </w:rPr>
              <w:t>the</w:t>
            </w:r>
            <w:proofErr w:type="spellEnd"/>
            <w:r w:rsidRPr="001921A0">
              <w:rPr>
                <w:rFonts w:ascii="Arial" w:hAnsi="Arial"/>
                <w:b/>
                <w:sz w:val="18"/>
                <w:lang w:val="mk-MK"/>
              </w:rPr>
              <w:t xml:space="preserve"> </w:t>
            </w:r>
            <w:proofErr w:type="spellStart"/>
            <w:r w:rsidRPr="001921A0">
              <w:rPr>
                <w:rFonts w:ascii="Arial" w:hAnsi="Arial"/>
                <w:b/>
                <w:sz w:val="18"/>
                <w:lang w:val="mk-MK"/>
              </w:rPr>
              <w:t>Founder</w:t>
            </w:r>
            <w:proofErr w:type="spellEnd"/>
          </w:p>
        </w:tc>
        <w:tc>
          <w:tcPr>
            <w:tcW w:w="1469" w:type="dxa"/>
            <w:shd w:val="clear" w:color="auto" w:fill="auto"/>
            <w:tcMar>
              <w:left w:w="58" w:type="dxa"/>
              <w:right w:w="58" w:type="dxa"/>
            </w:tcMar>
            <w:vAlign w:val="bottom"/>
          </w:tcPr>
          <w:p w14:paraId="2A65A285" w14:textId="77777777" w:rsidR="00815E65" w:rsidRPr="001E6526" w:rsidRDefault="00815E65" w:rsidP="00815E65">
            <w:pPr>
              <w:spacing w:after="0"/>
              <w:jc w:val="right"/>
              <w:rPr>
                <w:rFonts w:ascii="Arial" w:hAnsi="Arial" w:cs="Arial"/>
                <w:b/>
                <w:bCs/>
                <w:color w:val="000000"/>
                <w:lang w:val="mk-MK"/>
              </w:rPr>
            </w:pPr>
            <w:r w:rsidRPr="001E6526">
              <w:rPr>
                <w:rFonts w:ascii="Arial" w:hAnsi="Arial" w:cs="Arial"/>
                <w:b/>
                <w:bCs/>
                <w:color w:val="000000"/>
                <w:lang w:val="mk-MK"/>
              </w:rPr>
              <w:t>10,300</w:t>
            </w:r>
          </w:p>
        </w:tc>
        <w:tc>
          <w:tcPr>
            <w:tcW w:w="1470" w:type="dxa"/>
            <w:shd w:val="clear" w:color="auto" w:fill="auto"/>
            <w:tcMar>
              <w:left w:w="58" w:type="dxa"/>
              <w:right w:w="58" w:type="dxa"/>
            </w:tcMar>
            <w:vAlign w:val="bottom"/>
          </w:tcPr>
          <w:p w14:paraId="18188E01" w14:textId="7975F926" w:rsidR="00815E65" w:rsidRPr="001E6526" w:rsidRDefault="00815E65" w:rsidP="00815E65">
            <w:pPr>
              <w:spacing w:after="0"/>
              <w:jc w:val="right"/>
              <w:rPr>
                <w:rFonts w:ascii="Arial" w:hAnsi="Arial" w:cs="Arial"/>
                <w:b/>
                <w:bCs/>
                <w:color w:val="000000"/>
                <w:lang w:val="mk-MK"/>
              </w:rPr>
            </w:pPr>
            <w:r w:rsidRPr="001E6526">
              <w:rPr>
                <w:rFonts w:ascii="Arial" w:hAnsi="Arial" w:cs="Arial"/>
                <w:b/>
                <w:bCs/>
                <w:color w:val="000000"/>
                <w:lang w:val="mk-MK"/>
              </w:rPr>
              <w:t>1</w:t>
            </w:r>
            <w:r w:rsidR="005609B1" w:rsidRPr="001E6526">
              <w:rPr>
                <w:rFonts w:ascii="Arial" w:hAnsi="Arial" w:cs="Arial"/>
                <w:b/>
                <w:bCs/>
                <w:color w:val="000000"/>
                <w:lang w:val="mk-MK"/>
              </w:rPr>
              <w:t>4</w:t>
            </w:r>
            <w:r w:rsidRPr="001E6526">
              <w:rPr>
                <w:rFonts w:ascii="Arial" w:hAnsi="Arial" w:cs="Arial"/>
                <w:b/>
                <w:bCs/>
                <w:color w:val="000000"/>
                <w:lang w:val="mk-MK"/>
              </w:rPr>
              <w:t>,</w:t>
            </w:r>
            <w:r w:rsidR="005609B1" w:rsidRPr="001E6526">
              <w:rPr>
                <w:rFonts w:ascii="Arial" w:hAnsi="Arial" w:cs="Arial"/>
                <w:b/>
                <w:bCs/>
                <w:color w:val="000000"/>
                <w:lang w:val="mk-MK"/>
              </w:rPr>
              <w:t>768</w:t>
            </w:r>
            <w:r w:rsidRPr="001E6526">
              <w:rPr>
                <w:rFonts w:ascii="Arial" w:hAnsi="Arial" w:cs="Arial"/>
                <w:b/>
                <w:bCs/>
                <w:color w:val="000000"/>
                <w:lang w:val="mk-MK"/>
              </w:rPr>
              <w:t>,</w:t>
            </w:r>
            <w:r w:rsidR="005609B1" w:rsidRPr="001E6526">
              <w:rPr>
                <w:rFonts w:ascii="Arial" w:hAnsi="Arial" w:cs="Arial"/>
                <w:b/>
                <w:bCs/>
                <w:color w:val="000000"/>
                <w:lang w:val="mk-MK"/>
              </w:rPr>
              <w:t>533</w:t>
            </w:r>
          </w:p>
        </w:tc>
        <w:tc>
          <w:tcPr>
            <w:tcW w:w="1561" w:type="dxa"/>
            <w:shd w:val="clear" w:color="auto" w:fill="auto"/>
            <w:tcMar>
              <w:left w:w="58" w:type="dxa"/>
              <w:right w:w="58" w:type="dxa"/>
            </w:tcMar>
            <w:vAlign w:val="bottom"/>
          </w:tcPr>
          <w:p w14:paraId="010C6CFF" w14:textId="77777777" w:rsidR="00815E65" w:rsidRPr="001E6526" w:rsidRDefault="00815E65" w:rsidP="00815E65">
            <w:pPr>
              <w:spacing w:after="0"/>
              <w:jc w:val="right"/>
              <w:rPr>
                <w:rFonts w:ascii="Arial" w:hAnsi="Arial" w:cs="Arial"/>
                <w:b/>
                <w:bCs/>
                <w:color w:val="000000"/>
                <w:lang w:val="mk-MK"/>
              </w:rPr>
            </w:pPr>
            <w:r w:rsidRPr="001E6526">
              <w:rPr>
                <w:rFonts w:ascii="Arial" w:hAnsi="Arial" w:cs="Arial"/>
                <w:b/>
                <w:bCs/>
                <w:color w:val="000000"/>
                <w:lang w:val="mk-MK"/>
              </w:rPr>
              <w:t>-</w:t>
            </w:r>
          </w:p>
        </w:tc>
        <w:tc>
          <w:tcPr>
            <w:tcW w:w="1378" w:type="dxa"/>
            <w:shd w:val="clear" w:color="auto" w:fill="auto"/>
            <w:tcMar>
              <w:left w:w="58" w:type="dxa"/>
              <w:right w:w="58" w:type="dxa"/>
            </w:tcMar>
            <w:vAlign w:val="bottom"/>
          </w:tcPr>
          <w:p w14:paraId="54BE21B1" w14:textId="417BC49F" w:rsidR="00815E65" w:rsidRPr="001E6526" w:rsidRDefault="003C2544" w:rsidP="00815E65">
            <w:pPr>
              <w:spacing w:after="0"/>
              <w:jc w:val="right"/>
              <w:rPr>
                <w:rFonts w:ascii="Arial" w:hAnsi="Arial" w:cs="Arial"/>
                <w:b/>
                <w:bCs/>
                <w:color w:val="000000"/>
                <w:lang w:val="mk-MK"/>
              </w:rPr>
            </w:pPr>
            <w:r w:rsidRPr="001E6526">
              <w:rPr>
                <w:rFonts w:ascii="Arial" w:hAnsi="Arial" w:cs="Arial"/>
                <w:b/>
                <w:bCs/>
                <w:color w:val="000000"/>
                <w:lang w:val="mk-MK"/>
              </w:rPr>
              <w:t>14,778,833</w:t>
            </w:r>
          </w:p>
        </w:tc>
      </w:tr>
      <w:tr w:rsidR="00815E65" w:rsidRPr="001E6526" w14:paraId="274D6303" w14:textId="77777777" w:rsidTr="00815E65">
        <w:trPr>
          <w:trHeight w:val="216"/>
        </w:trPr>
        <w:tc>
          <w:tcPr>
            <w:tcW w:w="2762" w:type="dxa"/>
            <w:shd w:val="clear" w:color="auto" w:fill="auto"/>
            <w:tcMar>
              <w:left w:w="58" w:type="dxa"/>
              <w:right w:w="58" w:type="dxa"/>
            </w:tcMar>
            <w:vAlign w:val="bottom"/>
          </w:tcPr>
          <w:p w14:paraId="57AC868F" w14:textId="70177873" w:rsidR="00815E65" w:rsidRPr="00CE3053" w:rsidRDefault="001921A0" w:rsidP="00815E65">
            <w:pPr>
              <w:pStyle w:val="TableText"/>
              <w:spacing w:after="0"/>
              <w:rPr>
                <w:rFonts w:ascii="Arial" w:hAnsi="Arial"/>
                <w:bCs/>
                <w:sz w:val="18"/>
                <w:lang w:val="mk-MK"/>
              </w:rPr>
            </w:pPr>
            <w:proofErr w:type="spellStart"/>
            <w:r w:rsidRPr="001921A0">
              <w:rPr>
                <w:rFonts w:ascii="Arial" w:hAnsi="Arial"/>
                <w:bCs/>
                <w:sz w:val="18"/>
                <w:lang w:val="mk-MK"/>
              </w:rPr>
              <w:t>Profit</w:t>
            </w:r>
            <w:proofErr w:type="spellEnd"/>
            <w:r w:rsidRPr="001921A0">
              <w:rPr>
                <w:rFonts w:ascii="Arial" w:hAnsi="Arial"/>
                <w:bCs/>
                <w:sz w:val="18"/>
                <w:lang w:val="mk-MK"/>
              </w:rPr>
              <w:t xml:space="preserve"> </w:t>
            </w:r>
            <w:proofErr w:type="spellStart"/>
            <w:r w:rsidRPr="001921A0">
              <w:rPr>
                <w:rFonts w:ascii="Arial" w:hAnsi="Arial"/>
                <w:bCs/>
                <w:sz w:val="18"/>
                <w:lang w:val="mk-MK"/>
              </w:rPr>
              <w:t>for</w:t>
            </w:r>
            <w:proofErr w:type="spellEnd"/>
            <w:r w:rsidRPr="001921A0">
              <w:rPr>
                <w:rFonts w:ascii="Arial" w:hAnsi="Arial"/>
                <w:bCs/>
                <w:sz w:val="18"/>
                <w:lang w:val="mk-MK"/>
              </w:rPr>
              <w:t xml:space="preserve"> </w:t>
            </w:r>
            <w:proofErr w:type="spellStart"/>
            <w:r w:rsidRPr="001921A0">
              <w:rPr>
                <w:rFonts w:ascii="Arial" w:hAnsi="Arial"/>
                <w:bCs/>
                <w:sz w:val="18"/>
                <w:lang w:val="mk-MK"/>
              </w:rPr>
              <w:t>the</w:t>
            </w:r>
            <w:proofErr w:type="spellEnd"/>
            <w:r w:rsidRPr="001921A0">
              <w:rPr>
                <w:rFonts w:ascii="Arial" w:hAnsi="Arial"/>
                <w:bCs/>
                <w:sz w:val="18"/>
                <w:lang w:val="mk-MK"/>
              </w:rPr>
              <w:t xml:space="preserve"> </w:t>
            </w:r>
            <w:proofErr w:type="spellStart"/>
            <w:r w:rsidRPr="001921A0">
              <w:rPr>
                <w:rFonts w:ascii="Arial" w:hAnsi="Arial"/>
                <w:bCs/>
                <w:sz w:val="18"/>
                <w:lang w:val="mk-MK"/>
              </w:rPr>
              <w:t>year</w:t>
            </w:r>
            <w:proofErr w:type="spellEnd"/>
          </w:p>
        </w:tc>
        <w:tc>
          <w:tcPr>
            <w:tcW w:w="1469" w:type="dxa"/>
            <w:shd w:val="clear" w:color="auto" w:fill="auto"/>
            <w:tcMar>
              <w:left w:w="58" w:type="dxa"/>
              <w:right w:w="58" w:type="dxa"/>
            </w:tcMar>
            <w:vAlign w:val="bottom"/>
          </w:tcPr>
          <w:p w14:paraId="10B2F26B"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c>
          <w:tcPr>
            <w:tcW w:w="1470" w:type="dxa"/>
            <w:shd w:val="clear" w:color="auto" w:fill="auto"/>
            <w:tcMar>
              <w:left w:w="58" w:type="dxa"/>
              <w:right w:w="58" w:type="dxa"/>
            </w:tcMar>
            <w:vAlign w:val="bottom"/>
          </w:tcPr>
          <w:p w14:paraId="3C0ABDE0"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c>
          <w:tcPr>
            <w:tcW w:w="1561" w:type="dxa"/>
            <w:shd w:val="clear" w:color="auto" w:fill="auto"/>
            <w:tcMar>
              <w:left w:w="58" w:type="dxa"/>
              <w:right w:w="58" w:type="dxa"/>
            </w:tcMar>
            <w:vAlign w:val="bottom"/>
          </w:tcPr>
          <w:p w14:paraId="03230D66" w14:textId="5B3D1C02" w:rsidR="00815E65" w:rsidRPr="001E6526" w:rsidRDefault="008D520F" w:rsidP="00815E65">
            <w:pPr>
              <w:spacing w:after="0"/>
              <w:jc w:val="right"/>
              <w:rPr>
                <w:rFonts w:ascii="Arial" w:hAnsi="Arial" w:cs="Arial"/>
                <w:color w:val="000000"/>
                <w:lang w:val="mk-MK"/>
              </w:rPr>
            </w:pPr>
            <w:r w:rsidRPr="001E6526">
              <w:rPr>
                <w:rFonts w:ascii="Arial" w:hAnsi="Arial" w:cs="Arial"/>
                <w:color w:val="000000"/>
                <w:lang w:val="mk-MK"/>
              </w:rPr>
              <w:t>42,250</w:t>
            </w:r>
          </w:p>
        </w:tc>
        <w:tc>
          <w:tcPr>
            <w:tcW w:w="1378" w:type="dxa"/>
            <w:shd w:val="clear" w:color="auto" w:fill="auto"/>
            <w:tcMar>
              <w:left w:w="58" w:type="dxa"/>
              <w:right w:w="58" w:type="dxa"/>
            </w:tcMar>
            <w:vAlign w:val="bottom"/>
          </w:tcPr>
          <w:p w14:paraId="72C5BF6B" w14:textId="56A1683B" w:rsidR="00815E65" w:rsidRPr="001E6526" w:rsidRDefault="008D520F" w:rsidP="00815E65">
            <w:pPr>
              <w:spacing w:after="0"/>
              <w:jc w:val="right"/>
              <w:rPr>
                <w:rFonts w:ascii="Arial" w:hAnsi="Arial" w:cs="Arial"/>
                <w:color w:val="000000"/>
                <w:lang w:val="mk-MK"/>
              </w:rPr>
            </w:pPr>
            <w:r w:rsidRPr="001E6526">
              <w:rPr>
                <w:rFonts w:ascii="Arial" w:hAnsi="Arial" w:cs="Arial"/>
                <w:color w:val="000000"/>
                <w:lang w:val="mk-MK"/>
              </w:rPr>
              <w:t>42,250</w:t>
            </w:r>
          </w:p>
        </w:tc>
      </w:tr>
      <w:tr w:rsidR="00815E65" w:rsidRPr="001E6526" w14:paraId="224AB299" w14:textId="77777777" w:rsidTr="00815E65">
        <w:trPr>
          <w:trHeight w:val="216"/>
        </w:trPr>
        <w:tc>
          <w:tcPr>
            <w:tcW w:w="2762" w:type="dxa"/>
            <w:tcBorders>
              <w:bottom w:val="single" w:sz="4" w:space="0" w:color="auto"/>
            </w:tcBorders>
            <w:shd w:val="clear" w:color="auto" w:fill="auto"/>
            <w:tcMar>
              <w:left w:w="58" w:type="dxa"/>
              <w:right w:w="58" w:type="dxa"/>
            </w:tcMar>
            <w:vAlign w:val="bottom"/>
          </w:tcPr>
          <w:p w14:paraId="5EDC2D4D" w14:textId="3D663B11" w:rsidR="00815E65" w:rsidRPr="00CE3053" w:rsidRDefault="001921A0" w:rsidP="00815E65">
            <w:pPr>
              <w:pStyle w:val="TableText"/>
              <w:spacing w:after="0"/>
              <w:rPr>
                <w:rFonts w:ascii="Arial" w:hAnsi="Arial"/>
                <w:bCs/>
                <w:sz w:val="18"/>
                <w:lang w:val="mk-MK"/>
              </w:rPr>
            </w:pPr>
            <w:proofErr w:type="spellStart"/>
            <w:r w:rsidRPr="001921A0">
              <w:rPr>
                <w:rFonts w:ascii="Arial" w:hAnsi="Arial"/>
                <w:bCs/>
                <w:sz w:val="18"/>
                <w:lang w:val="mk-MK"/>
              </w:rPr>
              <w:t>Other</w:t>
            </w:r>
            <w:proofErr w:type="spellEnd"/>
            <w:r w:rsidRPr="001921A0">
              <w:rPr>
                <w:rFonts w:ascii="Arial" w:hAnsi="Arial"/>
                <w:bCs/>
                <w:sz w:val="18"/>
                <w:lang w:val="mk-MK"/>
              </w:rPr>
              <w:t xml:space="preserve"> </w:t>
            </w:r>
            <w:proofErr w:type="spellStart"/>
            <w:r w:rsidRPr="001921A0">
              <w:rPr>
                <w:rFonts w:ascii="Arial" w:hAnsi="Arial"/>
                <w:bCs/>
                <w:sz w:val="18"/>
                <w:lang w:val="mk-MK"/>
              </w:rPr>
              <w:t>comprehensive</w:t>
            </w:r>
            <w:proofErr w:type="spellEnd"/>
            <w:r w:rsidRPr="001921A0">
              <w:rPr>
                <w:rFonts w:ascii="Arial" w:hAnsi="Arial"/>
                <w:bCs/>
                <w:sz w:val="18"/>
                <w:lang w:val="mk-MK"/>
              </w:rPr>
              <w:t xml:space="preserve"> </w:t>
            </w:r>
            <w:proofErr w:type="spellStart"/>
            <w:r w:rsidRPr="001921A0">
              <w:rPr>
                <w:rFonts w:ascii="Arial" w:hAnsi="Arial"/>
                <w:bCs/>
                <w:sz w:val="18"/>
                <w:lang w:val="mk-MK"/>
              </w:rPr>
              <w:t>income</w:t>
            </w:r>
            <w:proofErr w:type="spellEnd"/>
          </w:p>
        </w:tc>
        <w:tc>
          <w:tcPr>
            <w:tcW w:w="1469" w:type="dxa"/>
            <w:tcBorders>
              <w:bottom w:val="single" w:sz="4" w:space="0" w:color="auto"/>
            </w:tcBorders>
            <w:shd w:val="clear" w:color="auto" w:fill="auto"/>
            <w:tcMar>
              <w:left w:w="58" w:type="dxa"/>
              <w:right w:w="58" w:type="dxa"/>
            </w:tcMar>
            <w:vAlign w:val="bottom"/>
          </w:tcPr>
          <w:p w14:paraId="3FC2BA31"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c>
          <w:tcPr>
            <w:tcW w:w="1470" w:type="dxa"/>
            <w:tcBorders>
              <w:bottom w:val="single" w:sz="4" w:space="0" w:color="auto"/>
            </w:tcBorders>
            <w:shd w:val="clear" w:color="auto" w:fill="auto"/>
            <w:tcMar>
              <w:left w:w="58" w:type="dxa"/>
              <w:right w:w="58" w:type="dxa"/>
            </w:tcMar>
            <w:vAlign w:val="bottom"/>
          </w:tcPr>
          <w:p w14:paraId="2C6DADC3"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c>
          <w:tcPr>
            <w:tcW w:w="1561" w:type="dxa"/>
            <w:tcBorders>
              <w:bottom w:val="single" w:sz="4" w:space="0" w:color="auto"/>
            </w:tcBorders>
            <w:shd w:val="clear" w:color="auto" w:fill="auto"/>
            <w:tcMar>
              <w:left w:w="58" w:type="dxa"/>
              <w:right w:w="58" w:type="dxa"/>
            </w:tcMar>
            <w:vAlign w:val="bottom"/>
          </w:tcPr>
          <w:p w14:paraId="06AFE204"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c>
          <w:tcPr>
            <w:tcW w:w="1378" w:type="dxa"/>
            <w:tcBorders>
              <w:bottom w:val="single" w:sz="4" w:space="0" w:color="auto"/>
            </w:tcBorders>
            <w:shd w:val="clear" w:color="auto" w:fill="auto"/>
            <w:tcMar>
              <w:left w:w="58" w:type="dxa"/>
              <w:right w:w="58" w:type="dxa"/>
            </w:tcMar>
            <w:vAlign w:val="bottom"/>
          </w:tcPr>
          <w:p w14:paraId="247E7491" w14:textId="77777777" w:rsidR="00815E65" w:rsidRPr="001E6526" w:rsidRDefault="00815E65" w:rsidP="00815E65">
            <w:pPr>
              <w:spacing w:after="0"/>
              <w:jc w:val="right"/>
              <w:rPr>
                <w:rFonts w:ascii="Arial" w:hAnsi="Arial" w:cs="Arial"/>
                <w:color w:val="000000"/>
                <w:lang w:val="mk-MK"/>
              </w:rPr>
            </w:pPr>
            <w:r w:rsidRPr="001E6526">
              <w:rPr>
                <w:rFonts w:ascii="Arial" w:hAnsi="Arial" w:cs="Arial"/>
                <w:color w:val="000000"/>
                <w:lang w:val="mk-MK"/>
              </w:rPr>
              <w:t>-</w:t>
            </w:r>
          </w:p>
        </w:tc>
      </w:tr>
      <w:tr w:rsidR="00815E65" w:rsidRPr="001E6526" w14:paraId="4C3700EF" w14:textId="77777777" w:rsidTr="00815E65">
        <w:trPr>
          <w:trHeight w:val="216"/>
        </w:trPr>
        <w:tc>
          <w:tcPr>
            <w:tcW w:w="2762" w:type="dxa"/>
            <w:tcBorders>
              <w:top w:val="single" w:sz="4" w:space="0" w:color="auto"/>
              <w:bottom w:val="single" w:sz="4" w:space="0" w:color="auto"/>
            </w:tcBorders>
            <w:shd w:val="clear" w:color="auto" w:fill="auto"/>
            <w:tcMar>
              <w:left w:w="58" w:type="dxa"/>
              <w:right w:w="58" w:type="dxa"/>
            </w:tcMar>
            <w:vAlign w:val="bottom"/>
          </w:tcPr>
          <w:p w14:paraId="26B25BD8" w14:textId="12BF1FFD" w:rsidR="00815E65" w:rsidRPr="00CE3053" w:rsidRDefault="001921A0" w:rsidP="00815E65">
            <w:pPr>
              <w:pStyle w:val="TableText"/>
              <w:spacing w:after="0"/>
              <w:rPr>
                <w:rFonts w:ascii="Arial" w:hAnsi="Arial"/>
                <w:bCs/>
                <w:sz w:val="18"/>
                <w:lang w:val="mk-MK"/>
              </w:rPr>
            </w:pPr>
            <w:proofErr w:type="spellStart"/>
            <w:r w:rsidRPr="001921A0">
              <w:rPr>
                <w:rFonts w:ascii="Arial" w:hAnsi="Arial"/>
                <w:b/>
                <w:sz w:val="18"/>
                <w:lang w:val="mk-MK"/>
              </w:rPr>
              <w:t>Total</w:t>
            </w:r>
            <w:proofErr w:type="spellEnd"/>
            <w:r w:rsidRPr="001921A0">
              <w:rPr>
                <w:rFonts w:ascii="Arial" w:hAnsi="Arial"/>
                <w:b/>
                <w:sz w:val="18"/>
                <w:lang w:val="mk-MK"/>
              </w:rPr>
              <w:t xml:space="preserve"> </w:t>
            </w:r>
            <w:proofErr w:type="spellStart"/>
            <w:r w:rsidRPr="001921A0">
              <w:rPr>
                <w:rFonts w:ascii="Arial" w:hAnsi="Arial"/>
                <w:b/>
                <w:sz w:val="18"/>
                <w:lang w:val="mk-MK"/>
              </w:rPr>
              <w:t>comprehensive</w:t>
            </w:r>
            <w:proofErr w:type="spellEnd"/>
            <w:r w:rsidRPr="001921A0">
              <w:rPr>
                <w:rFonts w:ascii="Arial" w:hAnsi="Arial"/>
                <w:b/>
                <w:sz w:val="18"/>
                <w:lang w:val="mk-MK"/>
              </w:rPr>
              <w:t xml:space="preserve"> </w:t>
            </w:r>
            <w:proofErr w:type="spellStart"/>
            <w:r w:rsidRPr="001921A0">
              <w:rPr>
                <w:rFonts w:ascii="Arial" w:hAnsi="Arial"/>
                <w:b/>
                <w:sz w:val="18"/>
                <w:lang w:val="mk-MK"/>
              </w:rPr>
              <w:t>income</w:t>
            </w:r>
            <w:proofErr w:type="spellEnd"/>
          </w:p>
        </w:tc>
        <w:tc>
          <w:tcPr>
            <w:tcW w:w="1469" w:type="dxa"/>
            <w:tcBorders>
              <w:top w:val="single" w:sz="4" w:space="0" w:color="auto"/>
              <w:bottom w:val="single" w:sz="4" w:space="0" w:color="auto"/>
            </w:tcBorders>
            <w:shd w:val="clear" w:color="auto" w:fill="auto"/>
            <w:tcMar>
              <w:left w:w="58" w:type="dxa"/>
              <w:right w:w="58" w:type="dxa"/>
            </w:tcMar>
            <w:vAlign w:val="bottom"/>
          </w:tcPr>
          <w:p w14:paraId="237A3327" w14:textId="77777777" w:rsidR="00815E65" w:rsidRPr="001E6526" w:rsidRDefault="00815E65" w:rsidP="00815E65">
            <w:pPr>
              <w:spacing w:after="0"/>
              <w:jc w:val="right"/>
              <w:rPr>
                <w:rFonts w:ascii="Arial" w:hAnsi="Arial" w:cs="Arial"/>
                <w:b/>
                <w:bCs/>
                <w:color w:val="000000"/>
                <w:lang w:val="mk-MK"/>
              </w:rPr>
            </w:pPr>
            <w:r w:rsidRPr="001E6526">
              <w:rPr>
                <w:rFonts w:ascii="Arial" w:hAnsi="Arial" w:cs="Arial"/>
                <w:b/>
                <w:bCs/>
                <w:color w:val="000000"/>
                <w:lang w:val="mk-MK"/>
              </w:rPr>
              <w:t>-</w:t>
            </w:r>
          </w:p>
        </w:tc>
        <w:tc>
          <w:tcPr>
            <w:tcW w:w="1470" w:type="dxa"/>
            <w:tcBorders>
              <w:top w:val="single" w:sz="4" w:space="0" w:color="auto"/>
              <w:bottom w:val="single" w:sz="4" w:space="0" w:color="auto"/>
            </w:tcBorders>
            <w:shd w:val="clear" w:color="auto" w:fill="auto"/>
            <w:tcMar>
              <w:left w:w="58" w:type="dxa"/>
              <w:right w:w="58" w:type="dxa"/>
            </w:tcMar>
            <w:vAlign w:val="bottom"/>
          </w:tcPr>
          <w:p w14:paraId="22093629" w14:textId="77777777" w:rsidR="00815E65" w:rsidRPr="001E6526" w:rsidRDefault="00815E65" w:rsidP="00815E65">
            <w:pPr>
              <w:spacing w:after="0"/>
              <w:jc w:val="right"/>
              <w:rPr>
                <w:rFonts w:ascii="Arial" w:hAnsi="Arial" w:cs="Arial"/>
                <w:b/>
                <w:bCs/>
                <w:color w:val="000000"/>
                <w:lang w:val="mk-MK"/>
              </w:rPr>
            </w:pPr>
            <w:r w:rsidRPr="001E6526">
              <w:rPr>
                <w:rFonts w:ascii="Arial" w:hAnsi="Arial" w:cs="Arial"/>
                <w:b/>
                <w:bCs/>
                <w:color w:val="000000"/>
                <w:lang w:val="mk-MK"/>
              </w:rPr>
              <w:t>-</w:t>
            </w:r>
          </w:p>
        </w:tc>
        <w:tc>
          <w:tcPr>
            <w:tcW w:w="1561" w:type="dxa"/>
            <w:tcBorders>
              <w:top w:val="single" w:sz="4" w:space="0" w:color="auto"/>
              <w:bottom w:val="single" w:sz="4" w:space="0" w:color="auto"/>
            </w:tcBorders>
            <w:shd w:val="clear" w:color="auto" w:fill="auto"/>
            <w:tcMar>
              <w:left w:w="58" w:type="dxa"/>
              <w:right w:w="58" w:type="dxa"/>
            </w:tcMar>
            <w:vAlign w:val="bottom"/>
          </w:tcPr>
          <w:p w14:paraId="566F9850" w14:textId="77777777" w:rsidR="00815E65" w:rsidRPr="001E6526" w:rsidRDefault="00815E65" w:rsidP="00815E65">
            <w:pPr>
              <w:spacing w:after="0"/>
              <w:jc w:val="right"/>
              <w:rPr>
                <w:rFonts w:ascii="Arial" w:hAnsi="Arial" w:cs="Arial"/>
                <w:b/>
                <w:bCs/>
                <w:color w:val="000000"/>
                <w:lang w:val="mk-MK"/>
              </w:rPr>
            </w:pPr>
            <w:r w:rsidRPr="001E6526">
              <w:rPr>
                <w:rFonts w:ascii="Arial" w:hAnsi="Arial" w:cs="Arial"/>
                <w:b/>
                <w:bCs/>
                <w:color w:val="000000"/>
                <w:lang w:val="mk-MK"/>
              </w:rPr>
              <w:t>-</w:t>
            </w:r>
          </w:p>
        </w:tc>
        <w:tc>
          <w:tcPr>
            <w:tcW w:w="1378" w:type="dxa"/>
            <w:tcBorders>
              <w:top w:val="single" w:sz="4" w:space="0" w:color="auto"/>
              <w:bottom w:val="single" w:sz="4" w:space="0" w:color="auto"/>
            </w:tcBorders>
            <w:shd w:val="clear" w:color="auto" w:fill="auto"/>
            <w:tcMar>
              <w:left w:w="58" w:type="dxa"/>
              <w:right w:w="58" w:type="dxa"/>
            </w:tcMar>
            <w:vAlign w:val="bottom"/>
          </w:tcPr>
          <w:p w14:paraId="1233119A" w14:textId="77777777" w:rsidR="00815E65" w:rsidRPr="001E6526" w:rsidRDefault="00815E65" w:rsidP="00815E65">
            <w:pPr>
              <w:spacing w:after="0"/>
              <w:jc w:val="right"/>
              <w:rPr>
                <w:rFonts w:ascii="Arial" w:hAnsi="Arial" w:cs="Arial"/>
                <w:b/>
                <w:bCs/>
                <w:color w:val="000000"/>
                <w:lang w:val="mk-MK"/>
              </w:rPr>
            </w:pPr>
            <w:r w:rsidRPr="001E6526">
              <w:rPr>
                <w:rFonts w:ascii="Arial" w:hAnsi="Arial" w:cs="Arial"/>
                <w:b/>
                <w:bCs/>
                <w:color w:val="000000"/>
                <w:lang w:val="mk-MK"/>
              </w:rPr>
              <w:t>-</w:t>
            </w:r>
          </w:p>
        </w:tc>
      </w:tr>
      <w:tr w:rsidR="00815E65" w:rsidRPr="001E6526" w14:paraId="1A73C055" w14:textId="77777777" w:rsidTr="00815E65">
        <w:trPr>
          <w:trHeight w:val="216"/>
        </w:trPr>
        <w:tc>
          <w:tcPr>
            <w:tcW w:w="2762" w:type="dxa"/>
            <w:tcBorders>
              <w:top w:val="single" w:sz="4" w:space="0" w:color="auto"/>
              <w:bottom w:val="double" w:sz="4" w:space="0" w:color="auto"/>
            </w:tcBorders>
            <w:shd w:val="clear" w:color="auto" w:fill="auto"/>
            <w:tcMar>
              <w:left w:w="58" w:type="dxa"/>
              <w:right w:w="58" w:type="dxa"/>
            </w:tcMar>
            <w:vAlign w:val="bottom"/>
          </w:tcPr>
          <w:p w14:paraId="752BAF4E" w14:textId="6EC01420" w:rsidR="00815E65" w:rsidRPr="00CE3053" w:rsidRDefault="001921A0" w:rsidP="00815E65">
            <w:pPr>
              <w:pStyle w:val="TableText"/>
              <w:spacing w:after="0"/>
              <w:rPr>
                <w:rFonts w:ascii="Arial" w:hAnsi="Arial"/>
                <w:b/>
                <w:sz w:val="18"/>
                <w:lang w:val="mk-MK"/>
              </w:rPr>
            </w:pPr>
            <w:r>
              <w:rPr>
                <w:rFonts w:ascii="Arial" w:hAnsi="Arial"/>
                <w:b/>
                <w:sz w:val="18"/>
                <w:lang w:val="en-US"/>
              </w:rPr>
              <w:t>At</w:t>
            </w:r>
            <w:r w:rsidR="00815E65" w:rsidRPr="00CE3053">
              <w:rPr>
                <w:rFonts w:ascii="Arial" w:hAnsi="Arial"/>
                <w:b/>
                <w:sz w:val="18"/>
                <w:lang w:val="mk-MK"/>
              </w:rPr>
              <w:t xml:space="preserve"> 31 </w:t>
            </w:r>
            <w:r>
              <w:rPr>
                <w:rFonts w:ascii="Arial" w:hAnsi="Arial"/>
                <w:b/>
                <w:sz w:val="18"/>
                <w:lang w:val="en-US"/>
              </w:rPr>
              <w:t>December</w:t>
            </w:r>
            <w:r w:rsidR="00815E65" w:rsidRPr="00CE3053">
              <w:rPr>
                <w:rFonts w:ascii="Arial" w:hAnsi="Arial"/>
                <w:b/>
                <w:sz w:val="18"/>
                <w:lang w:val="mk-MK"/>
              </w:rPr>
              <w:t xml:space="preserve"> 202</w:t>
            </w:r>
            <w:r w:rsidR="003C2544" w:rsidRPr="001E6526">
              <w:rPr>
                <w:rFonts w:ascii="Arial" w:hAnsi="Arial"/>
                <w:b/>
                <w:sz w:val="18"/>
                <w:lang w:val="mk-MK"/>
              </w:rPr>
              <w:t>1</w:t>
            </w:r>
          </w:p>
        </w:tc>
        <w:tc>
          <w:tcPr>
            <w:tcW w:w="1469" w:type="dxa"/>
            <w:tcBorders>
              <w:top w:val="single" w:sz="4" w:space="0" w:color="auto"/>
              <w:bottom w:val="double" w:sz="4" w:space="0" w:color="auto"/>
            </w:tcBorders>
            <w:shd w:val="clear" w:color="auto" w:fill="auto"/>
            <w:tcMar>
              <w:left w:w="58" w:type="dxa"/>
              <w:right w:w="58" w:type="dxa"/>
            </w:tcMar>
            <w:vAlign w:val="bottom"/>
          </w:tcPr>
          <w:p w14:paraId="27F1456A" w14:textId="77777777" w:rsidR="00815E65" w:rsidRPr="001E6526" w:rsidRDefault="00815E65" w:rsidP="00815E65">
            <w:pPr>
              <w:spacing w:after="0"/>
              <w:jc w:val="right"/>
              <w:rPr>
                <w:rFonts w:ascii="Arial" w:hAnsi="Arial" w:cs="Arial"/>
                <w:b/>
                <w:bCs/>
                <w:color w:val="000000"/>
                <w:lang w:val="mk-MK"/>
              </w:rPr>
            </w:pPr>
            <w:r w:rsidRPr="001E6526">
              <w:rPr>
                <w:rFonts w:ascii="Arial" w:hAnsi="Arial" w:cs="Arial"/>
                <w:b/>
                <w:bCs/>
                <w:color w:val="000000"/>
                <w:lang w:val="mk-MK"/>
              </w:rPr>
              <w:t>10,300</w:t>
            </w:r>
          </w:p>
        </w:tc>
        <w:tc>
          <w:tcPr>
            <w:tcW w:w="1470" w:type="dxa"/>
            <w:tcBorders>
              <w:top w:val="single" w:sz="4" w:space="0" w:color="auto"/>
              <w:bottom w:val="double" w:sz="4" w:space="0" w:color="auto"/>
            </w:tcBorders>
            <w:shd w:val="clear" w:color="auto" w:fill="auto"/>
            <w:tcMar>
              <w:left w:w="58" w:type="dxa"/>
              <w:right w:w="58" w:type="dxa"/>
            </w:tcMar>
            <w:vAlign w:val="bottom"/>
          </w:tcPr>
          <w:p w14:paraId="6E00B392" w14:textId="4284E730" w:rsidR="00815E65" w:rsidRPr="001E6526" w:rsidRDefault="003C2544" w:rsidP="00815E65">
            <w:pPr>
              <w:spacing w:after="0"/>
              <w:jc w:val="right"/>
              <w:rPr>
                <w:rFonts w:ascii="Arial" w:hAnsi="Arial" w:cs="Arial"/>
                <w:b/>
                <w:bCs/>
                <w:color w:val="000000"/>
                <w:lang w:val="mk-MK"/>
              </w:rPr>
            </w:pPr>
            <w:r w:rsidRPr="001E6526">
              <w:rPr>
                <w:rFonts w:ascii="Arial" w:hAnsi="Arial" w:cs="Arial"/>
                <w:b/>
                <w:bCs/>
                <w:color w:val="000000"/>
                <w:lang w:val="mk-MK"/>
              </w:rPr>
              <w:t>1</w:t>
            </w:r>
            <w:r w:rsidR="005609B1" w:rsidRPr="001E6526">
              <w:rPr>
                <w:rFonts w:ascii="Arial" w:hAnsi="Arial" w:cs="Arial"/>
                <w:b/>
                <w:bCs/>
                <w:color w:val="000000"/>
                <w:lang w:val="mk-MK"/>
              </w:rPr>
              <w:t>4,768,533</w:t>
            </w:r>
          </w:p>
        </w:tc>
        <w:tc>
          <w:tcPr>
            <w:tcW w:w="1561" w:type="dxa"/>
            <w:tcBorders>
              <w:top w:val="single" w:sz="4" w:space="0" w:color="auto"/>
              <w:bottom w:val="double" w:sz="4" w:space="0" w:color="auto"/>
            </w:tcBorders>
            <w:shd w:val="clear" w:color="auto" w:fill="auto"/>
            <w:tcMar>
              <w:left w:w="58" w:type="dxa"/>
              <w:right w:w="58" w:type="dxa"/>
            </w:tcMar>
            <w:vAlign w:val="bottom"/>
          </w:tcPr>
          <w:p w14:paraId="2BF5CD7E" w14:textId="40E6FE10" w:rsidR="00815E65" w:rsidRPr="001E6526" w:rsidRDefault="008D520F" w:rsidP="00815E65">
            <w:pPr>
              <w:spacing w:after="0"/>
              <w:jc w:val="right"/>
              <w:rPr>
                <w:rFonts w:ascii="Arial" w:hAnsi="Arial" w:cs="Arial"/>
                <w:b/>
                <w:bCs/>
                <w:color w:val="000000"/>
                <w:lang w:val="mk-MK"/>
              </w:rPr>
            </w:pPr>
            <w:r w:rsidRPr="001E6526">
              <w:rPr>
                <w:rFonts w:ascii="Arial" w:hAnsi="Arial" w:cs="Arial"/>
                <w:b/>
                <w:bCs/>
                <w:color w:val="000000"/>
                <w:lang w:val="mk-MK"/>
              </w:rPr>
              <w:t>42,250</w:t>
            </w:r>
          </w:p>
        </w:tc>
        <w:tc>
          <w:tcPr>
            <w:tcW w:w="1378" w:type="dxa"/>
            <w:tcBorders>
              <w:top w:val="single" w:sz="4" w:space="0" w:color="auto"/>
              <w:bottom w:val="double" w:sz="4" w:space="0" w:color="auto"/>
            </w:tcBorders>
            <w:shd w:val="clear" w:color="auto" w:fill="auto"/>
            <w:tcMar>
              <w:left w:w="58" w:type="dxa"/>
              <w:right w:w="58" w:type="dxa"/>
            </w:tcMar>
            <w:vAlign w:val="bottom"/>
          </w:tcPr>
          <w:p w14:paraId="0FD93285" w14:textId="549DE62E" w:rsidR="00815E65" w:rsidRPr="001E6526" w:rsidRDefault="00815E65" w:rsidP="00815E65">
            <w:pPr>
              <w:spacing w:after="0"/>
              <w:jc w:val="right"/>
              <w:rPr>
                <w:rFonts w:ascii="Arial" w:hAnsi="Arial" w:cs="Arial"/>
                <w:b/>
                <w:bCs/>
                <w:color w:val="000000"/>
                <w:lang w:val="mk-MK"/>
              </w:rPr>
            </w:pPr>
            <w:r w:rsidRPr="001E6526">
              <w:rPr>
                <w:rFonts w:ascii="Arial" w:hAnsi="Arial" w:cs="Arial"/>
                <w:b/>
                <w:bCs/>
                <w:color w:val="000000"/>
                <w:lang w:val="mk-MK"/>
              </w:rPr>
              <w:t>14,</w:t>
            </w:r>
            <w:r w:rsidR="008D520F" w:rsidRPr="001E6526">
              <w:rPr>
                <w:rFonts w:ascii="Arial" w:hAnsi="Arial" w:cs="Arial"/>
                <w:b/>
                <w:bCs/>
                <w:color w:val="000000"/>
                <w:lang w:val="mk-MK"/>
              </w:rPr>
              <w:t>821</w:t>
            </w:r>
            <w:r w:rsidRPr="001E6526">
              <w:rPr>
                <w:rFonts w:ascii="Arial" w:hAnsi="Arial" w:cs="Arial"/>
                <w:b/>
                <w:bCs/>
                <w:color w:val="000000"/>
                <w:lang w:val="mk-MK"/>
              </w:rPr>
              <w:t>,</w:t>
            </w:r>
            <w:r w:rsidR="008D520F" w:rsidRPr="001E6526">
              <w:rPr>
                <w:rFonts w:ascii="Arial" w:hAnsi="Arial" w:cs="Arial"/>
                <w:b/>
                <w:bCs/>
                <w:color w:val="000000"/>
                <w:lang w:val="mk-MK"/>
              </w:rPr>
              <w:t>083</w:t>
            </w:r>
          </w:p>
        </w:tc>
      </w:tr>
      <w:tr w:rsidR="00815E65" w:rsidRPr="001E6526" w14:paraId="6BC7076F" w14:textId="77777777" w:rsidTr="00815E65">
        <w:trPr>
          <w:trHeight w:val="216"/>
        </w:trPr>
        <w:tc>
          <w:tcPr>
            <w:tcW w:w="2762" w:type="dxa"/>
            <w:tcBorders>
              <w:top w:val="double" w:sz="4" w:space="0" w:color="auto"/>
            </w:tcBorders>
            <w:shd w:val="clear" w:color="auto" w:fill="auto"/>
            <w:tcMar>
              <w:left w:w="58" w:type="dxa"/>
              <w:right w:w="58" w:type="dxa"/>
            </w:tcMar>
            <w:vAlign w:val="bottom"/>
          </w:tcPr>
          <w:p w14:paraId="65A63034" w14:textId="77777777" w:rsidR="00815E65" w:rsidRPr="00CE3053" w:rsidRDefault="00815E65" w:rsidP="00815E65">
            <w:pPr>
              <w:pStyle w:val="TableText"/>
              <w:spacing w:after="0"/>
              <w:rPr>
                <w:rFonts w:ascii="Arial" w:hAnsi="Arial"/>
                <w:b/>
                <w:sz w:val="18"/>
                <w:lang w:val="mk-MK"/>
              </w:rPr>
            </w:pPr>
          </w:p>
        </w:tc>
        <w:tc>
          <w:tcPr>
            <w:tcW w:w="1469" w:type="dxa"/>
            <w:tcBorders>
              <w:top w:val="double" w:sz="4" w:space="0" w:color="auto"/>
            </w:tcBorders>
            <w:shd w:val="clear" w:color="auto" w:fill="auto"/>
            <w:tcMar>
              <w:left w:w="58" w:type="dxa"/>
              <w:right w:w="58" w:type="dxa"/>
            </w:tcMar>
            <w:vAlign w:val="bottom"/>
          </w:tcPr>
          <w:p w14:paraId="339424FD" w14:textId="77777777" w:rsidR="00815E65" w:rsidRPr="00CE3053" w:rsidRDefault="00815E65" w:rsidP="00815E65">
            <w:pPr>
              <w:pStyle w:val="TableText"/>
              <w:spacing w:after="0"/>
              <w:jc w:val="right"/>
              <w:rPr>
                <w:rFonts w:ascii="Arial" w:hAnsi="Arial"/>
                <w:b/>
                <w:color w:val="000000"/>
                <w:sz w:val="18"/>
                <w:lang w:val="mk-MK"/>
              </w:rPr>
            </w:pPr>
          </w:p>
        </w:tc>
        <w:tc>
          <w:tcPr>
            <w:tcW w:w="1470" w:type="dxa"/>
            <w:tcBorders>
              <w:top w:val="double" w:sz="4" w:space="0" w:color="auto"/>
            </w:tcBorders>
            <w:shd w:val="clear" w:color="auto" w:fill="auto"/>
            <w:tcMar>
              <w:left w:w="58" w:type="dxa"/>
              <w:right w:w="58" w:type="dxa"/>
            </w:tcMar>
            <w:vAlign w:val="bottom"/>
          </w:tcPr>
          <w:p w14:paraId="555BDF8A" w14:textId="77777777" w:rsidR="00815E65" w:rsidRPr="00CE3053" w:rsidRDefault="00815E65" w:rsidP="00815E65">
            <w:pPr>
              <w:pStyle w:val="TableText"/>
              <w:spacing w:after="0"/>
              <w:jc w:val="right"/>
              <w:rPr>
                <w:rFonts w:ascii="Arial" w:hAnsi="Arial"/>
                <w:b/>
                <w:color w:val="000000"/>
                <w:sz w:val="18"/>
                <w:lang w:val="mk-MK"/>
              </w:rPr>
            </w:pPr>
          </w:p>
        </w:tc>
        <w:tc>
          <w:tcPr>
            <w:tcW w:w="1561" w:type="dxa"/>
            <w:tcBorders>
              <w:top w:val="double" w:sz="4" w:space="0" w:color="auto"/>
            </w:tcBorders>
            <w:shd w:val="clear" w:color="auto" w:fill="auto"/>
            <w:tcMar>
              <w:left w:w="58" w:type="dxa"/>
              <w:right w:w="58" w:type="dxa"/>
            </w:tcMar>
            <w:vAlign w:val="bottom"/>
          </w:tcPr>
          <w:p w14:paraId="409BA4F9" w14:textId="77777777" w:rsidR="00815E65" w:rsidRPr="00CE3053" w:rsidRDefault="00815E65" w:rsidP="00815E65">
            <w:pPr>
              <w:pStyle w:val="TableText"/>
              <w:spacing w:after="0"/>
              <w:jc w:val="right"/>
              <w:rPr>
                <w:rFonts w:ascii="Arial" w:hAnsi="Arial"/>
                <w:b/>
                <w:color w:val="000000"/>
                <w:sz w:val="18"/>
                <w:lang w:val="mk-MK"/>
              </w:rPr>
            </w:pPr>
          </w:p>
        </w:tc>
        <w:tc>
          <w:tcPr>
            <w:tcW w:w="1378" w:type="dxa"/>
            <w:tcBorders>
              <w:top w:val="double" w:sz="4" w:space="0" w:color="auto"/>
            </w:tcBorders>
            <w:shd w:val="clear" w:color="auto" w:fill="auto"/>
            <w:tcMar>
              <w:left w:w="58" w:type="dxa"/>
              <w:right w:w="58" w:type="dxa"/>
            </w:tcMar>
            <w:vAlign w:val="bottom"/>
          </w:tcPr>
          <w:p w14:paraId="2E14B741" w14:textId="77777777" w:rsidR="00815E65" w:rsidRPr="00CE3053" w:rsidRDefault="00815E65" w:rsidP="00815E65">
            <w:pPr>
              <w:pStyle w:val="TableText"/>
              <w:spacing w:after="0"/>
              <w:jc w:val="right"/>
              <w:rPr>
                <w:rFonts w:ascii="Arial" w:hAnsi="Arial"/>
                <w:b/>
                <w:color w:val="000000"/>
                <w:sz w:val="18"/>
                <w:lang w:val="mk-MK"/>
              </w:rPr>
            </w:pPr>
          </w:p>
        </w:tc>
      </w:tr>
      <w:tr w:rsidR="00711844" w:rsidRPr="001E6526" w14:paraId="513C963D" w14:textId="77777777" w:rsidTr="00815E65">
        <w:trPr>
          <w:trHeight w:val="216"/>
        </w:trPr>
        <w:tc>
          <w:tcPr>
            <w:tcW w:w="2762" w:type="dxa"/>
            <w:shd w:val="clear" w:color="auto" w:fill="auto"/>
            <w:tcMar>
              <w:left w:w="58" w:type="dxa"/>
              <w:right w:w="58" w:type="dxa"/>
            </w:tcMar>
            <w:vAlign w:val="bottom"/>
          </w:tcPr>
          <w:p w14:paraId="4D7530D3" w14:textId="55EC7631" w:rsidR="00711844" w:rsidRPr="00CE3053" w:rsidRDefault="001921A0" w:rsidP="00711844">
            <w:pPr>
              <w:pStyle w:val="TableText"/>
              <w:spacing w:after="0"/>
              <w:rPr>
                <w:rFonts w:ascii="Arial" w:hAnsi="Arial"/>
                <w:b/>
                <w:bCs/>
                <w:sz w:val="18"/>
                <w:lang w:val="mk-MK"/>
              </w:rPr>
            </w:pPr>
            <w:r>
              <w:rPr>
                <w:rFonts w:ascii="Arial" w:hAnsi="Arial"/>
                <w:b/>
                <w:sz w:val="18"/>
                <w:lang w:val="en-US"/>
              </w:rPr>
              <w:t>At</w:t>
            </w:r>
            <w:r w:rsidR="00711844" w:rsidRPr="00CE3053">
              <w:rPr>
                <w:rFonts w:ascii="Arial" w:hAnsi="Arial"/>
                <w:b/>
                <w:sz w:val="18"/>
                <w:lang w:val="mk-MK"/>
              </w:rPr>
              <w:t xml:space="preserve"> 01 </w:t>
            </w:r>
            <w:r>
              <w:rPr>
                <w:rFonts w:ascii="Arial" w:hAnsi="Arial"/>
                <w:b/>
                <w:sz w:val="18"/>
                <w:lang w:val="en-US"/>
              </w:rPr>
              <w:t>January</w:t>
            </w:r>
            <w:r w:rsidR="00711844" w:rsidRPr="00CE3053">
              <w:rPr>
                <w:rFonts w:ascii="Arial" w:hAnsi="Arial"/>
                <w:b/>
                <w:sz w:val="18"/>
                <w:lang w:val="mk-MK"/>
              </w:rPr>
              <w:t xml:space="preserve"> 20</w:t>
            </w:r>
            <w:r w:rsidR="00711844" w:rsidRPr="001E6526">
              <w:rPr>
                <w:rFonts w:ascii="Arial" w:hAnsi="Arial"/>
                <w:b/>
                <w:sz w:val="18"/>
                <w:lang w:val="mk-MK"/>
              </w:rPr>
              <w:t>20</w:t>
            </w:r>
          </w:p>
        </w:tc>
        <w:tc>
          <w:tcPr>
            <w:tcW w:w="1469" w:type="dxa"/>
            <w:shd w:val="clear" w:color="auto" w:fill="auto"/>
            <w:tcMar>
              <w:left w:w="58" w:type="dxa"/>
              <w:right w:w="58" w:type="dxa"/>
            </w:tcMar>
            <w:vAlign w:val="bottom"/>
          </w:tcPr>
          <w:p w14:paraId="23DEE01A" w14:textId="0916F123" w:rsidR="00711844" w:rsidRPr="00CE3053" w:rsidRDefault="00711844" w:rsidP="00711844">
            <w:pPr>
              <w:spacing w:after="0"/>
              <w:jc w:val="right"/>
              <w:rPr>
                <w:rFonts w:ascii="Arial" w:hAnsi="Arial" w:cs="Arial"/>
                <w:b/>
                <w:bCs/>
                <w:color w:val="000000"/>
                <w:lang w:val="mk-MK"/>
              </w:rPr>
            </w:pPr>
            <w:r w:rsidRPr="001E6526">
              <w:rPr>
                <w:rFonts w:ascii="Arial" w:hAnsi="Arial" w:cs="Arial"/>
                <w:b/>
                <w:bCs/>
                <w:color w:val="000000"/>
                <w:lang w:val="mk-MK"/>
              </w:rPr>
              <w:t>10,300</w:t>
            </w:r>
          </w:p>
        </w:tc>
        <w:tc>
          <w:tcPr>
            <w:tcW w:w="1470" w:type="dxa"/>
            <w:shd w:val="clear" w:color="auto" w:fill="auto"/>
            <w:tcMar>
              <w:left w:w="58" w:type="dxa"/>
              <w:right w:w="58" w:type="dxa"/>
            </w:tcMar>
            <w:vAlign w:val="bottom"/>
          </w:tcPr>
          <w:p w14:paraId="384809EE" w14:textId="7F974863" w:rsidR="00711844" w:rsidRPr="00CE3053" w:rsidRDefault="00711844" w:rsidP="00711844">
            <w:pPr>
              <w:spacing w:after="0"/>
              <w:jc w:val="right"/>
              <w:rPr>
                <w:rFonts w:ascii="Arial" w:hAnsi="Arial" w:cs="Arial"/>
                <w:b/>
                <w:bCs/>
                <w:color w:val="000000"/>
                <w:lang w:val="mk-MK"/>
              </w:rPr>
            </w:pPr>
            <w:r w:rsidRPr="001E6526">
              <w:rPr>
                <w:rFonts w:ascii="Arial" w:hAnsi="Arial" w:cs="Arial"/>
                <w:b/>
                <w:bCs/>
                <w:color w:val="000000"/>
                <w:lang w:val="mk-MK"/>
              </w:rPr>
              <w:t>17,283,727</w:t>
            </w:r>
          </w:p>
        </w:tc>
        <w:tc>
          <w:tcPr>
            <w:tcW w:w="1561" w:type="dxa"/>
            <w:shd w:val="clear" w:color="auto" w:fill="auto"/>
            <w:tcMar>
              <w:left w:w="58" w:type="dxa"/>
              <w:right w:w="58" w:type="dxa"/>
            </w:tcMar>
            <w:vAlign w:val="bottom"/>
          </w:tcPr>
          <w:p w14:paraId="3EB1CA0D" w14:textId="2BFD6821" w:rsidR="00711844" w:rsidRPr="00CE3053" w:rsidRDefault="00711844" w:rsidP="00711844">
            <w:pPr>
              <w:spacing w:after="0"/>
              <w:jc w:val="right"/>
              <w:rPr>
                <w:rFonts w:ascii="Arial" w:hAnsi="Arial" w:cs="Arial"/>
                <w:b/>
                <w:bCs/>
                <w:color w:val="000000"/>
                <w:lang w:val="mk-MK"/>
              </w:rPr>
            </w:pPr>
            <w:r w:rsidRPr="001E6526">
              <w:rPr>
                <w:rFonts w:ascii="Arial" w:hAnsi="Arial" w:cs="Arial"/>
                <w:b/>
                <w:bCs/>
                <w:color w:val="000000"/>
                <w:lang w:val="mk-MK"/>
              </w:rPr>
              <w:t>117,593</w:t>
            </w:r>
          </w:p>
        </w:tc>
        <w:tc>
          <w:tcPr>
            <w:tcW w:w="1378" w:type="dxa"/>
            <w:shd w:val="clear" w:color="auto" w:fill="auto"/>
            <w:tcMar>
              <w:left w:w="58" w:type="dxa"/>
              <w:right w:w="58" w:type="dxa"/>
            </w:tcMar>
            <w:vAlign w:val="bottom"/>
          </w:tcPr>
          <w:p w14:paraId="45A11F5A" w14:textId="4CA39C44" w:rsidR="00711844" w:rsidRPr="00CE3053" w:rsidRDefault="00711844" w:rsidP="00711844">
            <w:pPr>
              <w:spacing w:after="0"/>
              <w:jc w:val="right"/>
              <w:rPr>
                <w:rFonts w:ascii="Arial" w:hAnsi="Arial" w:cs="Arial"/>
                <w:b/>
                <w:bCs/>
                <w:color w:val="000000"/>
                <w:lang w:val="mk-MK"/>
              </w:rPr>
            </w:pPr>
            <w:r w:rsidRPr="001E6526">
              <w:rPr>
                <w:rFonts w:ascii="Arial" w:hAnsi="Arial" w:cs="Arial"/>
                <w:b/>
                <w:bCs/>
                <w:color w:val="000000"/>
                <w:lang w:val="mk-MK"/>
              </w:rPr>
              <w:t>17,411,620</w:t>
            </w:r>
          </w:p>
        </w:tc>
      </w:tr>
      <w:tr w:rsidR="00711844" w:rsidRPr="001E6526" w14:paraId="20194FFB" w14:textId="77777777" w:rsidTr="00815E65">
        <w:trPr>
          <w:trHeight w:val="216"/>
        </w:trPr>
        <w:tc>
          <w:tcPr>
            <w:tcW w:w="2762" w:type="dxa"/>
            <w:shd w:val="clear" w:color="auto" w:fill="auto"/>
            <w:tcMar>
              <w:left w:w="58" w:type="dxa"/>
              <w:right w:w="58" w:type="dxa"/>
            </w:tcMar>
            <w:vAlign w:val="bottom"/>
          </w:tcPr>
          <w:p w14:paraId="1C5C7422" w14:textId="2C1DE43A" w:rsidR="00711844" w:rsidRPr="001E6526" w:rsidRDefault="001921A0" w:rsidP="00711844">
            <w:pPr>
              <w:pStyle w:val="TableText"/>
              <w:spacing w:after="0"/>
              <w:rPr>
                <w:rFonts w:ascii="Arial" w:hAnsi="Arial"/>
                <w:bCs/>
                <w:sz w:val="18"/>
                <w:lang w:val="mk-MK"/>
              </w:rPr>
            </w:pPr>
            <w:proofErr w:type="spellStart"/>
            <w:r w:rsidRPr="001921A0">
              <w:rPr>
                <w:rFonts w:ascii="Arial" w:hAnsi="Arial"/>
                <w:bCs/>
                <w:sz w:val="18"/>
                <w:lang w:val="mk-MK"/>
              </w:rPr>
              <w:t>Accrued</w:t>
            </w:r>
            <w:proofErr w:type="spellEnd"/>
            <w:r w:rsidRPr="001921A0">
              <w:rPr>
                <w:rFonts w:ascii="Arial" w:hAnsi="Arial"/>
                <w:bCs/>
                <w:sz w:val="18"/>
                <w:lang w:val="mk-MK"/>
              </w:rPr>
              <w:t xml:space="preserve"> </w:t>
            </w:r>
            <w:proofErr w:type="spellStart"/>
            <w:r w:rsidRPr="001921A0">
              <w:rPr>
                <w:rFonts w:ascii="Arial" w:hAnsi="Arial"/>
                <w:bCs/>
                <w:sz w:val="18"/>
                <w:lang w:val="mk-MK"/>
              </w:rPr>
              <w:t>technical</w:t>
            </w:r>
            <w:proofErr w:type="spellEnd"/>
            <w:r w:rsidRPr="001921A0">
              <w:rPr>
                <w:rFonts w:ascii="Arial" w:hAnsi="Arial"/>
                <w:bCs/>
                <w:sz w:val="18"/>
                <w:lang w:val="mk-MK"/>
              </w:rPr>
              <w:t xml:space="preserve"> </w:t>
            </w:r>
            <w:proofErr w:type="spellStart"/>
            <w:r w:rsidRPr="001921A0">
              <w:rPr>
                <w:rFonts w:ascii="Arial" w:hAnsi="Arial"/>
                <w:bCs/>
                <w:sz w:val="18"/>
                <w:lang w:val="mk-MK"/>
              </w:rPr>
              <w:t>premium</w:t>
            </w:r>
            <w:proofErr w:type="spellEnd"/>
          </w:p>
        </w:tc>
        <w:tc>
          <w:tcPr>
            <w:tcW w:w="1469" w:type="dxa"/>
            <w:shd w:val="clear" w:color="auto" w:fill="auto"/>
            <w:tcMar>
              <w:left w:w="58" w:type="dxa"/>
              <w:right w:w="58" w:type="dxa"/>
            </w:tcMar>
            <w:vAlign w:val="bottom"/>
          </w:tcPr>
          <w:p w14:paraId="21E00B41" w14:textId="378130F9" w:rsidR="00711844" w:rsidRPr="001E6526"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c>
          <w:tcPr>
            <w:tcW w:w="1470" w:type="dxa"/>
            <w:shd w:val="clear" w:color="auto" w:fill="auto"/>
            <w:tcMar>
              <w:left w:w="58" w:type="dxa"/>
              <w:right w:w="58" w:type="dxa"/>
            </w:tcMar>
            <w:vAlign w:val="bottom"/>
          </w:tcPr>
          <w:p w14:paraId="2B1C7A5B" w14:textId="3141603E" w:rsidR="00711844" w:rsidRPr="00CE3053" w:rsidRDefault="00711844" w:rsidP="00711844">
            <w:pPr>
              <w:spacing w:after="0"/>
              <w:jc w:val="right"/>
              <w:rPr>
                <w:rFonts w:ascii="Arial" w:hAnsi="Arial" w:cs="Arial"/>
                <w:color w:val="000000"/>
                <w:lang w:val="mk-MK"/>
              </w:rPr>
            </w:pPr>
            <w:r w:rsidRPr="001E6526">
              <w:rPr>
                <w:rFonts w:ascii="Arial" w:hAnsi="Arial" w:cs="Arial"/>
                <w:color w:val="000000"/>
                <w:lang w:val="mk-MK"/>
              </w:rPr>
              <w:t>719,884</w:t>
            </w:r>
          </w:p>
        </w:tc>
        <w:tc>
          <w:tcPr>
            <w:tcW w:w="1561" w:type="dxa"/>
            <w:shd w:val="clear" w:color="auto" w:fill="auto"/>
            <w:tcMar>
              <w:left w:w="58" w:type="dxa"/>
              <w:right w:w="58" w:type="dxa"/>
            </w:tcMar>
            <w:vAlign w:val="bottom"/>
          </w:tcPr>
          <w:p w14:paraId="7E8EC24E" w14:textId="4A1A07D2" w:rsidR="00711844" w:rsidRPr="001E6526"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c>
          <w:tcPr>
            <w:tcW w:w="1378" w:type="dxa"/>
            <w:shd w:val="clear" w:color="auto" w:fill="auto"/>
            <w:tcMar>
              <w:left w:w="58" w:type="dxa"/>
              <w:right w:w="58" w:type="dxa"/>
            </w:tcMar>
            <w:vAlign w:val="bottom"/>
          </w:tcPr>
          <w:p w14:paraId="45C134F4" w14:textId="2E567CA0" w:rsidR="00711844" w:rsidRPr="00CE3053" w:rsidRDefault="00711844" w:rsidP="00711844">
            <w:pPr>
              <w:spacing w:after="0"/>
              <w:jc w:val="right"/>
              <w:rPr>
                <w:rFonts w:ascii="Arial" w:hAnsi="Arial" w:cs="Arial"/>
                <w:color w:val="000000"/>
                <w:lang w:val="mk-MK"/>
              </w:rPr>
            </w:pPr>
            <w:r w:rsidRPr="001E6526">
              <w:rPr>
                <w:rFonts w:ascii="Arial" w:hAnsi="Arial" w:cs="Arial"/>
                <w:color w:val="000000"/>
                <w:lang w:val="mk-MK"/>
              </w:rPr>
              <w:t>719,884</w:t>
            </w:r>
          </w:p>
        </w:tc>
      </w:tr>
      <w:tr w:rsidR="00711844" w:rsidRPr="001E6526" w14:paraId="45988538" w14:textId="77777777" w:rsidTr="00815E65">
        <w:trPr>
          <w:trHeight w:val="216"/>
        </w:trPr>
        <w:tc>
          <w:tcPr>
            <w:tcW w:w="2762" w:type="dxa"/>
            <w:shd w:val="clear" w:color="auto" w:fill="auto"/>
            <w:tcMar>
              <w:left w:w="58" w:type="dxa"/>
              <w:right w:w="58" w:type="dxa"/>
            </w:tcMar>
            <w:vAlign w:val="bottom"/>
          </w:tcPr>
          <w:p w14:paraId="061E13C6" w14:textId="2443F51F" w:rsidR="00711844" w:rsidRPr="00CE3053" w:rsidRDefault="004539D5" w:rsidP="00711844">
            <w:pPr>
              <w:pStyle w:val="TableText"/>
              <w:spacing w:after="0"/>
              <w:rPr>
                <w:rFonts w:ascii="Arial" w:hAnsi="Arial"/>
                <w:bCs/>
                <w:sz w:val="18"/>
                <w:lang w:val="mk-MK"/>
              </w:rPr>
            </w:pPr>
            <w:proofErr w:type="spellStart"/>
            <w:r w:rsidRPr="004539D5">
              <w:rPr>
                <w:rFonts w:ascii="Arial" w:hAnsi="Arial"/>
                <w:bCs/>
                <w:sz w:val="18"/>
                <w:lang w:val="mk-MK"/>
              </w:rPr>
              <w:t>Return</w:t>
            </w:r>
            <w:proofErr w:type="spellEnd"/>
            <w:r w:rsidRPr="004539D5">
              <w:rPr>
                <w:rFonts w:ascii="Arial" w:hAnsi="Arial"/>
                <w:bCs/>
                <w:sz w:val="18"/>
                <w:lang w:val="mk-MK"/>
              </w:rPr>
              <w:t xml:space="preserve"> </w:t>
            </w:r>
            <w:proofErr w:type="spellStart"/>
            <w:r w:rsidRPr="004539D5">
              <w:rPr>
                <w:rFonts w:ascii="Arial" w:hAnsi="Arial"/>
                <w:bCs/>
                <w:sz w:val="18"/>
                <w:lang w:val="mk-MK"/>
              </w:rPr>
              <w:t>of</w:t>
            </w:r>
            <w:proofErr w:type="spellEnd"/>
            <w:r w:rsidRPr="004539D5">
              <w:rPr>
                <w:rFonts w:ascii="Arial" w:hAnsi="Arial"/>
                <w:bCs/>
                <w:sz w:val="18"/>
                <w:lang w:val="mk-MK"/>
              </w:rPr>
              <w:t xml:space="preserve"> </w:t>
            </w:r>
            <w:proofErr w:type="spellStart"/>
            <w:r w:rsidRPr="004539D5">
              <w:rPr>
                <w:rFonts w:ascii="Arial" w:hAnsi="Arial"/>
                <w:bCs/>
                <w:sz w:val="18"/>
                <w:lang w:val="mk-MK"/>
              </w:rPr>
              <w:t>funds</w:t>
            </w:r>
            <w:proofErr w:type="spellEnd"/>
            <w:r w:rsidRPr="004539D5">
              <w:rPr>
                <w:rFonts w:ascii="Arial" w:hAnsi="Arial"/>
                <w:bCs/>
                <w:sz w:val="18"/>
                <w:lang w:val="mk-MK"/>
              </w:rPr>
              <w:t xml:space="preserve"> </w:t>
            </w:r>
            <w:proofErr w:type="spellStart"/>
            <w:r w:rsidRPr="004539D5">
              <w:rPr>
                <w:rFonts w:ascii="Arial" w:hAnsi="Arial"/>
                <w:bCs/>
                <w:sz w:val="18"/>
                <w:lang w:val="mk-MK"/>
              </w:rPr>
              <w:t>for</w:t>
            </w:r>
            <w:proofErr w:type="spellEnd"/>
            <w:r w:rsidRPr="004539D5">
              <w:rPr>
                <w:rFonts w:ascii="Arial" w:hAnsi="Arial"/>
                <w:bCs/>
                <w:sz w:val="18"/>
                <w:lang w:val="mk-MK"/>
              </w:rPr>
              <w:t xml:space="preserve"> </w:t>
            </w:r>
            <w:proofErr w:type="spellStart"/>
            <w:r w:rsidRPr="004539D5">
              <w:rPr>
                <w:rFonts w:ascii="Arial" w:hAnsi="Arial"/>
                <w:bCs/>
                <w:sz w:val="18"/>
                <w:lang w:val="mk-MK"/>
              </w:rPr>
              <w:t>previously</w:t>
            </w:r>
            <w:proofErr w:type="spellEnd"/>
            <w:r w:rsidRPr="004539D5">
              <w:rPr>
                <w:rFonts w:ascii="Arial" w:hAnsi="Arial"/>
                <w:bCs/>
                <w:sz w:val="18"/>
                <w:lang w:val="mk-MK"/>
              </w:rPr>
              <w:t xml:space="preserve"> </w:t>
            </w:r>
            <w:proofErr w:type="spellStart"/>
            <w:r w:rsidRPr="004539D5">
              <w:rPr>
                <w:rFonts w:ascii="Arial" w:hAnsi="Arial"/>
                <w:bCs/>
                <w:sz w:val="18"/>
                <w:lang w:val="mk-MK"/>
              </w:rPr>
              <w:t>paid</w:t>
            </w:r>
            <w:proofErr w:type="spellEnd"/>
            <w:r w:rsidRPr="004539D5">
              <w:rPr>
                <w:rFonts w:ascii="Arial" w:hAnsi="Arial"/>
                <w:bCs/>
                <w:sz w:val="18"/>
                <w:lang w:val="mk-MK"/>
              </w:rPr>
              <w:t xml:space="preserve"> </w:t>
            </w:r>
            <w:proofErr w:type="spellStart"/>
            <w:r w:rsidRPr="004539D5">
              <w:rPr>
                <w:rFonts w:ascii="Arial" w:hAnsi="Arial"/>
                <w:bCs/>
                <w:sz w:val="18"/>
                <w:lang w:val="mk-MK"/>
              </w:rPr>
              <w:t>indemnification</w:t>
            </w:r>
            <w:proofErr w:type="spellEnd"/>
          </w:p>
        </w:tc>
        <w:tc>
          <w:tcPr>
            <w:tcW w:w="1469" w:type="dxa"/>
            <w:shd w:val="clear" w:color="auto" w:fill="auto"/>
            <w:tcMar>
              <w:left w:w="58" w:type="dxa"/>
              <w:right w:w="58" w:type="dxa"/>
            </w:tcMar>
            <w:vAlign w:val="bottom"/>
          </w:tcPr>
          <w:p w14:paraId="4AE94043" w14:textId="2C6F2E64" w:rsidR="00711844" w:rsidRPr="00CE3053"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c>
          <w:tcPr>
            <w:tcW w:w="1470" w:type="dxa"/>
            <w:shd w:val="clear" w:color="auto" w:fill="auto"/>
            <w:tcMar>
              <w:left w:w="58" w:type="dxa"/>
              <w:right w:w="58" w:type="dxa"/>
            </w:tcMar>
            <w:vAlign w:val="bottom"/>
          </w:tcPr>
          <w:p w14:paraId="7153200E" w14:textId="5BE550F4" w:rsidR="00711844" w:rsidRPr="00CE3053"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c>
          <w:tcPr>
            <w:tcW w:w="1561" w:type="dxa"/>
            <w:shd w:val="clear" w:color="auto" w:fill="auto"/>
            <w:tcMar>
              <w:left w:w="58" w:type="dxa"/>
              <w:right w:w="58" w:type="dxa"/>
            </w:tcMar>
            <w:vAlign w:val="bottom"/>
          </w:tcPr>
          <w:p w14:paraId="1D01B180" w14:textId="76494293" w:rsidR="00711844" w:rsidRPr="00CE3053"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c>
          <w:tcPr>
            <w:tcW w:w="1378" w:type="dxa"/>
            <w:shd w:val="clear" w:color="auto" w:fill="auto"/>
            <w:tcMar>
              <w:left w:w="58" w:type="dxa"/>
              <w:right w:w="58" w:type="dxa"/>
            </w:tcMar>
            <w:vAlign w:val="bottom"/>
          </w:tcPr>
          <w:p w14:paraId="65032B14" w14:textId="5C79F0D0" w:rsidR="00711844" w:rsidRPr="00CE3053"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r>
      <w:tr w:rsidR="00711844" w:rsidRPr="001E6526" w14:paraId="66830DFC" w14:textId="77777777" w:rsidTr="00815E65">
        <w:trPr>
          <w:trHeight w:val="216"/>
        </w:trPr>
        <w:tc>
          <w:tcPr>
            <w:tcW w:w="2762" w:type="dxa"/>
            <w:shd w:val="clear" w:color="auto" w:fill="auto"/>
            <w:tcMar>
              <w:left w:w="58" w:type="dxa"/>
              <w:right w:w="58" w:type="dxa"/>
            </w:tcMar>
            <w:vAlign w:val="bottom"/>
          </w:tcPr>
          <w:p w14:paraId="073B7EDA" w14:textId="6B9BB17C" w:rsidR="00711844" w:rsidRPr="00CE3053" w:rsidRDefault="004539D5" w:rsidP="00711844">
            <w:pPr>
              <w:pStyle w:val="TableText"/>
              <w:spacing w:after="0"/>
              <w:rPr>
                <w:rFonts w:ascii="Arial" w:hAnsi="Arial"/>
                <w:bCs/>
                <w:sz w:val="18"/>
                <w:lang w:val="mk-MK"/>
              </w:rPr>
            </w:pPr>
            <w:proofErr w:type="spellStart"/>
            <w:r w:rsidRPr="004539D5">
              <w:rPr>
                <w:rFonts w:ascii="Arial" w:hAnsi="Arial"/>
                <w:bCs/>
                <w:sz w:val="18"/>
                <w:lang w:val="mk-MK"/>
              </w:rPr>
              <w:t>Compensation</w:t>
            </w:r>
            <w:proofErr w:type="spellEnd"/>
            <w:r w:rsidRPr="004539D5">
              <w:rPr>
                <w:rFonts w:ascii="Arial" w:hAnsi="Arial"/>
                <w:bCs/>
                <w:sz w:val="18"/>
                <w:lang w:val="mk-MK"/>
              </w:rPr>
              <w:t xml:space="preserve"> </w:t>
            </w:r>
            <w:proofErr w:type="spellStart"/>
            <w:r w:rsidRPr="004539D5">
              <w:rPr>
                <w:rFonts w:ascii="Arial" w:hAnsi="Arial"/>
                <w:bCs/>
                <w:sz w:val="18"/>
                <w:lang w:val="mk-MK"/>
              </w:rPr>
              <w:t>for</w:t>
            </w:r>
            <w:proofErr w:type="spellEnd"/>
            <w:r w:rsidRPr="004539D5">
              <w:rPr>
                <w:rFonts w:ascii="Arial" w:hAnsi="Arial"/>
                <w:bCs/>
                <w:sz w:val="18"/>
                <w:lang w:val="mk-MK"/>
              </w:rPr>
              <w:t xml:space="preserve"> </w:t>
            </w:r>
            <w:proofErr w:type="spellStart"/>
            <w:r w:rsidRPr="004539D5">
              <w:rPr>
                <w:rFonts w:ascii="Arial" w:hAnsi="Arial"/>
                <w:bCs/>
                <w:sz w:val="18"/>
                <w:lang w:val="mk-MK"/>
              </w:rPr>
              <w:t>indemnification</w:t>
            </w:r>
            <w:proofErr w:type="spellEnd"/>
            <w:r w:rsidRPr="004539D5">
              <w:rPr>
                <w:rFonts w:ascii="Arial" w:hAnsi="Arial"/>
                <w:bCs/>
                <w:sz w:val="18"/>
                <w:lang w:val="mk-MK"/>
              </w:rPr>
              <w:t xml:space="preserve"> (</w:t>
            </w:r>
            <w:proofErr w:type="spellStart"/>
            <w:r w:rsidRPr="004539D5">
              <w:rPr>
                <w:rFonts w:ascii="Arial" w:hAnsi="Arial"/>
                <w:bCs/>
                <w:sz w:val="18"/>
                <w:lang w:val="mk-MK"/>
              </w:rPr>
              <w:t>Note</w:t>
            </w:r>
            <w:proofErr w:type="spellEnd"/>
            <w:r w:rsidRPr="004539D5">
              <w:rPr>
                <w:rFonts w:ascii="Arial" w:hAnsi="Arial"/>
                <w:bCs/>
                <w:sz w:val="18"/>
                <w:lang w:val="mk-MK"/>
              </w:rPr>
              <w:t xml:space="preserve"> 15)</w:t>
            </w:r>
          </w:p>
        </w:tc>
        <w:tc>
          <w:tcPr>
            <w:tcW w:w="1469" w:type="dxa"/>
            <w:shd w:val="clear" w:color="auto" w:fill="auto"/>
            <w:tcMar>
              <w:left w:w="58" w:type="dxa"/>
              <w:right w:w="58" w:type="dxa"/>
            </w:tcMar>
            <w:vAlign w:val="bottom"/>
          </w:tcPr>
          <w:p w14:paraId="107E2BF1" w14:textId="3851D939" w:rsidR="00711844" w:rsidRPr="00CE3053"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c>
          <w:tcPr>
            <w:tcW w:w="1470" w:type="dxa"/>
            <w:shd w:val="clear" w:color="auto" w:fill="auto"/>
            <w:tcMar>
              <w:left w:w="58" w:type="dxa"/>
              <w:right w:w="58" w:type="dxa"/>
            </w:tcMar>
            <w:vAlign w:val="bottom"/>
          </w:tcPr>
          <w:p w14:paraId="53687F9C" w14:textId="2B76BEB0" w:rsidR="00711844" w:rsidRPr="00CE3053" w:rsidRDefault="00711844" w:rsidP="00711844">
            <w:pPr>
              <w:spacing w:after="0"/>
              <w:jc w:val="right"/>
              <w:rPr>
                <w:rFonts w:ascii="Arial" w:hAnsi="Arial" w:cs="Arial"/>
                <w:color w:val="000000"/>
                <w:lang w:val="mk-MK"/>
              </w:rPr>
            </w:pPr>
            <w:r w:rsidRPr="001E6526">
              <w:rPr>
                <w:rFonts w:ascii="Arial" w:hAnsi="Arial" w:cs="Arial"/>
                <w:color w:val="000000"/>
                <w:lang w:val="mk-MK"/>
              </w:rPr>
              <w:t>(4,177,532)</w:t>
            </w:r>
          </w:p>
        </w:tc>
        <w:tc>
          <w:tcPr>
            <w:tcW w:w="1561" w:type="dxa"/>
            <w:shd w:val="clear" w:color="auto" w:fill="auto"/>
            <w:tcMar>
              <w:left w:w="58" w:type="dxa"/>
              <w:right w:w="58" w:type="dxa"/>
            </w:tcMar>
            <w:vAlign w:val="bottom"/>
          </w:tcPr>
          <w:p w14:paraId="6AF47350" w14:textId="55399FCB" w:rsidR="00711844" w:rsidRPr="001E6526"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c>
          <w:tcPr>
            <w:tcW w:w="1378" w:type="dxa"/>
            <w:shd w:val="clear" w:color="auto" w:fill="auto"/>
            <w:tcMar>
              <w:left w:w="58" w:type="dxa"/>
              <w:right w:w="58" w:type="dxa"/>
            </w:tcMar>
            <w:vAlign w:val="bottom"/>
          </w:tcPr>
          <w:p w14:paraId="3EF8B6A1" w14:textId="7F40CB8D" w:rsidR="00711844" w:rsidRPr="00CE3053" w:rsidRDefault="00711844" w:rsidP="00711844">
            <w:pPr>
              <w:spacing w:after="0"/>
              <w:jc w:val="right"/>
              <w:rPr>
                <w:rFonts w:ascii="Arial" w:hAnsi="Arial" w:cs="Arial"/>
                <w:color w:val="000000"/>
                <w:lang w:val="mk-MK"/>
              </w:rPr>
            </w:pPr>
            <w:r w:rsidRPr="001E6526">
              <w:rPr>
                <w:rFonts w:ascii="Arial" w:hAnsi="Arial" w:cs="Arial"/>
                <w:color w:val="000000"/>
                <w:lang w:val="mk-MK"/>
              </w:rPr>
              <w:t>(4,177,532)</w:t>
            </w:r>
          </w:p>
        </w:tc>
      </w:tr>
      <w:tr w:rsidR="00711844" w:rsidRPr="001E6526" w14:paraId="4968C6C9" w14:textId="77777777" w:rsidTr="00815E65">
        <w:trPr>
          <w:trHeight w:val="216"/>
        </w:trPr>
        <w:tc>
          <w:tcPr>
            <w:tcW w:w="2762" w:type="dxa"/>
            <w:shd w:val="clear" w:color="auto" w:fill="auto"/>
            <w:tcMar>
              <w:left w:w="58" w:type="dxa"/>
              <w:right w:w="58" w:type="dxa"/>
            </w:tcMar>
            <w:vAlign w:val="bottom"/>
          </w:tcPr>
          <w:p w14:paraId="4CBC7209" w14:textId="1201B99D" w:rsidR="00711844" w:rsidRPr="001E6526" w:rsidRDefault="004539D5" w:rsidP="00711844">
            <w:pPr>
              <w:pStyle w:val="TableText"/>
              <w:spacing w:after="0"/>
              <w:rPr>
                <w:rFonts w:ascii="Arial" w:hAnsi="Arial"/>
                <w:bCs/>
                <w:sz w:val="18"/>
                <w:lang w:val="mk-MK"/>
              </w:rPr>
            </w:pPr>
            <w:proofErr w:type="spellStart"/>
            <w:r w:rsidRPr="004539D5">
              <w:rPr>
                <w:rFonts w:ascii="Arial" w:hAnsi="Arial"/>
                <w:bCs/>
                <w:sz w:val="18"/>
                <w:lang w:val="mk-MK"/>
              </w:rPr>
              <w:t>Transfer</w:t>
            </w:r>
            <w:proofErr w:type="spellEnd"/>
            <w:r w:rsidRPr="004539D5">
              <w:rPr>
                <w:rFonts w:ascii="Arial" w:hAnsi="Arial"/>
                <w:bCs/>
                <w:sz w:val="18"/>
                <w:lang w:val="mk-MK"/>
              </w:rPr>
              <w:t xml:space="preserve"> </w:t>
            </w:r>
            <w:proofErr w:type="spellStart"/>
            <w:r w:rsidRPr="004539D5">
              <w:rPr>
                <w:rFonts w:ascii="Arial" w:hAnsi="Arial"/>
                <w:bCs/>
                <w:sz w:val="18"/>
                <w:lang w:val="mk-MK"/>
              </w:rPr>
              <w:t>to</w:t>
            </w:r>
            <w:proofErr w:type="spellEnd"/>
            <w:r w:rsidRPr="004539D5">
              <w:rPr>
                <w:rFonts w:ascii="Arial" w:hAnsi="Arial"/>
                <w:bCs/>
                <w:sz w:val="18"/>
                <w:lang w:val="mk-MK"/>
              </w:rPr>
              <w:t xml:space="preserve"> </w:t>
            </w:r>
            <w:proofErr w:type="spellStart"/>
            <w:r w:rsidRPr="004539D5">
              <w:rPr>
                <w:rFonts w:ascii="Arial" w:hAnsi="Arial"/>
                <w:bCs/>
                <w:sz w:val="18"/>
                <w:lang w:val="mk-MK"/>
              </w:rPr>
              <w:t>Insurance</w:t>
            </w:r>
            <w:proofErr w:type="spellEnd"/>
            <w:r w:rsidRPr="004539D5">
              <w:rPr>
                <w:rFonts w:ascii="Arial" w:hAnsi="Arial"/>
                <w:bCs/>
                <w:sz w:val="18"/>
                <w:lang w:val="mk-MK"/>
              </w:rPr>
              <w:t xml:space="preserve"> </w:t>
            </w:r>
            <w:proofErr w:type="spellStart"/>
            <w:r w:rsidRPr="004539D5">
              <w:rPr>
                <w:rFonts w:ascii="Arial" w:hAnsi="Arial"/>
                <w:bCs/>
                <w:sz w:val="18"/>
                <w:lang w:val="mk-MK"/>
              </w:rPr>
              <w:t>fund</w:t>
            </w:r>
            <w:proofErr w:type="spellEnd"/>
            <w:r w:rsidRPr="004539D5">
              <w:rPr>
                <w:rFonts w:ascii="Arial" w:hAnsi="Arial"/>
                <w:bCs/>
                <w:sz w:val="18"/>
                <w:lang w:val="mk-MK"/>
              </w:rPr>
              <w:t xml:space="preserve"> </w:t>
            </w:r>
            <w:proofErr w:type="spellStart"/>
            <w:r w:rsidRPr="004539D5">
              <w:rPr>
                <w:rFonts w:ascii="Arial" w:hAnsi="Arial"/>
                <w:bCs/>
                <w:sz w:val="18"/>
                <w:lang w:val="mk-MK"/>
              </w:rPr>
              <w:t>from</w:t>
            </w:r>
            <w:proofErr w:type="spellEnd"/>
            <w:r w:rsidRPr="004539D5">
              <w:rPr>
                <w:rFonts w:ascii="Arial" w:hAnsi="Arial"/>
                <w:bCs/>
                <w:sz w:val="18"/>
                <w:lang w:val="mk-MK"/>
              </w:rPr>
              <w:t xml:space="preserve"> </w:t>
            </w:r>
            <w:proofErr w:type="spellStart"/>
            <w:r w:rsidRPr="004539D5">
              <w:rPr>
                <w:rFonts w:ascii="Arial" w:hAnsi="Arial"/>
                <w:bCs/>
                <w:sz w:val="18"/>
                <w:lang w:val="mk-MK"/>
              </w:rPr>
              <w:t>indemnification</w:t>
            </w:r>
            <w:proofErr w:type="spellEnd"/>
            <w:r w:rsidRPr="004539D5">
              <w:rPr>
                <w:rFonts w:ascii="Arial" w:hAnsi="Arial"/>
                <w:bCs/>
                <w:sz w:val="18"/>
                <w:lang w:val="mk-MK"/>
              </w:rPr>
              <w:t xml:space="preserve"> </w:t>
            </w:r>
            <w:proofErr w:type="spellStart"/>
            <w:r w:rsidRPr="004539D5">
              <w:rPr>
                <w:rFonts w:ascii="Arial" w:hAnsi="Arial"/>
                <w:bCs/>
                <w:sz w:val="18"/>
                <w:lang w:val="mk-MK"/>
              </w:rPr>
              <w:t>obligations</w:t>
            </w:r>
            <w:proofErr w:type="spellEnd"/>
          </w:p>
        </w:tc>
        <w:tc>
          <w:tcPr>
            <w:tcW w:w="1469" w:type="dxa"/>
            <w:shd w:val="clear" w:color="auto" w:fill="auto"/>
            <w:tcMar>
              <w:left w:w="58" w:type="dxa"/>
              <w:right w:w="58" w:type="dxa"/>
            </w:tcMar>
            <w:vAlign w:val="bottom"/>
          </w:tcPr>
          <w:p w14:paraId="746F95EA" w14:textId="3DA2F646" w:rsidR="00711844" w:rsidRPr="001E6526"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c>
          <w:tcPr>
            <w:tcW w:w="1470" w:type="dxa"/>
            <w:shd w:val="clear" w:color="auto" w:fill="auto"/>
            <w:tcMar>
              <w:left w:w="58" w:type="dxa"/>
              <w:right w:w="58" w:type="dxa"/>
            </w:tcMar>
            <w:vAlign w:val="bottom"/>
          </w:tcPr>
          <w:p w14:paraId="77D71942" w14:textId="28016A42" w:rsidR="00711844" w:rsidRPr="001E6526"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c>
          <w:tcPr>
            <w:tcW w:w="1561" w:type="dxa"/>
            <w:shd w:val="clear" w:color="auto" w:fill="auto"/>
            <w:tcMar>
              <w:left w:w="58" w:type="dxa"/>
              <w:right w:w="58" w:type="dxa"/>
            </w:tcMar>
            <w:vAlign w:val="bottom"/>
          </w:tcPr>
          <w:p w14:paraId="11F0DE82" w14:textId="59826D23" w:rsidR="00711844" w:rsidRPr="001E6526"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c>
          <w:tcPr>
            <w:tcW w:w="1378" w:type="dxa"/>
            <w:shd w:val="clear" w:color="auto" w:fill="auto"/>
            <w:tcMar>
              <w:left w:w="58" w:type="dxa"/>
              <w:right w:w="58" w:type="dxa"/>
            </w:tcMar>
            <w:vAlign w:val="bottom"/>
          </w:tcPr>
          <w:p w14:paraId="6094D97F" w14:textId="05256643" w:rsidR="00711844" w:rsidRPr="001E6526"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r>
      <w:tr w:rsidR="00711844" w:rsidRPr="001E6526" w14:paraId="25B46754" w14:textId="77777777" w:rsidTr="00815E65">
        <w:trPr>
          <w:trHeight w:val="216"/>
        </w:trPr>
        <w:tc>
          <w:tcPr>
            <w:tcW w:w="2762" w:type="dxa"/>
            <w:tcBorders>
              <w:bottom w:val="single" w:sz="4" w:space="0" w:color="auto"/>
            </w:tcBorders>
            <w:shd w:val="clear" w:color="auto" w:fill="auto"/>
            <w:tcMar>
              <w:left w:w="58" w:type="dxa"/>
              <w:right w:w="58" w:type="dxa"/>
            </w:tcMar>
            <w:vAlign w:val="bottom"/>
          </w:tcPr>
          <w:p w14:paraId="539EEB34" w14:textId="5E644039" w:rsidR="00711844" w:rsidRPr="00CE3053" w:rsidRDefault="004539D5" w:rsidP="00711844">
            <w:pPr>
              <w:pStyle w:val="TableText"/>
              <w:spacing w:after="0"/>
              <w:rPr>
                <w:rFonts w:ascii="Arial" w:hAnsi="Arial"/>
                <w:bCs/>
                <w:sz w:val="18"/>
                <w:lang w:val="mk-MK"/>
              </w:rPr>
            </w:pPr>
            <w:proofErr w:type="spellStart"/>
            <w:r w:rsidRPr="004539D5">
              <w:rPr>
                <w:rFonts w:ascii="Arial" w:hAnsi="Arial"/>
                <w:bCs/>
                <w:sz w:val="18"/>
                <w:lang w:val="mk-MK"/>
              </w:rPr>
              <w:t>Transfer</w:t>
            </w:r>
            <w:proofErr w:type="spellEnd"/>
            <w:r w:rsidRPr="004539D5">
              <w:rPr>
                <w:rFonts w:ascii="Arial" w:hAnsi="Arial"/>
                <w:bCs/>
                <w:sz w:val="18"/>
                <w:lang w:val="mk-MK"/>
              </w:rPr>
              <w:t xml:space="preserve"> </w:t>
            </w:r>
            <w:proofErr w:type="spellStart"/>
            <w:r w:rsidRPr="004539D5">
              <w:rPr>
                <w:rFonts w:ascii="Arial" w:hAnsi="Arial"/>
                <w:bCs/>
                <w:sz w:val="18"/>
                <w:lang w:val="mk-MK"/>
              </w:rPr>
              <w:t>to</w:t>
            </w:r>
            <w:proofErr w:type="spellEnd"/>
            <w:r w:rsidRPr="004539D5">
              <w:rPr>
                <w:rFonts w:ascii="Arial" w:hAnsi="Arial"/>
                <w:bCs/>
                <w:sz w:val="18"/>
                <w:lang w:val="mk-MK"/>
              </w:rPr>
              <w:t xml:space="preserve"> </w:t>
            </w:r>
            <w:proofErr w:type="spellStart"/>
            <w:r w:rsidRPr="004539D5">
              <w:rPr>
                <w:rFonts w:ascii="Arial" w:hAnsi="Arial"/>
                <w:bCs/>
                <w:sz w:val="18"/>
                <w:lang w:val="mk-MK"/>
              </w:rPr>
              <w:t>Insurance</w:t>
            </w:r>
            <w:proofErr w:type="spellEnd"/>
            <w:r w:rsidRPr="004539D5">
              <w:rPr>
                <w:rFonts w:ascii="Arial" w:hAnsi="Arial"/>
                <w:bCs/>
                <w:sz w:val="18"/>
                <w:lang w:val="mk-MK"/>
              </w:rPr>
              <w:t xml:space="preserve"> </w:t>
            </w:r>
            <w:proofErr w:type="spellStart"/>
            <w:r w:rsidRPr="004539D5">
              <w:rPr>
                <w:rFonts w:ascii="Arial" w:hAnsi="Arial"/>
                <w:bCs/>
                <w:sz w:val="18"/>
                <w:lang w:val="mk-MK"/>
              </w:rPr>
              <w:t>fund</w:t>
            </w:r>
            <w:proofErr w:type="spellEnd"/>
          </w:p>
        </w:tc>
        <w:tc>
          <w:tcPr>
            <w:tcW w:w="1469" w:type="dxa"/>
            <w:tcBorders>
              <w:bottom w:val="single" w:sz="4" w:space="0" w:color="auto"/>
            </w:tcBorders>
            <w:shd w:val="clear" w:color="auto" w:fill="auto"/>
            <w:tcMar>
              <w:left w:w="58" w:type="dxa"/>
              <w:right w:w="58" w:type="dxa"/>
            </w:tcMar>
            <w:vAlign w:val="bottom"/>
          </w:tcPr>
          <w:p w14:paraId="12B21019" w14:textId="131C631E" w:rsidR="00711844" w:rsidRPr="001E6526"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c>
          <w:tcPr>
            <w:tcW w:w="1470" w:type="dxa"/>
            <w:tcBorders>
              <w:bottom w:val="single" w:sz="4" w:space="0" w:color="auto"/>
            </w:tcBorders>
            <w:shd w:val="clear" w:color="auto" w:fill="auto"/>
            <w:tcMar>
              <w:left w:w="58" w:type="dxa"/>
              <w:right w:w="58" w:type="dxa"/>
            </w:tcMar>
            <w:vAlign w:val="bottom"/>
          </w:tcPr>
          <w:p w14:paraId="54203944" w14:textId="538E3DDF" w:rsidR="00711844" w:rsidRPr="00CE3053" w:rsidRDefault="00711844" w:rsidP="00711844">
            <w:pPr>
              <w:spacing w:after="0"/>
              <w:jc w:val="right"/>
              <w:rPr>
                <w:rFonts w:ascii="Arial" w:hAnsi="Arial" w:cs="Arial"/>
                <w:color w:val="000000"/>
                <w:lang w:val="mk-MK"/>
              </w:rPr>
            </w:pPr>
            <w:r w:rsidRPr="001E6526">
              <w:rPr>
                <w:rFonts w:ascii="Arial" w:hAnsi="Arial" w:cs="Arial"/>
                <w:color w:val="000000"/>
                <w:lang w:val="mk-MK"/>
              </w:rPr>
              <w:t>117,593</w:t>
            </w:r>
          </w:p>
        </w:tc>
        <w:tc>
          <w:tcPr>
            <w:tcW w:w="1561" w:type="dxa"/>
            <w:tcBorders>
              <w:bottom w:val="single" w:sz="4" w:space="0" w:color="auto"/>
            </w:tcBorders>
            <w:shd w:val="clear" w:color="auto" w:fill="auto"/>
            <w:tcMar>
              <w:left w:w="58" w:type="dxa"/>
              <w:right w:w="58" w:type="dxa"/>
            </w:tcMar>
            <w:vAlign w:val="bottom"/>
          </w:tcPr>
          <w:p w14:paraId="7341C9A8" w14:textId="79CB15DD" w:rsidR="00711844" w:rsidRPr="00CE3053" w:rsidRDefault="00711844" w:rsidP="00711844">
            <w:pPr>
              <w:spacing w:after="0"/>
              <w:jc w:val="right"/>
              <w:rPr>
                <w:rFonts w:ascii="Arial" w:hAnsi="Arial" w:cs="Arial"/>
                <w:color w:val="000000"/>
                <w:lang w:val="mk-MK"/>
              </w:rPr>
            </w:pPr>
            <w:r w:rsidRPr="001E6526">
              <w:rPr>
                <w:rFonts w:ascii="Arial" w:hAnsi="Arial" w:cs="Arial"/>
                <w:color w:val="000000"/>
                <w:lang w:val="mk-MK"/>
              </w:rPr>
              <w:t>(117,593)</w:t>
            </w:r>
          </w:p>
        </w:tc>
        <w:tc>
          <w:tcPr>
            <w:tcW w:w="1378" w:type="dxa"/>
            <w:tcBorders>
              <w:bottom w:val="single" w:sz="4" w:space="0" w:color="auto"/>
            </w:tcBorders>
            <w:shd w:val="clear" w:color="auto" w:fill="auto"/>
            <w:tcMar>
              <w:left w:w="58" w:type="dxa"/>
              <w:right w:w="58" w:type="dxa"/>
            </w:tcMar>
            <w:vAlign w:val="bottom"/>
          </w:tcPr>
          <w:p w14:paraId="3DE217B6" w14:textId="0D37B0F0" w:rsidR="00711844" w:rsidRPr="00CE3053"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r>
      <w:tr w:rsidR="00711844" w:rsidRPr="001E6526" w14:paraId="246671B5" w14:textId="77777777" w:rsidTr="000F4447">
        <w:trPr>
          <w:trHeight w:val="216"/>
        </w:trPr>
        <w:tc>
          <w:tcPr>
            <w:tcW w:w="2762" w:type="dxa"/>
            <w:tcBorders>
              <w:top w:val="single" w:sz="4" w:space="0" w:color="auto"/>
            </w:tcBorders>
            <w:shd w:val="clear" w:color="auto" w:fill="auto"/>
            <w:tcMar>
              <w:left w:w="58" w:type="dxa"/>
              <w:right w:w="58" w:type="dxa"/>
            </w:tcMar>
            <w:vAlign w:val="bottom"/>
          </w:tcPr>
          <w:p w14:paraId="14ECBC90" w14:textId="4AD25DD1" w:rsidR="00711844" w:rsidRPr="00CE3053" w:rsidRDefault="004539D5" w:rsidP="00711844">
            <w:pPr>
              <w:pStyle w:val="TableText"/>
              <w:spacing w:after="0"/>
              <w:rPr>
                <w:rFonts w:ascii="Arial" w:hAnsi="Arial"/>
                <w:bCs/>
                <w:sz w:val="18"/>
                <w:lang w:val="mk-MK"/>
              </w:rPr>
            </w:pPr>
            <w:proofErr w:type="spellStart"/>
            <w:r w:rsidRPr="004539D5">
              <w:rPr>
                <w:rFonts w:ascii="Arial" w:hAnsi="Arial"/>
                <w:b/>
                <w:sz w:val="18"/>
                <w:lang w:val="mk-MK"/>
              </w:rPr>
              <w:t>Transactions</w:t>
            </w:r>
            <w:proofErr w:type="spellEnd"/>
            <w:r w:rsidRPr="004539D5">
              <w:rPr>
                <w:rFonts w:ascii="Arial" w:hAnsi="Arial"/>
                <w:b/>
                <w:sz w:val="18"/>
                <w:lang w:val="mk-MK"/>
              </w:rPr>
              <w:t xml:space="preserve"> </w:t>
            </w:r>
            <w:proofErr w:type="spellStart"/>
            <w:r w:rsidRPr="004539D5">
              <w:rPr>
                <w:rFonts w:ascii="Arial" w:hAnsi="Arial"/>
                <w:b/>
                <w:sz w:val="18"/>
                <w:lang w:val="mk-MK"/>
              </w:rPr>
              <w:t>with</w:t>
            </w:r>
            <w:proofErr w:type="spellEnd"/>
            <w:r w:rsidRPr="004539D5">
              <w:rPr>
                <w:rFonts w:ascii="Arial" w:hAnsi="Arial"/>
                <w:b/>
                <w:sz w:val="18"/>
                <w:lang w:val="mk-MK"/>
              </w:rPr>
              <w:t xml:space="preserve"> </w:t>
            </w:r>
            <w:proofErr w:type="spellStart"/>
            <w:r w:rsidRPr="004539D5">
              <w:rPr>
                <w:rFonts w:ascii="Arial" w:hAnsi="Arial"/>
                <w:b/>
                <w:sz w:val="18"/>
                <w:lang w:val="mk-MK"/>
              </w:rPr>
              <w:t>the</w:t>
            </w:r>
            <w:proofErr w:type="spellEnd"/>
            <w:r w:rsidRPr="004539D5">
              <w:rPr>
                <w:rFonts w:ascii="Arial" w:hAnsi="Arial"/>
                <w:b/>
                <w:sz w:val="18"/>
                <w:lang w:val="mk-MK"/>
              </w:rPr>
              <w:t xml:space="preserve"> </w:t>
            </w:r>
            <w:proofErr w:type="spellStart"/>
            <w:r w:rsidRPr="004539D5">
              <w:rPr>
                <w:rFonts w:ascii="Arial" w:hAnsi="Arial"/>
                <w:b/>
                <w:sz w:val="18"/>
                <w:lang w:val="mk-MK"/>
              </w:rPr>
              <w:t>Founder</w:t>
            </w:r>
            <w:proofErr w:type="spellEnd"/>
          </w:p>
        </w:tc>
        <w:tc>
          <w:tcPr>
            <w:tcW w:w="1469" w:type="dxa"/>
            <w:shd w:val="clear" w:color="auto" w:fill="auto"/>
            <w:tcMar>
              <w:left w:w="58" w:type="dxa"/>
              <w:right w:w="58" w:type="dxa"/>
            </w:tcMar>
            <w:vAlign w:val="bottom"/>
          </w:tcPr>
          <w:p w14:paraId="590A98E2" w14:textId="01AB0997" w:rsidR="00711844" w:rsidRPr="00CE3053" w:rsidRDefault="00711844" w:rsidP="00711844">
            <w:pPr>
              <w:spacing w:after="0"/>
              <w:jc w:val="right"/>
              <w:rPr>
                <w:rFonts w:ascii="Arial" w:hAnsi="Arial" w:cs="Arial"/>
                <w:b/>
                <w:bCs/>
                <w:color w:val="000000"/>
                <w:lang w:val="mk-MK"/>
              </w:rPr>
            </w:pPr>
            <w:r w:rsidRPr="001E6526">
              <w:rPr>
                <w:rFonts w:ascii="Arial" w:hAnsi="Arial" w:cs="Arial"/>
                <w:b/>
                <w:bCs/>
                <w:color w:val="000000"/>
                <w:lang w:val="mk-MK"/>
              </w:rPr>
              <w:t>10,300</w:t>
            </w:r>
          </w:p>
        </w:tc>
        <w:tc>
          <w:tcPr>
            <w:tcW w:w="1470" w:type="dxa"/>
            <w:shd w:val="clear" w:color="auto" w:fill="auto"/>
            <w:tcMar>
              <w:left w:w="58" w:type="dxa"/>
              <w:right w:w="58" w:type="dxa"/>
            </w:tcMar>
            <w:vAlign w:val="bottom"/>
          </w:tcPr>
          <w:p w14:paraId="0697F544" w14:textId="01D49DDE" w:rsidR="00711844" w:rsidRPr="00CE3053" w:rsidRDefault="00711844" w:rsidP="00711844">
            <w:pPr>
              <w:spacing w:after="0"/>
              <w:jc w:val="right"/>
              <w:rPr>
                <w:rFonts w:ascii="Arial" w:hAnsi="Arial" w:cs="Arial"/>
                <w:b/>
                <w:bCs/>
                <w:color w:val="000000"/>
                <w:lang w:val="mk-MK"/>
              </w:rPr>
            </w:pPr>
            <w:r w:rsidRPr="001E6526">
              <w:rPr>
                <w:rFonts w:ascii="Arial" w:hAnsi="Arial" w:cs="Arial"/>
                <w:b/>
                <w:bCs/>
                <w:color w:val="000000"/>
                <w:lang w:val="mk-MK"/>
              </w:rPr>
              <w:t>13,943,672</w:t>
            </w:r>
          </w:p>
        </w:tc>
        <w:tc>
          <w:tcPr>
            <w:tcW w:w="1561" w:type="dxa"/>
            <w:shd w:val="clear" w:color="auto" w:fill="auto"/>
            <w:tcMar>
              <w:left w:w="58" w:type="dxa"/>
              <w:right w:w="58" w:type="dxa"/>
            </w:tcMar>
            <w:vAlign w:val="bottom"/>
          </w:tcPr>
          <w:p w14:paraId="0EA8D90B" w14:textId="57A0E37B" w:rsidR="00711844" w:rsidRPr="00CE3053" w:rsidRDefault="00711844" w:rsidP="00711844">
            <w:pPr>
              <w:spacing w:after="0"/>
              <w:jc w:val="right"/>
              <w:rPr>
                <w:rFonts w:ascii="Arial" w:hAnsi="Arial" w:cs="Arial"/>
                <w:b/>
                <w:bCs/>
                <w:color w:val="000000"/>
                <w:lang w:val="mk-MK"/>
              </w:rPr>
            </w:pPr>
            <w:r w:rsidRPr="001E6526">
              <w:rPr>
                <w:rFonts w:ascii="Arial" w:hAnsi="Arial" w:cs="Arial"/>
                <w:b/>
                <w:bCs/>
                <w:color w:val="000000"/>
                <w:lang w:val="mk-MK"/>
              </w:rPr>
              <w:t>-</w:t>
            </w:r>
          </w:p>
        </w:tc>
        <w:tc>
          <w:tcPr>
            <w:tcW w:w="1378" w:type="dxa"/>
            <w:shd w:val="clear" w:color="auto" w:fill="auto"/>
            <w:tcMar>
              <w:left w:w="58" w:type="dxa"/>
              <w:right w:w="58" w:type="dxa"/>
            </w:tcMar>
            <w:vAlign w:val="bottom"/>
          </w:tcPr>
          <w:p w14:paraId="7E9B3C54" w14:textId="0D537B21" w:rsidR="00711844" w:rsidRPr="00CE3053" w:rsidRDefault="00711844" w:rsidP="00711844">
            <w:pPr>
              <w:spacing w:after="0"/>
              <w:jc w:val="right"/>
              <w:rPr>
                <w:rFonts w:ascii="Arial" w:hAnsi="Arial" w:cs="Arial"/>
                <w:b/>
                <w:bCs/>
                <w:color w:val="000000"/>
                <w:lang w:val="mk-MK"/>
              </w:rPr>
            </w:pPr>
            <w:r w:rsidRPr="001E6526">
              <w:rPr>
                <w:rFonts w:ascii="Arial" w:hAnsi="Arial" w:cs="Arial"/>
                <w:b/>
                <w:bCs/>
                <w:color w:val="000000"/>
                <w:lang w:val="mk-MK"/>
              </w:rPr>
              <w:t>13,953,972</w:t>
            </w:r>
          </w:p>
        </w:tc>
      </w:tr>
      <w:tr w:rsidR="00711844" w:rsidRPr="001E6526" w14:paraId="443C8E03" w14:textId="77777777" w:rsidTr="00815E65">
        <w:trPr>
          <w:trHeight w:val="216"/>
        </w:trPr>
        <w:tc>
          <w:tcPr>
            <w:tcW w:w="2762" w:type="dxa"/>
            <w:shd w:val="clear" w:color="auto" w:fill="auto"/>
            <w:tcMar>
              <w:left w:w="58" w:type="dxa"/>
              <w:right w:w="58" w:type="dxa"/>
            </w:tcMar>
            <w:vAlign w:val="bottom"/>
          </w:tcPr>
          <w:p w14:paraId="0924E4BB" w14:textId="68FE9D36" w:rsidR="00711844" w:rsidRPr="00CE3053" w:rsidRDefault="004539D5" w:rsidP="00711844">
            <w:pPr>
              <w:pStyle w:val="TableText"/>
              <w:spacing w:after="0"/>
              <w:rPr>
                <w:rFonts w:ascii="Arial" w:hAnsi="Arial"/>
                <w:bCs/>
                <w:sz w:val="18"/>
                <w:lang w:val="mk-MK"/>
              </w:rPr>
            </w:pPr>
            <w:proofErr w:type="spellStart"/>
            <w:r w:rsidRPr="004539D5">
              <w:rPr>
                <w:rFonts w:ascii="Arial" w:hAnsi="Arial"/>
                <w:bCs/>
                <w:sz w:val="18"/>
                <w:lang w:val="mk-MK"/>
              </w:rPr>
              <w:t>Profit</w:t>
            </w:r>
            <w:proofErr w:type="spellEnd"/>
            <w:r w:rsidRPr="004539D5">
              <w:rPr>
                <w:rFonts w:ascii="Arial" w:hAnsi="Arial"/>
                <w:bCs/>
                <w:sz w:val="18"/>
                <w:lang w:val="mk-MK"/>
              </w:rPr>
              <w:t xml:space="preserve"> </w:t>
            </w:r>
            <w:proofErr w:type="spellStart"/>
            <w:r w:rsidRPr="004539D5">
              <w:rPr>
                <w:rFonts w:ascii="Arial" w:hAnsi="Arial"/>
                <w:bCs/>
                <w:sz w:val="18"/>
                <w:lang w:val="mk-MK"/>
              </w:rPr>
              <w:t>for</w:t>
            </w:r>
            <w:proofErr w:type="spellEnd"/>
            <w:r w:rsidRPr="004539D5">
              <w:rPr>
                <w:rFonts w:ascii="Arial" w:hAnsi="Arial"/>
                <w:bCs/>
                <w:sz w:val="18"/>
                <w:lang w:val="mk-MK"/>
              </w:rPr>
              <w:t xml:space="preserve"> </w:t>
            </w:r>
            <w:proofErr w:type="spellStart"/>
            <w:r w:rsidRPr="004539D5">
              <w:rPr>
                <w:rFonts w:ascii="Arial" w:hAnsi="Arial"/>
                <w:bCs/>
                <w:sz w:val="18"/>
                <w:lang w:val="mk-MK"/>
              </w:rPr>
              <w:t>the</w:t>
            </w:r>
            <w:proofErr w:type="spellEnd"/>
            <w:r w:rsidRPr="004539D5">
              <w:rPr>
                <w:rFonts w:ascii="Arial" w:hAnsi="Arial"/>
                <w:bCs/>
                <w:sz w:val="18"/>
                <w:lang w:val="mk-MK"/>
              </w:rPr>
              <w:t xml:space="preserve"> </w:t>
            </w:r>
            <w:proofErr w:type="spellStart"/>
            <w:r w:rsidRPr="004539D5">
              <w:rPr>
                <w:rFonts w:ascii="Arial" w:hAnsi="Arial"/>
                <w:bCs/>
                <w:sz w:val="18"/>
                <w:lang w:val="mk-MK"/>
              </w:rPr>
              <w:t>year</w:t>
            </w:r>
            <w:proofErr w:type="spellEnd"/>
          </w:p>
        </w:tc>
        <w:tc>
          <w:tcPr>
            <w:tcW w:w="1469" w:type="dxa"/>
            <w:shd w:val="clear" w:color="auto" w:fill="auto"/>
            <w:tcMar>
              <w:left w:w="58" w:type="dxa"/>
              <w:right w:w="58" w:type="dxa"/>
            </w:tcMar>
            <w:vAlign w:val="bottom"/>
          </w:tcPr>
          <w:p w14:paraId="67678158" w14:textId="6D5D1F85" w:rsidR="00711844" w:rsidRPr="001E6526"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c>
          <w:tcPr>
            <w:tcW w:w="1470" w:type="dxa"/>
            <w:shd w:val="clear" w:color="auto" w:fill="auto"/>
            <w:tcMar>
              <w:left w:w="58" w:type="dxa"/>
              <w:right w:w="58" w:type="dxa"/>
            </w:tcMar>
            <w:vAlign w:val="bottom"/>
          </w:tcPr>
          <w:p w14:paraId="08D9FBA4" w14:textId="15BF6BD8" w:rsidR="00711844" w:rsidRPr="001E6526"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c>
          <w:tcPr>
            <w:tcW w:w="1561" w:type="dxa"/>
            <w:shd w:val="clear" w:color="auto" w:fill="auto"/>
            <w:tcMar>
              <w:left w:w="58" w:type="dxa"/>
              <w:right w:w="58" w:type="dxa"/>
            </w:tcMar>
            <w:vAlign w:val="bottom"/>
          </w:tcPr>
          <w:p w14:paraId="2D9780EB" w14:textId="699BF4D4" w:rsidR="00711844" w:rsidRPr="00CE3053" w:rsidRDefault="00711844" w:rsidP="00711844">
            <w:pPr>
              <w:spacing w:after="0"/>
              <w:jc w:val="right"/>
              <w:rPr>
                <w:rFonts w:ascii="Arial" w:hAnsi="Arial" w:cs="Arial"/>
                <w:color w:val="000000"/>
                <w:lang w:val="mk-MK"/>
              </w:rPr>
            </w:pPr>
            <w:r w:rsidRPr="001E6526">
              <w:rPr>
                <w:rFonts w:ascii="Arial" w:hAnsi="Arial" w:cs="Arial"/>
                <w:color w:val="000000"/>
                <w:lang w:val="mk-MK"/>
              </w:rPr>
              <w:t>70,194</w:t>
            </w:r>
          </w:p>
        </w:tc>
        <w:tc>
          <w:tcPr>
            <w:tcW w:w="1378" w:type="dxa"/>
            <w:shd w:val="clear" w:color="auto" w:fill="auto"/>
            <w:tcMar>
              <w:left w:w="58" w:type="dxa"/>
              <w:right w:w="58" w:type="dxa"/>
            </w:tcMar>
            <w:vAlign w:val="bottom"/>
          </w:tcPr>
          <w:p w14:paraId="28399602" w14:textId="3741FCA4" w:rsidR="00711844" w:rsidRPr="00CE3053" w:rsidRDefault="00711844" w:rsidP="00711844">
            <w:pPr>
              <w:spacing w:after="0"/>
              <w:jc w:val="right"/>
              <w:rPr>
                <w:rFonts w:ascii="Arial" w:hAnsi="Arial" w:cs="Arial"/>
                <w:color w:val="000000"/>
                <w:lang w:val="mk-MK"/>
              </w:rPr>
            </w:pPr>
            <w:r w:rsidRPr="001E6526">
              <w:rPr>
                <w:rFonts w:ascii="Arial" w:hAnsi="Arial" w:cs="Arial"/>
                <w:color w:val="000000"/>
                <w:lang w:val="mk-MK"/>
              </w:rPr>
              <w:t>70,194</w:t>
            </w:r>
          </w:p>
        </w:tc>
      </w:tr>
      <w:tr w:rsidR="00711844" w:rsidRPr="001E6526" w14:paraId="6F63FBE9" w14:textId="77777777" w:rsidTr="00815E65">
        <w:trPr>
          <w:trHeight w:val="216"/>
        </w:trPr>
        <w:tc>
          <w:tcPr>
            <w:tcW w:w="2762" w:type="dxa"/>
            <w:tcBorders>
              <w:bottom w:val="single" w:sz="4" w:space="0" w:color="auto"/>
            </w:tcBorders>
            <w:shd w:val="clear" w:color="auto" w:fill="auto"/>
            <w:tcMar>
              <w:left w:w="58" w:type="dxa"/>
              <w:right w:w="58" w:type="dxa"/>
            </w:tcMar>
            <w:vAlign w:val="bottom"/>
          </w:tcPr>
          <w:p w14:paraId="6220E746" w14:textId="6C591D1E" w:rsidR="00711844" w:rsidRPr="00CE3053" w:rsidRDefault="004539D5" w:rsidP="00711844">
            <w:pPr>
              <w:pStyle w:val="TableText"/>
              <w:spacing w:after="0"/>
              <w:rPr>
                <w:rFonts w:ascii="Arial" w:hAnsi="Arial"/>
                <w:bCs/>
                <w:sz w:val="18"/>
                <w:lang w:val="mk-MK"/>
              </w:rPr>
            </w:pPr>
            <w:proofErr w:type="spellStart"/>
            <w:r w:rsidRPr="004539D5">
              <w:rPr>
                <w:rFonts w:ascii="Arial" w:hAnsi="Arial"/>
                <w:bCs/>
                <w:sz w:val="18"/>
                <w:lang w:val="mk-MK"/>
              </w:rPr>
              <w:t>Other</w:t>
            </w:r>
            <w:proofErr w:type="spellEnd"/>
            <w:r w:rsidRPr="004539D5">
              <w:rPr>
                <w:rFonts w:ascii="Arial" w:hAnsi="Arial"/>
                <w:bCs/>
                <w:sz w:val="18"/>
                <w:lang w:val="mk-MK"/>
              </w:rPr>
              <w:t xml:space="preserve"> </w:t>
            </w:r>
            <w:proofErr w:type="spellStart"/>
            <w:r w:rsidRPr="004539D5">
              <w:rPr>
                <w:rFonts w:ascii="Arial" w:hAnsi="Arial"/>
                <w:bCs/>
                <w:sz w:val="18"/>
                <w:lang w:val="mk-MK"/>
              </w:rPr>
              <w:t>comprehensive</w:t>
            </w:r>
            <w:proofErr w:type="spellEnd"/>
            <w:r w:rsidRPr="004539D5">
              <w:rPr>
                <w:rFonts w:ascii="Arial" w:hAnsi="Arial"/>
                <w:bCs/>
                <w:sz w:val="18"/>
                <w:lang w:val="mk-MK"/>
              </w:rPr>
              <w:t xml:space="preserve"> </w:t>
            </w:r>
            <w:proofErr w:type="spellStart"/>
            <w:r w:rsidRPr="004539D5">
              <w:rPr>
                <w:rFonts w:ascii="Arial" w:hAnsi="Arial"/>
                <w:bCs/>
                <w:sz w:val="18"/>
                <w:lang w:val="mk-MK"/>
              </w:rPr>
              <w:t>income</w:t>
            </w:r>
            <w:proofErr w:type="spellEnd"/>
          </w:p>
        </w:tc>
        <w:tc>
          <w:tcPr>
            <w:tcW w:w="1469" w:type="dxa"/>
            <w:tcBorders>
              <w:bottom w:val="single" w:sz="4" w:space="0" w:color="auto"/>
            </w:tcBorders>
            <w:shd w:val="clear" w:color="auto" w:fill="auto"/>
            <w:tcMar>
              <w:left w:w="58" w:type="dxa"/>
              <w:right w:w="58" w:type="dxa"/>
            </w:tcMar>
            <w:vAlign w:val="bottom"/>
          </w:tcPr>
          <w:p w14:paraId="23554EA2" w14:textId="234594FA" w:rsidR="00711844" w:rsidRPr="001E6526"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c>
          <w:tcPr>
            <w:tcW w:w="1470" w:type="dxa"/>
            <w:tcBorders>
              <w:bottom w:val="single" w:sz="4" w:space="0" w:color="auto"/>
            </w:tcBorders>
            <w:shd w:val="clear" w:color="auto" w:fill="auto"/>
            <w:tcMar>
              <w:left w:w="58" w:type="dxa"/>
              <w:right w:w="58" w:type="dxa"/>
            </w:tcMar>
            <w:vAlign w:val="bottom"/>
          </w:tcPr>
          <w:p w14:paraId="1AB66D67" w14:textId="6D528A2C" w:rsidR="00711844" w:rsidRPr="001E6526"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c>
          <w:tcPr>
            <w:tcW w:w="1561" w:type="dxa"/>
            <w:tcBorders>
              <w:bottom w:val="single" w:sz="4" w:space="0" w:color="auto"/>
            </w:tcBorders>
            <w:shd w:val="clear" w:color="auto" w:fill="auto"/>
            <w:tcMar>
              <w:left w:w="58" w:type="dxa"/>
              <w:right w:w="58" w:type="dxa"/>
            </w:tcMar>
            <w:vAlign w:val="bottom"/>
          </w:tcPr>
          <w:p w14:paraId="638FC602" w14:textId="12817712" w:rsidR="00711844" w:rsidRPr="001E6526"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c>
          <w:tcPr>
            <w:tcW w:w="1378" w:type="dxa"/>
            <w:tcBorders>
              <w:bottom w:val="single" w:sz="4" w:space="0" w:color="auto"/>
            </w:tcBorders>
            <w:shd w:val="clear" w:color="auto" w:fill="auto"/>
            <w:tcMar>
              <w:left w:w="58" w:type="dxa"/>
              <w:right w:w="58" w:type="dxa"/>
            </w:tcMar>
            <w:vAlign w:val="bottom"/>
          </w:tcPr>
          <w:p w14:paraId="1DAC2068" w14:textId="2019B34E" w:rsidR="00711844" w:rsidRPr="001E6526" w:rsidRDefault="00711844" w:rsidP="00711844">
            <w:pPr>
              <w:spacing w:after="0"/>
              <w:jc w:val="right"/>
              <w:rPr>
                <w:rFonts w:ascii="Arial" w:hAnsi="Arial" w:cs="Arial"/>
                <w:color w:val="000000"/>
                <w:lang w:val="mk-MK"/>
              </w:rPr>
            </w:pPr>
            <w:r w:rsidRPr="001E6526">
              <w:rPr>
                <w:rFonts w:ascii="Arial" w:hAnsi="Arial" w:cs="Arial"/>
                <w:color w:val="000000"/>
                <w:lang w:val="mk-MK"/>
              </w:rPr>
              <w:t>-</w:t>
            </w:r>
          </w:p>
        </w:tc>
      </w:tr>
      <w:tr w:rsidR="00711844" w:rsidRPr="001E6526" w14:paraId="3F342D85" w14:textId="77777777" w:rsidTr="00815E65">
        <w:trPr>
          <w:trHeight w:val="216"/>
        </w:trPr>
        <w:tc>
          <w:tcPr>
            <w:tcW w:w="2762" w:type="dxa"/>
            <w:tcBorders>
              <w:top w:val="single" w:sz="4" w:space="0" w:color="auto"/>
              <w:bottom w:val="single" w:sz="4" w:space="0" w:color="auto"/>
            </w:tcBorders>
            <w:shd w:val="clear" w:color="auto" w:fill="auto"/>
            <w:tcMar>
              <w:left w:w="58" w:type="dxa"/>
              <w:right w:w="58" w:type="dxa"/>
            </w:tcMar>
            <w:vAlign w:val="bottom"/>
          </w:tcPr>
          <w:p w14:paraId="69C41A72" w14:textId="2B679B5B" w:rsidR="00711844" w:rsidRPr="00CE3053" w:rsidRDefault="004539D5" w:rsidP="00711844">
            <w:pPr>
              <w:pStyle w:val="TableText"/>
              <w:spacing w:after="0"/>
              <w:rPr>
                <w:rFonts w:ascii="Arial" w:hAnsi="Arial"/>
                <w:bCs/>
                <w:sz w:val="18"/>
                <w:lang w:val="mk-MK"/>
              </w:rPr>
            </w:pPr>
            <w:proofErr w:type="spellStart"/>
            <w:r w:rsidRPr="004539D5">
              <w:rPr>
                <w:rFonts w:ascii="Arial" w:hAnsi="Arial"/>
                <w:b/>
                <w:sz w:val="18"/>
                <w:lang w:val="mk-MK"/>
              </w:rPr>
              <w:t>Total</w:t>
            </w:r>
            <w:proofErr w:type="spellEnd"/>
            <w:r w:rsidRPr="004539D5">
              <w:rPr>
                <w:rFonts w:ascii="Arial" w:hAnsi="Arial"/>
                <w:b/>
                <w:sz w:val="18"/>
                <w:lang w:val="mk-MK"/>
              </w:rPr>
              <w:t xml:space="preserve"> </w:t>
            </w:r>
            <w:proofErr w:type="spellStart"/>
            <w:r w:rsidRPr="004539D5">
              <w:rPr>
                <w:rFonts w:ascii="Arial" w:hAnsi="Arial"/>
                <w:b/>
                <w:sz w:val="18"/>
                <w:lang w:val="mk-MK"/>
              </w:rPr>
              <w:t>comprehensive</w:t>
            </w:r>
            <w:proofErr w:type="spellEnd"/>
            <w:r w:rsidRPr="004539D5">
              <w:rPr>
                <w:rFonts w:ascii="Arial" w:hAnsi="Arial"/>
                <w:b/>
                <w:sz w:val="18"/>
                <w:lang w:val="mk-MK"/>
              </w:rPr>
              <w:t xml:space="preserve"> </w:t>
            </w:r>
            <w:proofErr w:type="spellStart"/>
            <w:r w:rsidRPr="004539D5">
              <w:rPr>
                <w:rFonts w:ascii="Arial" w:hAnsi="Arial"/>
                <w:b/>
                <w:sz w:val="18"/>
                <w:lang w:val="mk-MK"/>
              </w:rPr>
              <w:t>income</w:t>
            </w:r>
            <w:proofErr w:type="spellEnd"/>
          </w:p>
        </w:tc>
        <w:tc>
          <w:tcPr>
            <w:tcW w:w="1469" w:type="dxa"/>
            <w:tcBorders>
              <w:top w:val="single" w:sz="4" w:space="0" w:color="auto"/>
              <w:bottom w:val="single" w:sz="4" w:space="0" w:color="auto"/>
            </w:tcBorders>
            <w:shd w:val="clear" w:color="auto" w:fill="auto"/>
            <w:tcMar>
              <w:left w:w="58" w:type="dxa"/>
              <w:right w:w="58" w:type="dxa"/>
            </w:tcMar>
            <w:vAlign w:val="bottom"/>
          </w:tcPr>
          <w:p w14:paraId="23376A8C" w14:textId="500AF153" w:rsidR="00711844" w:rsidRPr="001E6526" w:rsidRDefault="00711844" w:rsidP="00711844">
            <w:pPr>
              <w:spacing w:after="0"/>
              <w:jc w:val="right"/>
              <w:rPr>
                <w:rFonts w:ascii="Arial" w:hAnsi="Arial" w:cs="Arial"/>
                <w:b/>
                <w:bCs/>
                <w:color w:val="000000"/>
                <w:lang w:val="mk-MK"/>
              </w:rPr>
            </w:pPr>
            <w:r w:rsidRPr="001E6526">
              <w:rPr>
                <w:rFonts w:ascii="Arial" w:hAnsi="Arial" w:cs="Arial"/>
                <w:b/>
                <w:bCs/>
                <w:color w:val="000000"/>
                <w:lang w:val="mk-MK"/>
              </w:rPr>
              <w:t>-</w:t>
            </w:r>
          </w:p>
        </w:tc>
        <w:tc>
          <w:tcPr>
            <w:tcW w:w="1470" w:type="dxa"/>
            <w:tcBorders>
              <w:top w:val="single" w:sz="4" w:space="0" w:color="auto"/>
              <w:bottom w:val="single" w:sz="4" w:space="0" w:color="auto"/>
            </w:tcBorders>
            <w:shd w:val="clear" w:color="auto" w:fill="auto"/>
            <w:tcMar>
              <w:left w:w="58" w:type="dxa"/>
              <w:right w:w="58" w:type="dxa"/>
            </w:tcMar>
            <w:vAlign w:val="bottom"/>
          </w:tcPr>
          <w:p w14:paraId="1FFF3C40" w14:textId="6EE509A4" w:rsidR="00711844" w:rsidRPr="001E6526" w:rsidRDefault="00711844" w:rsidP="00711844">
            <w:pPr>
              <w:spacing w:after="0"/>
              <w:jc w:val="right"/>
              <w:rPr>
                <w:rFonts w:ascii="Arial" w:hAnsi="Arial" w:cs="Arial"/>
                <w:b/>
                <w:bCs/>
                <w:color w:val="000000"/>
                <w:lang w:val="mk-MK"/>
              </w:rPr>
            </w:pPr>
            <w:r w:rsidRPr="001E6526">
              <w:rPr>
                <w:rFonts w:ascii="Arial" w:hAnsi="Arial" w:cs="Arial"/>
                <w:b/>
                <w:bCs/>
                <w:color w:val="000000"/>
                <w:lang w:val="mk-MK"/>
              </w:rPr>
              <w:t>-</w:t>
            </w:r>
          </w:p>
        </w:tc>
        <w:tc>
          <w:tcPr>
            <w:tcW w:w="1561" w:type="dxa"/>
            <w:tcBorders>
              <w:top w:val="single" w:sz="4" w:space="0" w:color="auto"/>
              <w:bottom w:val="single" w:sz="4" w:space="0" w:color="auto"/>
            </w:tcBorders>
            <w:shd w:val="clear" w:color="auto" w:fill="auto"/>
            <w:tcMar>
              <w:left w:w="58" w:type="dxa"/>
              <w:right w:w="58" w:type="dxa"/>
            </w:tcMar>
            <w:vAlign w:val="bottom"/>
          </w:tcPr>
          <w:p w14:paraId="1DB7305B" w14:textId="6C5E5F80" w:rsidR="00711844" w:rsidRPr="00CE3053" w:rsidRDefault="00711844" w:rsidP="00711844">
            <w:pPr>
              <w:spacing w:after="0"/>
              <w:jc w:val="right"/>
              <w:rPr>
                <w:rFonts w:ascii="Arial" w:hAnsi="Arial" w:cs="Arial"/>
                <w:b/>
                <w:bCs/>
                <w:color w:val="000000"/>
                <w:lang w:val="mk-MK"/>
              </w:rPr>
            </w:pPr>
            <w:r w:rsidRPr="001E6526">
              <w:rPr>
                <w:rFonts w:ascii="Arial" w:hAnsi="Arial" w:cs="Arial"/>
                <w:b/>
                <w:bCs/>
                <w:color w:val="000000"/>
                <w:lang w:val="mk-MK"/>
              </w:rPr>
              <w:t>-</w:t>
            </w:r>
          </w:p>
        </w:tc>
        <w:tc>
          <w:tcPr>
            <w:tcW w:w="1378" w:type="dxa"/>
            <w:tcBorders>
              <w:top w:val="single" w:sz="4" w:space="0" w:color="auto"/>
              <w:bottom w:val="single" w:sz="4" w:space="0" w:color="auto"/>
            </w:tcBorders>
            <w:shd w:val="clear" w:color="auto" w:fill="auto"/>
            <w:tcMar>
              <w:left w:w="58" w:type="dxa"/>
              <w:right w:w="58" w:type="dxa"/>
            </w:tcMar>
            <w:vAlign w:val="bottom"/>
          </w:tcPr>
          <w:p w14:paraId="17C6C304" w14:textId="5F38C01A" w:rsidR="00711844" w:rsidRPr="00CE3053" w:rsidRDefault="00711844" w:rsidP="00711844">
            <w:pPr>
              <w:spacing w:after="0"/>
              <w:jc w:val="right"/>
              <w:rPr>
                <w:rFonts w:ascii="Arial" w:hAnsi="Arial" w:cs="Arial"/>
                <w:b/>
                <w:bCs/>
                <w:color w:val="000000"/>
                <w:lang w:val="mk-MK"/>
              </w:rPr>
            </w:pPr>
            <w:r w:rsidRPr="001E6526">
              <w:rPr>
                <w:rFonts w:ascii="Arial" w:hAnsi="Arial" w:cs="Arial"/>
                <w:b/>
                <w:bCs/>
                <w:color w:val="000000"/>
                <w:lang w:val="mk-MK"/>
              </w:rPr>
              <w:t>-</w:t>
            </w:r>
          </w:p>
        </w:tc>
      </w:tr>
      <w:tr w:rsidR="00711844" w:rsidRPr="001E6526" w14:paraId="1221FE43" w14:textId="77777777" w:rsidTr="00815E65">
        <w:trPr>
          <w:trHeight w:val="216"/>
        </w:trPr>
        <w:tc>
          <w:tcPr>
            <w:tcW w:w="2762" w:type="dxa"/>
            <w:tcBorders>
              <w:top w:val="single" w:sz="4" w:space="0" w:color="auto"/>
              <w:bottom w:val="double" w:sz="4" w:space="0" w:color="auto"/>
            </w:tcBorders>
            <w:shd w:val="clear" w:color="auto" w:fill="auto"/>
            <w:tcMar>
              <w:left w:w="58" w:type="dxa"/>
              <w:right w:w="58" w:type="dxa"/>
            </w:tcMar>
            <w:vAlign w:val="bottom"/>
          </w:tcPr>
          <w:p w14:paraId="4FC32294" w14:textId="602769D0" w:rsidR="00711844" w:rsidRPr="00CE3053" w:rsidRDefault="004539D5" w:rsidP="00711844">
            <w:pPr>
              <w:pStyle w:val="TableText"/>
              <w:spacing w:after="0"/>
              <w:rPr>
                <w:rFonts w:ascii="Arial" w:hAnsi="Arial"/>
                <w:b/>
                <w:sz w:val="18"/>
                <w:lang w:val="mk-MK"/>
              </w:rPr>
            </w:pPr>
            <w:r>
              <w:rPr>
                <w:rFonts w:ascii="Arial" w:hAnsi="Arial"/>
                <w:b/>
                <w:sz w:val="18"/>
                <w:lang w:val="en-US"/>
              </w:rPr>
              <w:t>At</w:t>
            </w:r>
            <w:r w:rsidR="00711844" w:rsidRPr="00CE3053">
              <w:rPr>
                <w:rFonts w:ascii="Arial" w:hAnsi="Arial"/>
                <w:b/>
                <w:sz w:val="18"/>
                <w:lang w:val="mk-MK"/>
              </w:rPr>
              <w:t xml:space="preserve"> 31 </w:t>
            </w:r>
            <w:r>
              <w:rPr>
                <w:rFonts w:ascii="Arial" w:hAnsi="Arial"/>
                <w:b/>
                <w:sz w:val="18"/>
                <w:lang w:val="en-US"/>
              </w:rPr>
              <w:t>December</w:t>
            </w:r>
            <w:r w:rsidR="00711844" w:rsidRPr="00CE3053">
              <w:rPr>
                <w:rFonts w:ascii="Arial" w:hAnsi="Arial"/>
                <w:b/>
                <w:sz w:val="18"/>
                <w:lang w:val="mk-MK"/>
              </w:rPr>
              <w:t xml:space="preserve"> 20</w:t>
            </w:r>
            <w:r w:rsidR="003C2544" w:rsidRPr="001E6526">
              <w:rPr>
                <w:rFonts w:ascii="Arial" w:hAnsi="Arial"/>
                <w:b/>
                <w:sz w:val="18"/>
                <w:lang w:val="mk-MK"/>
              </w:rPr>
              <w:t>20</w:t>
            </w:r>
          </w:p>
        </w:tc>
        <w:tc>
          <w:tcPr>
            <w:tcW w:w="1469" w:type="dxa"/>
            <w:tcBorders>
              <w:top w:val="single" w:sz="4" w:space="0" w:color="auto"/>
              <w:bottom w:val="double" w:sz="4" w:space="0" w:color="auto"/>
            </w:tcBorders>
            <w:shd w:val="clear" w:color="auto" w:fill="auto"/>
            <w:tcMar>
              <w:left w:w="58" w:type="dxa"/>
              <w:right w:w="58" w:type="dxa"/>
            </w:tcMar>
            <w:vAlign w:val="bottom"/>
          </w:tcPr>
          <w:p w14:paraId="0C126AC0" w14:textId="554BEB66" w:rsidR="00711844" w:rsidRPr="00CE3053" w:rsidRDefault="00711844" w:rsidP="00711844">
            <w:pPr>
              <w:spacing w:after="0"/>
              <w:jc w:val="right"/>
              <w:rPr>
                <w:rFonts w:ascii="Arial" w:hAnsi="Arial" w:cs="Arial"/>
                <w:b/>
                <w:bCs/>
                <w:color w:val="000000"/>
                <w:lang w:val="mk-MK"/>
              </w:rPr>
            </w:pPr>
            <w:r w:rsidRPr="001E6526">
              <w:rPr>
                <w:rFonts w:ascii="Arial" w:hAnsi="Arial" w:cs="Arial"/>
                <w:b/>
                <w:bCs/>
                <w:color w:val="000000"/>
                <w:lang w:val="mk-MK"/>
              </w:rPr>
              <w:t>10,300</w:t>
            </w:r>
          </w:p>
        </w:tc>
        <w:tc>
          <w:tcPr>
            <w:tcW w:w="1470" w:type="dxa"/>
            <w:tcBorders>
              <w:top w:val="single" w:sz="4" w:space="0" w:color="auto"/>
              <w:bottom w:val="double" w:sz="4" w:space="0" w:color="auto"/>
            </w:tcBorders>
            <w:shd w:val="clear" w:color="auto" w:fill="auto"/>
            <w:tcMar>
              <w:left w:w="58" w:type="dxa"/>
              <w:right w:w="58" w:type="dxa"/>
            </w:tcMar>
            <w:vAlign w:val="bottom"/>
          </w:tcPr>
          <w:p w14:paraId="3995F934" w14:textId="7C62B64A" w:rsidR="00711844" w:rsidRPr="00CE3053" w:rsidRDefault="00711844" w:rsidP="00711844">
            <w:pPr>
              <w:spacing w:after="0"/>
              <w:jc w:val="right"/>
              <w:rPr>
                <w:rFonts w:ascii="Arial" w:hAnsi="Arial" w:cs="Arial"/>
                <w:b/>
                <w:bCs/>
                <w:color w:val="000000"/>
                <w:lang w:val="mk-MK"/>
              </w:rPr>
            </w:pPr>
            <w:r w:rsidRPr="001E6526">
              <w:rPr>
                <w:rFonts w:ascii="Arial" w:hAnsi="Arial" w:cs="Arial"/>
                <w:b/>
                <w:bCs/>
                <w:color w:val="000000"/>
                <w:lang w:val="mk-MK"/>
              </w:rPr>
              <w:t>13,943,672</w:t>
            </w:r>
          </w:p>
        </w:tc>
        <w:tc>
          <w:tcPr>
            <w:tcW w:w="1561" w:type="dxa"/>
            <w:tcBorders>
              <w:top w:val="single" w:sz="4" w:space="0" w:color="auto"/>
              <w:bottom w:val="double" w:sz="4" w:space="0" w:color="auto"/>
            </w:tcBorders>
            <w:shd w:val="clear" w:color="auto" w:fill="auto"/>
            <w:tcMar>
              <w:left w:w="58" w:type="dxa"/>
              <w:right w:w="58" w:type="dxa"/>
            </w:tcMar>
            <w:vAlign w:val="bottom"/>
          </w:tcPr>
          <w:p w14:paraId="4986153C" w14:textId="5A52DC27" w:rsidR="00711844" w:rsidRPr="00CE3053" w:rsidRDefault="00711844" w:rsidP="00711844">
            <w:pPr>
              <w:spacing w:after="0"/>
              <w:jc w:val="right"/>
              <w:rPr>
                <w:rFonts w:ascii="Arial" w:hAnsi="Arial" w:cs="Arial"/>
                <w:b/>
                <w:bCs/>
                <w:color w:val="000000"/>
                <w:lang w:val="mk-MK"/>
              </w:rPr>
            </w:pPr>
            <w:r w:rsidRPr="001E6526">
              <w:rPr>
                <w:rFonts w:ascii="Arial" w:hAnsi="Arial" w:cs="Arial"/>
                <w:b/>
                <w:bCs/>
                <w:color w:val="000000"/>
                <w:lang w:val="mk-MK"/>
              </w:rPr>
              <w:t>70,194</w:t>
            </w:r>
          </w:p>
        </w:tc>
        <w:tc>
          <w:tcPr>
            <w:tcW w:w="1378" w:type="dxa"/>
            <w:tcBorders>
              <w:top w:val="single" w:sz="4" w:space="0" w:color="auto"/>
              <w:bottom w:val="double" w:sz="4" w:space="0" w:color="auto"/>
            </w:tcBorders>
            <w:shd w:val="clear" w:color="auto" w:fill="auto"/>
            <w:tcMar>
              <w:left w:w="58" w:type="dxa"/>
              <w:right w:w="58" w:type="dxa"/>
            </w:tcMar>
            <w:vAlign w:val="bottom"/>
          </w:tcPr>
          <w:p w14:paraId="37E9745E" w14:textId="72E102D8" w:rsidR="00711844" w:rsidRPr="00CE3053" w:rsidRDefault="00711844" w:rsidP="00711844">
            <w:pPr>
              <w:spacing w:after="0"/>
              <w:jc w:val="right"/>
              <w:rPr>
                <w:rFonts w:ascii="Arial" w:hAnsi="Arial" w:cs="Arial"/>
                <w:b/>
                <w:bCs/>
                <w:color w:val="000000"/>
                <w:lang w:val="mk-MK"/>
              </w:rPr>
            </w:pPr>
            <w:r w:rsidRPr="001E6526">
              <w:rPr>
                <w:rFonts w:ascii="Arial" w:hAnsi="Arial" w:cs="Arial"/>
                <w:b/>
                <w:bCs/>
                <w:color w:val="000000"/>
                <w:lang w:val="mk-MK"/>
              </w:rPr>
              <w:t>14,024,166</w:t>
            </w:r>
          </w:p>
        </w:tc>
      </w:tr>
    </w:tbl>
    <w:p w14:paraId="3D240816" w14:textId="77777777" w:rsidR="00815E65" w:rsidRPr="00CE3053" w:rsidRDefault="00815E65" w:rsidP="00815E65">
      <w:pPr>
        <w:pStyle w:val="BodyText"/>
        <w:spacing w:after="0"/>
        <w:rPr>
          <w:rFonts w:ascii="Arial" w:hAnsi="Arial" w:cs="Arial"/>
          <w:lang w:val="mk-MK"/>
        </w:rPr>
      </w:pPr>
    </w:p>
    <w:p w14:paraId="2A57133A" w14:textId="77777777" w:rsidR="00815E65" w:rsidRPr="001E6526" w:rsidRDefault="00815E65" w:rsidP="00815E65">
      <w:pPr>
        <w:pStyle w:val="BodyText"/>
        <w:spacing w:after="0"/>
        <w:rPr>
          <w:rFonts w:asciiTheme="majorHAnsi" w:hAnsiTheme="majorHAnsi" w:cstheme="majorHAnsi"/>
          <w:lang w:val="mk-MK"/>
        </w:rPr>
      </w:pPr>
    </w:p>
    <w:p w14:paraId="69896CBD" w14:textId="3F513774" w:rsidR="00BF38DF" w:rsidRPr="001E6526" w:rsidRDefault="00C464BA" w:rsidP="00BF38DF">
      <w:pPr>
        <w:pStyle w:val="SectionTitle"/>
        <w:framePr w:wrap="around"/>
        <w:rPr>
          <w:color w:val="4F2D7F"/>
          <w:sz w:val="36"/>
          <w:szCs w:val="36"/>
          <w:lang w:val="mk-MK"/>
        </w:rPr>
      </w:pPr>
      <w:proofErr w:type="spellStart"/>
      <w:r w:rsidRPr="00C464BA">
        <w:rPr>
          <w:color w:val="4F2D7F"/>
          <w:sz w:val="36"/>
          <w:szCs w:val="36"/>
          <w:lang w:val="mk-MK"/>
        </w:rPr>
        <w:lastRenderedPageBreak/>
        <w:t>Statement</w:t>
      </w:r>
      <w:proofErr w:type="spellEnd"/>
      <w:r w:rsidRPr="00C464BA">
        <w:rPr>
          <w:color w:val="4F2D7F"/>
          <w:sz w:val="36"/>
          <w:szCs w:val="36"/>
          <w:lang w:val="mk-MK"/>
        </w:rPr>
        <w:t xml:space="preserve"> </w:t>
      </w:r>
      <w:proofErr w:type="spellStart"/>
      <w:r w:rsidRPr="00C464BA">
        <w:rPr>
          <w:color w:val="4F2D7F"/>
          <w:sz w:val="36"/>
          <w:szCs w:val="36"/>
          <w:lang w:val="mk-MK"/>
        </w:rPr>
        <w:t>of</w:t>
      </w:r>
      <w:proofErr w:type="spellEnd"/>
      <w:r w:rsidRPr="00C464BA">
        <w:rPr>
          <w:color w:val="4F2D7F"/>
          <w:sz w:val="36"/>
          <w:szCs w:val="36"/>
          <w:lang w:val="mk-MK"/>
        </w:rPr>
        <w:t xml:space="preserve"> </w:t>
      </w:r>
      <w:proofErr w:type="spellStart"/>
      <w:r w:rsidRPr="00C464BA">
        <w:rPr>
          <w:color w:val="4F2D7F"/>
          <w:sz w:val="36"/>
          <w:szCs w:val="36"/>
          <w:lang w:val="mk-MK"/>
        </w:rPr>
        <w:t>Cash</w:t>
      </w:r>
      <w:proofErr w:type="spellEnd"/>
      <w:r w:rsidRPr="00C464BA">
        <w:rPr>
          <w:color w:val="4F2D7F"/>
          <w:sz w:val="36"/>
          <w:szCs w:val="36"/>
          <w:lang w:val="mk-MK"/>
        </w:rPr>
        <w:t xml:space="preserve"> </w:t>
      </w:r>
      <w:proofErr w:type="spellStart"/>
      <w:r w:rsidRPr="00C464BA">
        <w:rPr>
          <w:color w:val="4F2D7F"/>
          <w:sz w:val="36"/>
          <w:szCs w:val="36"/>
          <w:lang w:val="mk-MK"/>
        </w:rPr>
        <w:t>Flows</w:t>
      </w:r>
      <w:proofErr w:type="spellEnd"/>
    </w:p>
    <w:tbl>
      <w:tblPr>
        <w:tblW w:w="8642" w:type="dxa"/>
        <w:tblInd w:w="28" w:type="dxa"/>
        <w:tblLayout w:type="fixed"/>
        <w:tblLook w:val="01E0" w:firstRow="1" w:lastRow="1" w:firstColumn="1" w:lastColumn="1" w:noHBand="0" w:noVBand="0"/>
      </w:tblPr>
      <w:tblGrid>
        <w:gridCol w:w="4571"/>
        <w:gridCol w:w="887"/>
        <w:gridCol w:w="1720"/>
        <w:gridCol w:w="1464"/>
      </w:tblGrid>
      <w:tr w:rsidR="00A504C6" w:rsidRPr="001E6526" w14:paraId="3A769C19" w14:textId="77777777" w:rsidTr="00A504C6">
        <w:trPr>
          <w:trHeight w:val="216"/>
        </w:trPr>
        <w:tc>
          <w:tcPr>
            <w:tcW w:w="2645" w:type="pct"/>
            <w:shd w:val="clear" w:color="auto" w:fill="auto"/>
            <w:tcMar>
              <w:left w:w="58" w:type="dxa"/>
              <w:right w:w="58" w:type="dxa"/>
            </w:tcMar>
            <w:vAlign w:val="bottom"/>
          </w:tcPr>
          <w:p w14:paraId="205C9706" w14:textId="77777777" w:rsidR="00A504C6" w:rsidRPr="00CE3053" w:rsidRDefault="00A504C6" w:rsidP="00815E65">
            <w:pPr>
              <w:pStyle w:val="TableText"/>
              <w:spacing w:after="0"/>
              <w:rPr>
                <w:rFonts w:ascii="Arial" w:hAnsi="Arial"/>
                <w:sz w:val="18"/>
                <w:lang w:val="mk-MK"/>
              </w:rPr>
            </w:pPr>
          </w:p>
        </w:tc>
        <w:tc>
          <w:tcPr>
            <w:tcW w:w="513" w:type="pct"/>
            <w:shd w:val="clear" w:color="auto" w:fill="auto"/>
            <w:tcMar>
              <w:left w:w="58" w:type="dxa"/>
              <w:right w:w="58" w:type="dxa"/>
            </w:tcMar>
          </w:tcPr>
          <w:p w14:paraId="1B1A95A0" w14:textId="77777777" w:rsidR="00A504C6" w:rsidRPr="00CE3053" w:rsidRDefault="00A504C6" w:rsidP="00815E65">
            <w:pPr>
              <w:pStyle w:val="TableText"/>
              <w:spacing w:after="0"/>
              <w:jc w:val="center"/>
              <w:rPr>
                <w:rFonts w:asciiTheme="majorHAnsi" w:hAnsiTheme="majorHAnsi" w:cstheme="majorHAnsi"/>
                <w:color w:val="000000"/>
                <w:spacing w:val="-3"/>
                <w:sz w:val="18"/>
                <w:lang w:val="mk-MK"/>
              </w:rPr>
            </w:pPr>
          </w:p>
        </w:tc>
        <w:tc>
          <w:tcPr>
            <w:tcW w:w="995" w:type="pct"/>
            <w:shd w:val="clear" w:color="auto" w:fill="auto"/>
            <w:tcMar>
              <w:left w:w="58" w:type="dxa"/>
              <w:right w:w="58" w:type="dxa"/>
            </w:tcMar>
            <w:vAlign w:val="bottom"/>
          </w:tcPr>
          <w:p w14:paraId="65EAE9CC" w14:textId="77777777" w:rsidR="00A504C6" w:rsidRPr="00CE3053" w:rsidRDefault="00A504C6" w:rsidP="00815E65">
            <w:pPr>
              <w:pStyle w:val="TableText"/>
              <w:spacing w:after="0"/>
              <w:jc w:val="right"/>
              <w:rPr>
                <w:rFonts w:ascii="Arial" w:hAnsi="Arial"/>
                <w:sz w:val="18"/>
                <w:lang w:val="mk-MK"/>
              </w:rPr>
            </w:pPr>
          </w:p>
        </w:tc>
        <w:tc>
          <w:tcPr>
            <w:tcW w:w="847" w:type="pct"/>
            <w:shd w:val="clear" w:color="auto" w:fill="auto"/>
            <w:tcMar>
              <w:left w:w="58" w:type="dxa"/>
              <w:right w:w="58" w:type="dxa"/>
            </w:tcMar>
            <w:vAlign w:val="bottom"/>
          </w:tcPr>
          <w:p w14:paraId="00182CAD" w14:textId="20C58D0B" w:rsidR="00A504C6" w:rsidRPr="00C464BA" w:rsidRDefault="00C464BA" w:rsidP="00815E65">
            <w:pPr>
              <w:pStyle w:val="TableText"/>
              <w:spacing w:after="0"/>
              <w:jc w:val="right"/>
              <w:rPr>
                <w:rFonts w:ascii="Arial" w:hAnsi="Arial"/>
                <w:sz w:val="18"/>
                <w:lang w:val="en-US"/>
              </w:rPr>
            </w:pPr>
            <w:r>
              <w:rPr>
                <w:rFonts w:ascii="Arial" w:hAnsi="Arial"/>
                <w:bCs/>
                <w:color w:val="000000"/>
                <w:sz w:val="18"/>
                <w:lang w:val="en-US"/>
              </w:rPr>
              <w:t>In</w:t>
            </w:r>
            <w:r w:rsidR="00A504C6" w:rsidRPr="00A504C6">
              <w:rPr>
                <w:rFonts w:ascii="Arial" w:hAnsi="Arial"/>
                <w:bCs/>
                <w:color w:val="000000"/>
                <w:sz w:val="18"/>
                <w:lang w:val="mk-MK"/>
              </w:rPr>
              <w:t xml:space="preserve"> 000 </w:t>
            </w:r>
            <w:r>
              <w:rPr>
                <w:rFonts w:ascii="Arial" w:hAnsi="Arial"/>
                <w:bCs/>
                <w:color w:val="000000"/>
                <w:sz w:val="18"/>
                <w:lang w:val="en-US"/>
              </w:rPr>
              <w:t>denar</w:t>
            </w:r>
          </w:p>
        </w:tc>
      </w:tr>
      <w:tr w:rsidR="00A504C6" w:rsidRPr="001E6526" w14:paraId="2D26ABB2" w14:textId="77777777" w:rsidTr="00A504C6">
        <w:trPr>
          <w:trHeight w:val="216"/>
        </w:trPr>
        <w:tc>
          <w:tcPr>
            <w:tcW w:w="2645" w:type="pct"/>
            <w:shd w:val="clear" w:color="auto" w:fill="auto"/>
            <w:tcMar>
              <w:left w:w="58" w:type="dxa"/>
              <w:right w:w="58" w:type="dxa"/>
            </w:tcMar>
            <w:vAlign w:val="bottom"/>
          </w:tcPr>
          <w:p w14:paraId="2F31E71E" w14:textId="77777777" w:rsidR="00A504C6" w:rsidRPr="00CE3053" w:rsidRDefault="00A504C6" w:rsidP="00815E65">
            <w:pPr>
              <w:pStyle w:val="TableText"/>
              <w:spacing w:after="0"/>
              <w:rPr>
                <w:rFonts w:ascii="Arial" w:hAnsi="Arial"/>
                <w:sz w:val="18"/>
                <w:lang w:val="mk-MK"/>
              </w:rPr>
            </w:pPr>
          </w:p>
        </w:tc>
        <w:tc>
          <w:tcPr>
            <w:tcW w:w="513" w:type="pct"/>
            <w:shd w:val="clear" w:color="auto" w:fill="auto"/>
            <w:tcMar>
              <w:left w:w="58" w:type="dxa"/>
              <w:right w:w="58" w:type="dxa"/>
            </w:tcMar>
          </w:tcPr>
          <w:p w14:paraId="287C2E16" w14:textId="77777777" w:rsidR="00A504C6" w:rsidRPr="00CE3053" w:rsidRDefault="00A504C6" w:rsidP="00815E65">
            <w:pPr>
              <w:pStyle w:val="TableText"/>
              <w:spacing w:after="0"/>
              <w:jc w:val="center"/>
              <w:rPr>
                <w:rFonts w:asciiTheme="majorHAnsi" w:hAnsiTheme="majorHAnsi" w:cstheme="majorHAnsi"/>
                <w:color w:val="000000"/>
                <w:spacing w:val="-3"/>
                <w:sz w:val="18"/>
                <w:lang w:val="mk-MK"/>
              </w:rPr>
            </w:pPr>
          </w:p>
        </w:tc>
        <w:tc>
          <w:tcPr>
            <w:tcW w:w="1842" w:type="pct"/>
            <w:gridSpan w:val="2"/>
            <w:shd w:val="clear" w:color="auto" w:fill="auto"/>
            <w:tcMar>
              <w:left w:w="58" w:type="dxa"/>
              <w:right w:w="58" w:type="dxa"/>
            </w:tcMar>
            <w:vAlign w:val="bottom"/>
          </w:tcPr>
          <w:p w14:paraId="1AEDBADF" w14:textId="616303A0" w:rsidR="00A504C6" w:rsidRPr="00CE3053" w:rsidRDefault="00C464BA" w:rsidP="00A504C6">
            <w:pPr>
              <w:pStyle w:val="TableText"/>
              <w:spacing w:after="0"/>
              <w:jc w:val="right"/>
              <w:rPr>
                <w:rFonts w:ascii="Arial" w:hAnsi="Arial"/>
                <w:sz w:val="18"/>
                <w:lang w:val="mk-MK"/>
              </w:rPr>
            </w:pPr>
            <w:r>
              <w:rPr>
                <w:rFonts w:ascii="Arial" w:hAnsi="Arial"/>
                <w:sz w:val="18"/>
                <w:lang w:val="en-US"/>
              </w:rPr>
              <w:t>For the year ended</w:t>
            </w:r>
            <w:r w:rsidR="00A504C6">
              <w:rPr>
                <w:rFonts w:ascii="Arial" w:hAnsi="Arial"/>
                <w:sz w:val="18"/>
                <w:lang w:val="mk-MK"/>
              </w:rPr>
              <w:t xml:space="preserve"> </w:t>
            </w:r>
          </w:p>
        </w:tc>
      </w:tr>
      <w:tr w:rsidR="00815E65" w:rsidRPr="001E6526" w14:paraId="7AAFDD3B" w14:textId="77777777" w:rsidTr="00A504C6">
        <w:trPr>
          <w:trHeight w:val="216"/>
        </w:trPr>
        <w:tc>
          <w:tcPr>
            <w:tcW w:w="2645" w:type="pct"/>
            <w:shd w:val="clear" w:color="auto" w:fill="auto"/>
            <w:tcMar>
              <w:left w:w="58" w:type="dxa"/>
              <w:right w:w="58" w:type="dxa"/>
            </w:tcMar>
            <w:vAlign w:val="bottom"/>
          </w:tcPr>
          <w:p w14:paraId="24C871A0" w14:textId="77777777" w:rsidR="00815E65" w:rsidRPr="00CE3053" w:rsidRDefault="00815E65" w:rsidP="00815E65">
            <w:pPr>
              <w:pStyle w:val="TableText"/>
              <w:spacing w:after="0"/>
              <w:rPr>
                <w:rFonts w:ascii="Arial" w:hAnsi="Arial"/>
                <w:sz w:val="18"/>
                <w:lang w:val="mk-MK"/>
              </w:rPr>
            </w:pPr>
            <w:bookmarkStart w:id="1" w:name="OLE_LINK2"/>
          </w:p>
        </w:tc>
        <w:tc>
          <w:tcPr>
            <w:tcW w:w="513" w:type="pct"/>
            <w:shd w:val="clear" w:color="auto" w:fill="auto"/>
            <w:tcMar>
              <w:left w:w="58" w:type="dxa"/>
              <w:right w:w="58" w:type="dxa"/>
            </w:tcMar>
          </w:tcPr>
          <w:p w14:paraId="38BBD101" w14:textId="38B98814" w:rsidR="00815E65" w:rsidRPr="00C464BA" w:rsidRDefault="00C464BA" w:rsidP="00815E65">
            <w:pPr>
              <w:pStyle w:val="TableText"/>
              <w:spacing w:after="0"/>
              <w:jc w:val="center"/>
              <w:rPr>
                <w:rFonts w:ascii="Arial" w:hAnsi="Arial"/>
                <w:sz w:val="18"/>
                <w:lang w:val="en-US"/>
              </w:rPr>
            </w:pPr>
            <w:r>
              <w:rPr>
                <w:rFonts w:asciiTheme="majorHAnsi" w:hAnsiTheme="majorHAnsi" w:cstheme="majorHAnsi"/>
                <w:color w:val="000000"/>
                <w:spacing w:val="-3"/>
                <w:sz w:val="18"/>
                <w:lang w:val="en-US"/>
              </w:rPr>
              <w:t>Notes</w:t>
            </w:r>
          </w:p>
        </w:tc>
        <w:tc>
          <w:tcPr>
            <w:tcW w:w="995" w:type="pct"/>
            <w:shd w:val="clear" w:color="auto" w:fill="auto"/>
            <w:tcMar>
              <w:left w:w="58" w:type="dxa"/>
              <w:right w:w="58" w:type="dxa"/>
            </w:tcMar>
            <w:vAlign w:val="bottom"/>
          </w:tcPr>
          <w:p w14:paraId="184DF0F4" w14:textId="37787737" w:rsidR="00815E65" w:rsidRPr="00CE3053" w:rsidRDefault="00815E65" w:rsidP="00815E65">
            <w:pPr>
              <w:pStyle w:val="TableText"/>
              <w:spacing w:after="0"/>
              <w:jc w:val="right"/>
              <w:rPr>
                <w:rFonts w:ascii="Arial" w:hAnsi="Arial"/>
                <w:sz w:val="18"/>
                <w:lang w:val="mk-MK"/>
              </w:rPr>
            </w:pPr>
            <w:r w:rsidRPr="00CE3053">
              <w:rPr>
                <w:rFonts w:ascii="Arial" w:hAnsi="Arial"/>
                <w:sz w:val="18"/>
                <w:lang w:val="mk-MK"/>
              </w:rPr>
              <w:t xml:space="preserve">31 </w:t>
            </w:r>
            <w:r w:rsidR="00C464BA">
              <w:rPr>
                <w:rFonts w:ascii="Arial" w:hAnsi="Arial"/>
                <w:sz w:val="18"/>
                <w:lang w:val="en-US"/>
              </w:rPr>
              <w:t>December</w:t>
            </w:r>
            <w:r w:rsidRPr="00CE3053">
              <w:rPr>
                <w:rFonts w:ascii="Arial" w:hAnsi="Arial"/>
                <w:sz w:val="18"/>
                <w:lang w:val="mk-MK"/>
              </w:rPr>
              <w:t xml:space="preserve">  </w:t>
            </w:r>
          </w:p>
        </w:tc>
        <w:tc>
          <w:tcPr>
            <w:tcW w:w="847" w:type="pct"/>
            <w:shd w:val="clear" w:color="auto" w:fill="auto"/>
            <w:tcMar>
              <w:left w:w="58" w:type="dxa"/>
              <w:right w:w="58" w:type="dxa"/>
            </w:tcMar>
            <w:vAlign w:val="bottom"/>
          </w:tcPr>
          <w:p w14:paraId="01216F1A" w14:textId="14F2DCAE" w:rsidR="00815E65" w:rsidRPr="00CE3053" w:rsidRDefault="00815E65" w:rsidP="00815E65">
            <w:pPr>
              <w:pStyle w:val="TableText"/>
              <w:spacing w:after="0"/>
              <w:jc w:val="right"/>
              <w:rPr>
                <w:rFonts w:ascii="Arial" w:hAnsi="Arial"/>
                <w:sz w:val="18"/>
                <w:lang w:val="mk-MK"/>
              </w:rPr>
            </w:pPr>
            <w:r w:rsidRPr="00CE3053">
              <w:rPr>
                <w:rFonts w:ascii="Arial" w:hAnsi="Arial"/>
                <w:sz w:val="18"/>
                <w:lang w:val="mk-MK"/>
              </w:rPr>
              <w:t xml:space="preserve">31 </w:t>
            </w:r>
            <w:r w:rsidR="00C464BA">
              <w:rPr>
                <w:rFonts w:ascii="Arial" w:hAnsi="Arial"/>
                <w:sz w:val="18"/>
                <w:lang w:val="en-US"/>
              </w:rPr>
              <w:t>December</w:t>
            </w:r>
            <w:r w:rsidRPr="00CE3053">
              <w:rPr>
                <w:rFonts w:ascii="Arial" w:hAnsi="Arial"/>
                <w:sz w:val="18"/>
                <w:lang w:val="mk-MK"/>
              </w:rPr>
              <w:t xml:space="preserve">  </w:t>
            </w:r>
          </w:p>
        </w:tc>
      </w:tr>
      <w:tr w:rsidR="00252BDE" w:rsidRPr="001E6526" w14:paraId="777FB40D" w14:textId="77777777" w:rsidTr="00A504C6">
        <w:trPr>
          <w:trHeight w:val="216"/>
        </w:trPr>
        <w:tc>
          <w:tcPr>
            <w:tcW w:w="2645" w:type="pct"/>
            <w:shd w:val="clear" w:color="auto" w:fill="auto"/>
            <w:tcMar>
              <w:left w:w="58" w:type="dxa"/>
              <w:right w:w="58" w:type="dxa"/>
            </w:tcMar>
            <w:vAlign w:val="bottom"/>
          </w:tcPr>
          <w:p w14:paraId="47C727C1" w14:textId="77777777" w:rsidR="00252BDE" w:rsidRPr="00CE3053" w:rsidRDefault="00252BDE" w:rsidP="00252BDE">
            <w:pPr>
              <w:pStyle w:val="TableText"/>
              <w:spacing w:after="0"/>
              <w:rPr>
                <w:rFonts w:ascii="Arial" w:hAnsi="Arial"/>
                <w:sz w:val="18"/>
                <w:lang w:val="mk-MK"/>
              </w:rPr>
            </w:pPr>
          </w:p>
        </w:tc>
        <w:tc>
          <w:tcPr>
            <w:tcW w:w="513" w:type="pct"/>
            <w:shd w:val="clear" w:color="auto" w:fill="auto"/>
            <w:tcMar>
              <w:left w:w="58" w:type="dxa"/>
              <w:right w:w="58" w:type="dxa"/>
            </w:tcMar>
            <w:vAlign w:val="bottom"/>
          </w:tcPr>
          <w:p w14:paraId="3E4CFE24" w14:textId="77777777" w:rsidR="00252BDE" w:rsidRPr="00CE3053" w:rsidRDefault="00252BDE" w:rsidP="00252BDE">
            <w:pPr>
              <w:pStyle w:val="TableText"/>
              <w:spacing w:after="0"/>
              <w:jc w:val="center"/>
              <w:rPr>
                <w:rFonts w:ascii="Arial" w:hAnsi="Arial"/>
                <w:sz w:val="18"/>
                <w:lang w:val="mk-MK"/>
              </w:rPr>
            </w:pPr>
          </w:p>
        </w:tc>
        <w:tc>
          <w:tcPr>
            <w:tcW w:w="995" w:type="pct"/>
            <w:shd w:val="clear" w:color="auto" w:fill="auto"/>
            <w:tcMar>
              <w:left w:w="58" w:type="dxa"/>
              <w:right w:w="58" w:type="dxa"/>
            </w:tcMar>
            <w:vAlign w:val="bottom"/>
          </w:tcPr>
          <w:p w14:paraId="2ABE7B8E" w14:textId="6591133B" w:rsidR="00252BDE" w:rsidRPr="00CE3053" w:rsidRDefault="00252BDE" w:rsidP="00252BDE">
            <w:pPr>
              <w:pStyle w:val="TableText"/>
              <w:spacing w:after="0"/>
              <w:jc w:val="right"/>
              <w:rPr>
                <w:rFonts w:ascii="Arial" w:hAnsi="Arial"/>
                <w:sz w:val="18"/>
                <w:lang w:val="mk-MK"/>
              </w:rPr>
            </w:pPr>
            <w:r w:rsidRPr="00CE3053">
              <w:rPr>
                <w:rFonts w:ascii="Arial" w:hAnsi="Arial"/>
                <w:sz w:val="18"/>
                <w:lang w:val="mk-MK"/>
              </w:rPr>
              <w:t>202</w:t>
            </w:r>
            <w:r w:rsidRPr="001E6526">
              <w:rPr>
                <w:rFonts w:ascii="Arial" w:hAnsi="Arial"/>
                <w:sz w:val="18"/>
                <w:lang w:val="mk-MK"/>
              </w:rPr>
              <w:t>1</w:t>
            </w:r>
          </w:p>
        </w:tc>
        <w:tc>
          <w:tcPr>
            <w:tcW w:w="847" w:type="pct"/>
            <w:shd w:val="clear" w:color="auto" w:fill="auto"/>
            <w:tcMar>
              <w:left w:w="58" w:type="dxa"/>
              <w:right w:w="58" w:type="dxa"/>
            </w:tcMar>
            <w:vAlign w:val="bottom"/>
          </w:tcPr>
          <w:p w14:paraId="6896AD35" w14:textId="06E89581" w:rsidR="00252BDE" w:rsidRPr="00CE3053" w:rsidRDefault="00252BDE" w:rsidP="00252BDE">
            <w:pPr>
              <w:pStyle w:val="TableText"/>
              <w:spacing w:after="0"/>
              <w:jc w:val="right"/>
              <w:rPr>
                <w:rFonts w:ascii="Arial" w:hAnsi="Arial"/>
                <w:sz w:val="18"/>
                <w:lang w:val="mk-MK"/>
              </w:rPr>
            </w:pPr>
            <w:r w:rsidRPr="00CE3053">
              <w:rPr>
                <w:rFonts w:ascii="Arial" w:hAnsi="Arial"/>
                <w:sz w:val="18"/>
                <w:lang w:val="mk-MK"/>
              </w:rPr>
              <w:t>2020</w:t>
            </w:r>
          </w:p>
        </w:tc>
      </w:tr>
      <w:tr w:rsidR="00252BDE" w:rsidRPr="001E6526" w14:paraId="0A00E465" w14:textId="77777777" w:rsidTr="00A504C6">
        <w:trPr>
          <w:trHeight w:val="216"/>
        </w:trPr>
        <w:tc>
          <w:tcPr>
            <w:tcW w:w="2645" w:type="pct"/>
            <w:shd w:val="clear" w:color="auto" w:fill="auto"/>
            <w:tcMar>
              <w:left w:w="58" w:type="dxa"/>
              <w:right w:w="58" w:type="dxa"/>
            </w:tcMar>
            <w:vAlign w:val="bottom"/>
          </w:tcPr>
          <w:p w14:paraId="792B42D7" w14:textId="77777777" w:rsidR="00252BDE" w:rsidRPr="00CE3053" w:rsidRDefault="00252BDE" w:rsidP="00252BDE">
            <w:pPr>
              <w:pStyle w:val="TableText"/>
              <w:spacing w:after="0"/>
              <w:rPr>
                <w:rFonts w:ascii="Arial" w:hAnsi="Arial"/>
                <w:sz w:val="18"/>
                <w:lang w:val="mk-MK"/>
              </w:rPr>
            </w:pPr>
          </w:p>
        </w:tc>
        <w:tc>
          <w:tcPr>
            <w:tcW w:w="513" w:type="pct"/>
            <w:shd w:val="clear" w:color="auto" w:fill="auto"/>
            <w:tcMar>
              <w:left w:w="58" w:type="dxa"/>
              <w:right w:w="58" w:type="dxa"/>
            </w:tcMar>
            <w:vAlign w:val="bottom"/>
          </w:tcPr>
          <w:p w14:paraId="0BB03682" w14:textId="77777777" w:rsidR="00252BDE" w:rsidRPr="00CE3053" w:rsidRDefault="00252BDE" w:rsidP="00252BDE">
            <w:pPr>
              <w:pStyle w:val="TableText"/>
              <w:spacing w:after="0"/>
              <w:jc w:val="center"/>
              <w:rPr>
                <w:rFonts w:ascii="Arial" w:hAnsi="Arial"/>
                <w:sz w:val="18"/>
                <w:lang w:val="mk-MK"/>
              </w:rPr>
            </w:pPr>
          </w:p>
        </w:tc>
        <w:tc>
          <w:tcPr>
            <w:tcW w:w="995" w:type="pct"/>
            <w:shd w:val="clear" w:color="auto" w:fill="auto"/>
            <w:tcMar>
              <w:left w:w="58" w:type="dxa"/>
              <w:right w:w="58" w:type="dxa"/>
            </w:tcMar>
            <w:vAlign w:val="bottom"/>
          </w:tcPr>
          <w:p w14:paraId="0227CB35" w14:textId="46DA080A" w:rsidR="00252BDE" w:rsidRPr="00C464BA" w:rsidRDefault="00252BDE" w:rsidP="00252BDE">
            <w:pPr>
              <w:pStyle w:val="TableText"/>
              <w:spacing w:after="0"/>
              <w:jc w:val="right"/>
              <w:rPr>
                <w:rFonts w:ascii="Arial" w:hAnsi="Arial"/>
                <w:sz w:val="18"/>
                <w:lang w:val="en-US"/>
              </w:rPr>
            </w:pPr>
            <w:r w:rsidRPr="00CE3053">
              <w:rPr>
                <w:rFonts w:ascii="Arial" w:hAnsi="Arial"/>
                <w:sz w:val="18"/>
                <w:lang w:val="mk-MK"/>
              </w:rPr>
              <w:t xml:space="preserve">000 </w:t>
            </w:r>
            <w:proofErr w:type="spellStart"/>
            <w:r w:rsidR="00C464BA">
              <w:rPr>
                <w:rFonts w:ascii="Arial" w:hAnsi="Arial"/>
                <w:sz w:val="18"/>
                <w:lang w:val="en-US"/>
              </w:rPr>
              <w:t>mkd</w:t>
            </w:r>
            <w:proofErr w:type="spellEnd"/>
          </w:p>
        </w:tc>
        <w:tc>
          <w:tcPr>
            <w:tcW w:w="847" w:type="pct"/>
            <w:shd w:val="clear" w:color="auto" w:fill="auto"/>
            <w:tcMar>
              <w:left w:w="58" w:type="dxa"/>
              <w:right w:w="58" w:type="dxa"/>
            </w:tcMar>
            <w:vAlign w:val="bottom"/>
          </w:tcPr>
          <w:p w14:paraId="4BAB69A6" w14:textId="22C1C241" w:rsidR="00252BDE" w:rsidRPr="00C464BA" w:rsidRDefault="00252BDE" w:rsidP="00252BDE">
            <w:pPr>
              <w:pStyle w:val="TableText"/>
              <w:spacing w:after="0"/>
              <w:jc w:val="right"/>
              <w:rPr>
                <w:rFonts w:ascii="Arial" w:hAnsi="Arial"/>
                <w:sz w:val="18"/>
                <w:lang w:val="en-US"/>
              </w:rPr>
            </w:pPr>
            <w:r w:rsidRPr="00CE3053">
              <w:rPr>
                <w:rFonts w:ascii="Arial" w:hAnsi="Arial"/>
                <w:sz w:val="18"/>
                <w:lang w:val="mk-MK"/>
              </w:rPr>
              <w:t xml:space="preserve">000 </w:t>
            </w:r>
            <w:proofErr w:type="spellStart"/>
            <w:r w:rsidR="00C464BA">
              <w:rPr>
                <w:rFonts w:ascii="Arial" w:hAnsi="Arial"/>
                <w:sz w:val="18"/>
                <w:lang w:val="en-US"/>
              </w:rPr>
              <w:t>mkd</w:t>
            </w:r>
            <w:proofErr w:type="spellEnd"/>
          </w:p>
        </w:tc>
      </w:tr>
      <w:tr w:rsidR="00252BDE" w:rsidRPr="001E6526" w14:paraId="130847FF" w14:textId="77777777" w:rsidTr="00A504C6">
        <w:trPr>
          <w:trHeight w:val="216"/>
        </w:trPr>
        <w:tc>
          <w:tcPr>
            <w:tcW w:w="2645" w:type="pct"/>
            <w:shd w:val="clear" w:color="auto" w:fill="auto"/>
            <w:tcMar>
              <w:left w:w="58" w:type="dxa"/>
              <w:right w:w="58" w:type="dxa"/>
            </w:tcMar>
            <w:vAlign w:val="center"/>
          </w:tcPr>
          <w:p w14:paraId="5F46AE10" w14:textId="41650A60" w:rsidR="00252BDE" w:rsidRPr="00CE3053" w:rsidRDefault="00A253B0" w:rsidP="00252BDE">
            <w:pPr>
              <w:spacing w:after="0"/>
              <w:rPr>
                <w:rFonts w:ascii="Arial" w:hAnsi="Arial" w:cs="Arial"/>
                <w:b/>
                <w:bCs/>
                <w:color w:val="000000"/>
                <w:lang w:val="mk-MK"/>
              </w:rPr>
            </w:pPr>
            <w:proofErr w:type="spellStart"/>
            <w:r w:rsidRPr="00A253B0">
              <w:rPr>
                <w:rFonts w:ascii="Arial" w:hAnsi="Arial" w:cs="Arial"/>
                <w:b/>
                <w:bCs/>
                <w:color w:val="000000"/>
                <w:lang w:val="mk-MK"/>
              </w:rPr>
              <w:t>Operating</w:t>
            </w:r>
            <w:proofErr w:type="spellEnd"/>
            <w:r w:rsidRPr="00A253B0">
              <w:rPr>
                <w:rFonts w:ascii="Arial" w:hAnsi="Arial" w:cs="Arial"/>
                <w:b/>
                <w:bCs/>
                <w:color w:val="000000"/>
                <w:lang w:val="mk-MK"/>
              </w:rPr>
              <w:t xml:space="preserve"> </w:t>
            </w:r>
            <w:proofErr w:type="spellStart"/>
            <w:r w:rsidRPr="00A253B0">
              <w:rPr>
                <w:rFonts w:ascii="Arial" w:hAnsi="Arial" w:cs="Arial"/>
                <w:b/>
                <w:bCs/>
                <w:color w:val="000000"/>
                <w:lang w:val="mk-MK"/>
              </w:rPr>
              <w:t>activities</w:t>
            </w:r>
            <w:proofErr w:type="spellEnd"/>
          </w:p>
        </w:tc>
        <w:tc>
          <w:tcPr>
            <w:tcW w:w="513" w:type="pct"/>
            <w:shd w:val="clear" w:color="auto" w:fill="auto"/>
            <w:tcMar>
              <w:left w:w="58" w:type="dxa"/>
              <w:right w:w="58" w:type="dxa"/>
            </w:tcMar>
            <w:vAlign w:val="bottom"/>
          </w:tcPr>
          <w:p w14:paraId="35907E92" w14:textId="77777777" w:rsidR="00252BDE" w:rsidRPr="00CE3053" w:rsidRDefault="00252BDE" w:rsidP="00252BDE">
            <w:pPr>
              <w:pStyle w:val="TableText"/>
              <w:spacing w:after="0"/>
              <w:jc w:val="center"/>
              <w:rPr>
                <w:rFonts w:ascii="Arial" w:hAnsi="Arial"/>
                <w:sz w:val="18"/>
                <w:lang w:val="mk-MK"/>
              </w:rPr>
            </w:pPr>
          </w:p>
        </w:tc>
        <w:tc>
          <w:tcPr>
            <w:tcW w:w="995" w:type="pct"/>
            <w:shd w:val="clear" w:color="auto" w:fill="auto"/>
            <w:tcMar>
              <w:left w:w="58" w:type="dxa"/>
              <w:right w:w="58" w:type="dxa"/>
            </w:tcMar>
            <w:vAlign w:val="bottom"/>
          </w:tcPr>
          <w:p w14:paraId="035469F4" w14:textId="77777777" w:rsidR="00252BDE" w:rsidRPr="00CE3053" w:rsidRDefault="00252BDE" w:rsidP="00252BDE">
            <w:pPr>
              <w:pStyle w:val="TableText"/>
              <w:spacing w:after="0"/>
              <w:jc w:val="right"/>
              <w:rPr>
                <w:rFonts w:ascii="Arial" w:hAnsi="Arial"/>
                <w:sz w:val="18"/>
                <w:lang w:val="mk-MK"/>
              </w:rPr>
            </w:pPr>
          </w:p>
        </w:tc>
        <w:tc>
          <w:tcPr>
            <w:tcW w:w="847" w:type="pct"/>
            <w:shd w:val="clear" w:color="auto" w:fill="auto"/>
            <w:tcMar>
              <w:left w:w="58" w:type="dxa"/>
              <w:right w:w="58" w:type="dxa"/>
            </w:tcMar>
            <w:vAlign w:val="bottom"/>
          </w:tcPr>
          <w:p w14:paraId="587170FC" w14:textId="77777777" w:rsidR="00252BDE" w:rsidRPr="00CE3053" w:rsidRDefault="00252BDE" w:rsidP="00252BDE">
            <w:pPr>
              <w:pStyle w:val="TableText"/>
              <w:spacing w:after="0"/>
              <w:jc w:val="right"/>
              <w:rPr>
                <w:rFonts w:ascii="Arial" w:hAnsi="Arial"/>
                <w:sz w:val="18"/>
                <w:lang w:val="mk-MK"/>
              </w:rPr>
            </w:pPr>
          </w:p>
        </w:tc>
      </w:tr>
      <w:tr w:rsidR="00252BDE" w:rsidRPr="001E6526" w14:paraId="6749C2D3" w14:textId="77777777" w:rsidTr="00A504C6">
        <w:trPr>
          <w:trHeight w:val="216"/>
        </w:trPr>
        <w:tc>
          <w:tcPr>
            <w:tcW w:w="2645" w:type="pct"/>
            <w:shd w:val="clear" w:color="auto" w:fill="auto"/>
            <w:tcMar>
              <w:left w:w="58" w:type="dxa"/>
              <w:right w:w="58" w:type="dxa"/>
            </w:tcMar>
            <w:vAlign w:val="center"/>
          </w:tcPr>
          <w:p w14:paraId="3FBEC0F4" w14:textId="443459C1" w:rsidR="00252BDE" w:rsidRPr="00CE3053" w:rsidRDefault="00A253B0" w:rsidP="00252BDE">
            <w:pPr>
              <w:spacing w:after="0"/>
              <w:rPr>
                <w:rFonts w:ascii="Arial" w:hAnsi="Arial" w:cs="Arial"/>
                <w:color w:val="000000"/>
                <w:lang w:val="mk-MK"/>
              </w:rPr>
            </w:pPr>
            <w:proofErr w:type="spellStart"/>
            <w:r w:rsidRPr="00A253B0">
              <w:rPr>
                <w:rFonts w:ascii="Arial" w:hAnsi="Arial" w:cs="Arial"/>
                <w:color w:val="000000"/>
                <w:lang w:val="mk-MK"/>
              </w:rPr>
              <w:t>Profit</w:t>
            </w:r>
            <w:proofErr w:type="spellEnd"/>
            <w:r w:rsidRPr="00A253B0">
              <w:rPr>
                <w:rFonts w:ascii="Arial" w:hAnsi="Arial" w:cs="Arial"/>
                <w:color w:val="000000"/>
                <w:lang w:val="mk-MK"/>
              </w:rPr>
              <w:t xml:space="preserve"> </w:t>
            </w:r>
            <w:proofErr w:type="spellStart"/>
            <w:r w:rsidRPr="00A253B0">
              <w:rPr>
                <w:rFonts w:ascii="Arial" w:hAnsi="Arial" w:cs="Arial"/>
                <w:color w:val="000000"/>
                <w:lang w:val="mk-MK"/>
              </w:rPr>
              <w:t>before</w:t>
            </w:r>
            <w:proofErr w:type="spellEnd"/>
            <w:r w:rsidRPr="00A253B0">
              <w:rPr>
                <w:rFonts w:ascii="Arial" w:hAnsi="Arial" w:cs="Arial"/>
                <w:color w:val="000000"/>
                <w:lang w:val="mk-MK"/>
              </w:rPr>
              <w:t xml:space="preserve"> </w:t>
            </w:r>
            <w:proofErr w:type="spellStart"/>
            <w:r w:rsidRPr="00A253B0">
              <w:rPr>
                <w:rFonts w:ascii="Arial" w:hAnsi="Arial" w:cs="Arial"/>
                <w:color w:val="000000"/>
                <w:lang w:val="mk-MK"/>
              </w:rPr>
              <w:t>tax</w:t>
            </w:r>
            <w:proofErr w:type="spellEnd"/>
          </w:p>
        </w:tc>
        <w:tc>
          <w:tcPr>
            <w:tcW w:w="513" w:type="pct"/>
            <w:shd w:val="clear" w:color="auto" w:fill="auto"/>
            <w:tcMar>
              <w:left w:w="58" w:type="dxa"/>
              <w:right w:w="58" w:type="dxa"/>
            </w:tcMar>
            <w:vAlign w:val="bottom"/>
          </w:tcPr>
          <w:p w14:paraId="13FD16C7" w14:textId="77777777" w:rsidR="00252BDE" w:rsidRPr="00CE3053" w:rsidRDefault="00252BDE" w:rsidP="00252BDE">
            <w:pPr>
              <w:pStyle w:val="TableText"/>
              <w:spacing w:after="0"/>
              <w:jc w:val="center"/>
              <w:rPr>
                <w:rFonts w:ascii="Arial" w:hAnsi="Arial"/>
                <w:b/>
                <w:color w:val="000000"/>
                <w:sz w:val="18"/>
                <w:lang w:val="mk-MK"/>
              </w:rPr>
            </w:pPr>
          </w:p>
        </w:tc>
        <w:tc>
          <w:tcPr>
            <w:tcW w:w="995" w:type="pct"/>
            <w:shd w:val="clear" w:color="auto" w:fill="auto"/>
            <w:tcMar>
              <w:left w:w="58" w:type="dxa"/>
              <w:right w:w="58" w:type="dxa"/>
            </w:tcMar>
            <w:vAlign w:val="bottom"/>
          </w:tcPr>
          <w:p w14:paraId="6F5F845E" w14:textId="5F4F0F92" w:rsidR="00252BDE" w:rsidRPr="001E6526" w:rsidRDefault="00252BDE" w:rsidP="00252BDE">
            <w:pPr>
              <w:spacing w:after="0"/>
              <w:jc w:val="right"/>
              <w:rPr>
                <w:rFonts w:ascii="Arial" w:hAnsi="Arial" w:cs="Arial"/>
                <w:color w:val="000000"/>
                <w:lang w:val="mk-MK"/>
              </w:rPr>
            </w:pPr>
            <w:r w:rsidRPr="001E6526">
              <w:rPr>
                <w:rFonts w:ascii="Arial" w:hAnsi="Arial" w:cs="Arial"/>
                <w:color w:val="000000"/>
                <w:lang w:val="mk-MK"/>
              </w:rPr>
              <w:t>46,971</w:t>
            </w:r>
          </w:p>
        </w:tc>
        <w:tc>
          <w:tcPr>
            <w:tcW w:w="847" w:type="pct"/>
            <w:shd w:val="clear" w:color="auto" w:fill="auto"/>
            <w:tcMar>
              <w:left w:w="58" w:type="dxa"/>
              <w:right w:w="58" w:type="dxa"/>
            </w:tcMar>
            <w:vAlign w:val="bottom"/>
          </w:tcPr>
          <w:p w14:paraId="3E65ED34" w14:textId="5B868582" w:rsidR="00252BDE" w:rsidRPr="00CE3053" w:rsidRDefault="00252BDE" w:rsidP="00252BDE">
            <w:pPr>
              <w:spacing w:after="0"/>
              <w:jc w:val="right"/>
              <w:rPr>
                <w:rFonts w:ascii="Arial" w:hAnsi="Arial" w:cs="Arial"/>
                <w:color w:val="000000"/>
                <w:lang w:val="mk-MK"/>
              </w:rPr>
            </w:pPr>
            <w:r w:rsidRPr="00CE3053">
              <w:rPr>
                <w:rFonts w:ascii="Arial" w:hAnsi="Arial" w:cs="Arial"/>
                <w:color w:val="000000"/>
                <w:lang w:val="mk-MK"/>
              </w:rPr>
              <w:t>78,015</w:t>
            </w:r>
          </w:p>
        </w:tc>
      </w:tr>
      <w:tr w:rsidR="00252BDE" w:rsidRPr="001E6526" w14:paraId="4F39B4D7" w14:textId="77777777" w:rsidTr="00A504C6">
        <w:trPr>
          <w:trHeight w:val="216"/>
        </w:trPr>
        <w:tc>
          <w:tcPr>
            <w:tcW w:w="2645" w:type="pct"/>
            <w:shd w:val="clear" w:color="auto" w:fill="auto"/>
            <w:tcMar>
              <w:left w:w="58" w:type="dxa"/>
              <w:right w:w="58" w:type="dxa"/>
            </w:tcMar>
            <w:vAlign w:val="center"/>
          </w:tcPr>
          <w:p w14:paraId="13C3F7D0" w14:textId="5DA6E117" w:rsidR="00252BDE" w:rsidRPr="00CE3053" w:rsidRDefault="00A253B0" w:rsidP="00252BDE">
            <w:pPr>
              <w:spacing w:after="0"/>
              <w:rPr>
                <w:rFonts w:ascii="Arial" w:hAnsi="Arial" w:cs="Arial"/>
                <w:color w:val="000000"/>
                <w:lang w:val="mk-MK"/>
              </w:rPr>
            </w:pPr>
            <w:proofErr w:type="spellStart"/>
            <w:r w:rsidRPr="00A253B0">
              <w:rPr>
                <w:rFonts w:ascii="Arial" w:hAnsi="Arial" w:cs="Arial"/>
                <w:color w:val="000000"/>
                <w:lang w:val="mk-MK"/>
              </w:rPr>
              <w:t>Adjusted</w:t>
            </w:r>
            <w:proofErr w:type="spellEnd"/>
            <w:r w:rsidRPr="00A253B0">
              <w:rPr>
                <w:rFonts w:ascii="Arial" w:hAnsi="Arial" w:cs="Arial"/>
                <w:color w:val="000000"/>
                <w:lang w:val="mk-MK"/>
              </w:rPr>
              <w:t xml:space="preserve"> </w:t>
            </w:r>
            <w:proofErr w:type="spellStart"/>
            <w:r w:rsidRPr="00A253B0">
              <w:rPr>
                <w:rFonts w:ascii="Arial" w:hAnsi="Arial" w:cs="Arial"/>
                <w:color w:val="000000"/>
                <w:lang w:val="mk-MK"/>
              </w:rPr>
              <w:t>for</w:t>
            </w:r>
            <w:proofErr w:type="spellEnd"/>
            <w:r w:rsidRPr="00A253B0">
              <w:rPr>
                <w:rFonts w:ascii="Arial" w:hAnsi="Arial" w:cs="Arial"/>
                <w:color w:val="000000"/>
                <w:lang w:val="mk-MK"/>
              </w:rPr>
              <w:t>:</w:t>
            </w:r>
          </w:p>
        </w:tc>
        <w:tc>
          <w:tcPr>
            <w:tcW w:w="513" w:type="pct"/>
            <w:shd w:val="clear" w:color="auto" w:fill="auto"/>
            <w:tcMar>
              <w:left w:w="58" w:type="dxa"/>
              <w:right w:w="58" w:type="dxa"/>
            </w:tcMar>
            <w:vAlign w:val="bottom"/>
          </w:tcPr>
          <w:p w14:paraId="6006B443" w14:textId="77777777" w:rsidR="00252BDE" w:rsidRPr="00CE3053" w:rsidRDefault="00252BDE" w:rsidP="00252BDE">
            <w:pPr>
              <w:pStyle w:val="TableText"/>
              <w:spacing w:after="0"/>
              <w:jc w:val="center"/>
              <w:rPr>
                <w:rFonts w:ascii="Arial" w:hAnsi="Arial"/>
                <w:color w:val="000000"/>
                <w:sz w:val="18"/>
                <w:lang w:val="mk-MK"/>
              </w:rPr>
            </w:pPr>
          </w:p>
        </w:tc>
        <w:tc>
          <w:tcPr>
            <w:tcW w:w="995" w:type="pct"/>
            <w:shd w:val="clear" w:color="auto" w:fill="auto"/>
            <w:tcMar>
              <w:left w:w="58" w:type="dxa"/>
              <w:right w:w="58" w:type="dxa"/>
            </w:tcMar>
            <w:vAlign w:val="bottom"/>
          </w:tcPr>
          <w:p w14:paraId="7C3E560A" w14:textId="77777777" w:rsidR="00252BDE" w:rsidRPr="00CE3053" w:rsidRDefault="00252BDE" w:rsidP="00252BDE">
            <w:pPr>
              <w:spacing w:after="0"/>
              <w:jc w:val="right"/>
              <w:rPr>
                <w:rFonts w:ascii="Arial" w:hAnsi="Arial" w:cs="Arial"/>
                <w:color w:val="000000"/>
                <w:lang w:val="mk-MK"/>
              </w:rPr>
            </w:pPr>
          </w:p>
        </w:tc>
        <w:tc>
          <w:tcPr>
            <w:tcW w:w="847" w:type="pct"/>
            <w:shd w:val="clear" w:color="auto" w:fill="auto"/>
            <w:tcMar>
              <w:left w:w="58" w:type="dxa"/>
              <w:right w:w="58" w:type="dxa"/>
            </w:tcMar>
            <w:vAlign w:val="bottom"/>
          </w:tcPr>
          <w:p w14:paraId="7E77A674" w14:textId="77777777" w:rsidR="00252BDE" w:rsidRPr="00CE3053" w:rsidRDefault="00252BDE" w:rsidP="00252BDE">
            <w:pPr>
              <w:spacing w:after="0"/>
              <w:jc w:val="right"/>
              <w:rPr>
                <w:rFonts w:ascii="Arial" w:hAnsi="Arial" w:cs="Arial"/>
                <w:color w:val="000000"/>
                <w:lang w:val="mk-MK"/>
              </w:rPr>
            </w:pPr>
          </w:p>
        </w:tc>
      </w:tr>
      <w:tr w:rsidR="00252BDE" w:rsidRPr="001E6526" w14:paraId="223A3003" w14:textId="77777777" w:rsidTr="00A504C6">
        <w:trPr>
          <w:trHeight w:val="216"/>
        </w:trPr>
        <w:tc>
          <w:tcPr>
            <w:tcW w:w="2645" w:type="pct"/>
            <w:shd w:val="clear" w:color="auto" w:fill="auto"/>
            <w:tcMar>
              <w:left w:w="58" w:type="dxa"/>
              <w:right w:w="58" w:type="dxa"/>
            </w:tcMar>
            <w:vAlign w:val="center"/>
          </w:tcPr>
          <w:p w14:paraId="73DB69F4" w14:textId="4F2D822E" w:rsidR="00252BDE" w:rsidRPr="00CE3053" w:rsidRDefault="00A253B0" w:rsidP="00252BDE">
            <w:pPr>
              <w:spacing w:after="0"/>
              <w:rPr>
                <w:rFonts w:ascii="Arial" w:hAnsi="Arial" w:cs="Arial"/>
                <w:color w:val="000000"/>
                <w:lang w:val="mk-MK"/>
              </w:rPr>
            </w:pPr>
            <w:proofErr w:type="spellStart"/>
            <w:r w:rsidRPr="00A253B0">
              <w:rPr>
                <w:rFonts w:ascii="Arial" w:hAnsi="Arial" w:cs="Arial"/>
                <w:color w:val="000000"/>
                <w:lang w:val="mk-MK"/>
              </w:rPr>
              <w:t>Depreciation</w:t>
            </w:r>
            <w:proofErr w:type="spellEnd"/>
            <w:r w:rsidRPr="00A253B0">
              <w:rPr>
                <w:rFonts w:ascii="Arial" w:hAnsi="Arial" w:cs="Arial"/>
                <w:color w:val="000000"/>
                <w:lang w:val="mk-MK"/>
              </w:rPr>
              <w:t xml:space="preserve"> </w:t>
            </w:r>
            <w:proofErr w:type="spellStart"/>
            <w:r w:rsidRPr="00A253B0">
              <w:rPr>
                <w:rFonts w:ascii="Arial" w:hAnsi="Arial" w:cs="Arial"/>
                <w:color w:val="000000"/>
                <w:lang w:val="mk-MK"/>
              </w:rPr>
              <w:t>and</w:t>
            </w:r>
            <w:proofErr w:type="spellEnd"/>
            <w:r w:rsidRPr="00A253B0">
              <w:rPr>
                <w:rFonts w:ascii="Arial" w:hAnsi="Arial" w:cs="Arial"/>
                <w:color w:val="000000"/>
                <w:lang w:val="mk-MK"/>
              </w:rPr>
              <w:t xml:space="preserve"> </w:t>
            </w:r>
            <w:proofErr w:type="spellStart"/>
            <w:r w:rsidRPr="00A253B0">
              <w:rPr>
                <w:rFonts w:ascii="Arial" w:hAnsi="Arial" w:cs="Arial"/>
                <w:color w:val="000000"/>
                <w:lang w:val="mk-MK"/>
              </w:rPr>
              <w:t>amortization</w:t>
            </w:r>
            <w:proofErr w:type="spellEnd"/>
          </w:p>
        </w:tc>
        <w:tc>
          <w:tcPr>
            <w:tcW w:w="513" w:type="pct"/>
            <w:shd w:val="clear" w:color="auto" w:fill="auto"/>
            <w:tcMar>
              <w:left w:w="58" w:type="dxa"/>
              <w:right w:w="58" w:type="dxa"/>
            </w:tcMar>
            <w:vAlign w:val="bottom"/>
          </w:tcPr>
          <w:p w14:paraId="437CAB47" w14:textId="3A77C5AA" w:rsidR="00252BDE" w:rsidRPr="001E6526" w:rsidRDefault="00252BDE" w:rsidP="00252BDE">
            <w:pPr>
              <w:pStyle w:val="TableText"/>
              <w:spacing w:after="0"/>
              <w:jc w:val="center"/>
              <w:rPr>
                <w:rFonts w:ascii="Arial" w:hAnsi="Arial"/>
                <w:color w:val="000000"/>
                <w:sz w:val="18"/>
                <w:lang w:val="mk-MK"/>
              </w:rPr>
            </w:pPr>
            <w:r w:rsidRPr="001E6526">
              <w:rPr>
                <w:rFonts w:ascii="Arial" w:hAnsi="Arial"/>
                <w:color w:val="000000"/>
                <w:sz w:val="18"/>
                <w:lang w:val="mk-MK"/>
              </w:rPr>
              <w:t>10,11</w:t>
            </w:r>
          </w:p>
        </w:tc>
        <w:tc>
          <w:tcPr>
            <w:tcW w:w="995" w:type="pct"/>
            <w:shd w:val="clear" w:color="auto" w:fill="auto"/>
            <w:tcMar>
              <w:left w:w="58" w:type="dxa"/>
              <w:right w:w="58" w:type="dxa"/>
            </w:tcMar>
            <w:vAlign w:val="bottom"/>
          </w:tcPr>
          <w:p w14:paraId="20C3A387" w14:textId="1C10A030" w:rsidR="00252BDE" w:rsidRPr="001E6526" w:rsidRDefault="00252BDE" w:rsidP="00252BDE">
            <w:pPr>
              <w:spacing w:after="0"/>
              <w:jc w:val="right"/>
              <w:rPr>
                <w:rFonts w:ascii="Arial" w:hAnsi="Arial" w:cs="Arial"/>
                <w:color w:val="000000"/>
                <w:lang w:val="mk-MK"/>
              </w:rPr>
            </w:pPr>
            <w:r w:rsidRPr="001E6526">
              <w:rPr>
                <w:rFonts w:ascii="Arial" w:hAnsi="Arial" w:cs="Arial"/>
                <w:color w:val="000000"/>
                <w:lang w:val="mk-MK"/>
              </w:rPr>
              <w:t>938</w:t>
            </w:r>
          </w:p>
        </w:tc>
        <w:tc>
          <w:tcPr>
            <w:tcW w:w="847" w:type="pct"/>
            <w:shd w:val="clear" w:color="auto" w:fill="auto"/>
            <w:tcMar>
              <w:left w:w="58" w:type="dxa"/>
              <w:right w:w="58" w:type="dxa"/>
            </w:tcMar>
            <w:vAlign w:val="bottom"/>
          </w:tcPr>
          <w:p w14:paraId="0C6538A1" w14:textId="2BC57A22" w:rsidR="00252BDE" w:rsidRPr="00CE3053" w:rsidRDefault="00252BDE" w:rsidP="00252BDE">
            <w:pPr>
              <w:spacing w:after="0"/>
              <w:jc w:val="right"/>
              <w:rPr>
                <w:rFonts w:ascii="Arial" w:hAnsi="Arial" w:cs="Arial"/>
                <w:color w:val="000000"/>
                <w:lang w:val="mk-MK"/>
              </w:rPr>
            </w:pPr>
            <w:r w:rsidRPr="00CE3053">
              <w:rPr>
                <w:rFonts w:ascii="Arial" w:hAnsi="Arial" w:cs="Arial"/>
                <w:color w:val="000000"/>
                <w:lang w:val="mk-MK"/>
              </w:rPr>
              <w:t>1,289</w:t>
            </w:r>
          </w:p>
        </w:tc>
      </w:tr>
      <w:tr w:rsidR="00252BDE" w:rsidRPr="001E6526" w14:paraId="23F429B3" w14:textId="77777777" w:rsidTr="00A504C6">
        <w:trPr>
          <w:trHeight w:val="216"/>
        </w:trPr>
        <w:tc>
          <w:tcPr>
            <w:tcW w:w="2645" w:type="pct"/>
            <w:tcBorders>
              <w:bottom w:val="single" w:sz="4" w:space="0" w:color="auto"/>
            </w:tcBorders>
            <w:shd w:val="clear" w:color="auto" w:fill="auto"/>
            <w:tcMar>
              <w:left w:w="58" w:type="dxa"/>
              <w:right w:w="58" w:type="dxa"/>
            </w:tcMar>
            <w:vAlign w:val="center"/>
          </w:tcPr>
          <w:p w14:paraId="2D50AD6C" w14:textId="586211E5" w:rsidR="00252BDE" w:rsidRPr="00CE3053" w:rsidRDefault="00A253B0" w:rsidP="00252BDE">
            <w:pPr>
              <w:spacing w:after="0"/>
              <w:rPr>
                <w:rFonts w:ascii="Arial" w:hAnsi="Arial" w:cs="Arial"/>
                <w:color w:val="000000"/>
                <w:lang w:val="mk-MK"/>
              </w:rPr>
            </w:pPr>
            <w:proofErr w:type="spellStart"/>
            <w:r w:rsidRPr="00A253B0">
              <w:rPr>
                <w:rFonts w:ascii="Arial" w:hAnsi="Arial" w:cs="Arial"/>
                <w:color w:val="000000"/>
                <w:lang w:val="mk-MK"/>
              </w:rPr>
              <w:t>Interest</w:t>
            </w:r>
            <w:proofErr w:type="spellEnd"/>
            <w:r w:rsidRPr="00A253B0">
              <w:rPr>
                <w:rFonts w:ascii="Arial" w:hAnsi="Arial" w:cs="Arial"/>
                <w:color w:val="000000"/>
                <w:lang w:val="mk-MK"/>
              </w:rPr>
              <w:t xml:space="preserve"> </w:t>
            </w:r>
            <w:proofErr w:type="spellStart"/>
            <w:r w:rsidRPr="00A253B0">
              <w:rPr>
                <w:rFonts w:ascii="Arial" w:hAnsi="Arial" w:cs="Arial"/>
                <w:color w:val="000000"/>
                <w:lang w:val="mk-MK"/>
              </w:rPr>
              <w:t>income</w:t>
            </w:r>
            <w:proofErr w:type="spellEnd"/>
          </w:p>
        </w:tc>
        <w:tc>
          <w:tcPr>
            <w:tcW w:w="513" w:type="pct"/>
            <w:tcBorders>
              <w:bottom w:val="single" w:sz="4" w:space="0" w:color="auto"/>
            </w:tcBorders>
            <w:shd w:val="clear" w:color="auto" w:fill="auto"/>
            <w:tcMar>
              <w:left w:w="58" w:type="dxa"/>
              <w:right w:w="58" w:type="dxa"/>
            </w:tcMar>
            <w:vAlign w:val="bottom"/>
          </w:tcPr>
          <w:p w14:paraId="0B19C2E8" w14:textId="77777777" w:rsidR="00252BDE" w:rsidRPr="001E6526" w:rsidRDefault="00252BDE" w:rsidP="00252BDE">
            <w:pPr>
              <w:pStyle w:val="TableText"/>
              <w:spacing w:after="0"/>
              <w:jc w:val="center"/>
              <w:rPr>
                <w:rFonts w:ascii="Arial" w:hAnsi="Arial"/>
                <w:color w:val="000000"/>
                <w:sz w:val="18"/>
                <w:lang w:val="mk-MK"/>
              </w:rPr>
            </w:pPr>
            <w:r w:rsidRPr="001E6526">
              <w:rPr>
                <w:rFonts w:ascii="Arial" w:hAnsi="Arial"/>
                <w:color w:val="000000"/>
                <w:sz w:val="18"/>
                <w:lang w:val="mk-MK"/>
              </w:rPr>
              <w:t>6</w:t>
            </w:r>
          </w:p>
        </w:tc>
        <w:tc>
          <w:tcPr>
            <w:tcW w:w="995" w:type="pct"/>
            <w:tcBorders>
              <w:bottom w:val="single" w:sz="4" w:space="0" w:color="auto"/>
            </w:tcBorders>
            <w:shd w:val="clear" w:color="auto" w:fill="auto"/>
            <w:tcMar>
              <w:left w:w="58" w:type="dxa"/>
              <w:right w:w="58" w:type="dxa"/>
            </w:tcMar>
            <w:vAlign w:val="bottom"/>
          </w:tcPr>
          <w:p w14:paraId="7656FA5F" w14:textId="3BB72FC3" w:rsidR="00252BDE" w:rsidRPr="00CE3053" w:rsidRDefault="00252BDE" w:rsidP="00252BDE">
            <w:pPr>
              <w:spacing w:after="0"/>
              <w:jc w:val="right"/>
              <w:rPr>
                <w:rFonts w:ascii="Arial" w:hAnsi="Arial" w:cs="Arial"/>
                <w:color w:val="000000"/>
                <w:lang w:val="mk-MK"/>
              </w:rPr>
            </w:pPr>
            <w:r w:rsidRPr="00CE3053">
              <w:rPr>
                <w:rFonts w:ascii="Arial" w:hAnsi="Arial" w:cs="Arial"/>
                <w:color w:val="000000"/>
                <w:lang w:val="mk-MK"/>
              </w:rPr>
              <w:t>(</w:t>
            </w:r>
            <w:r w:rsidRPr="001E6526">
              <w:rPr>
                <w:rFonts w:ascii="Arial" w:hAnsi="Arial" w:cs="Arial"/>
                <w:color w:val="000000"/>
                <w:lang w:val="mk-MK"/>
              </w:rPr>
              <w:t>62,679</w:t>
            </w:r>
            <w:r w:rsidRPr="00CE3053">
              <w:rPr>
                <w:rFonts w:ascii="Arial" w:hAnsi="Arial" w:cs="Arial"/>
                <w:color w:val="000000"/>
                <w:lang w:val="mk-MK"/>
              </w:rPr>
              <w:t>)</w:t>
            </w:r>
          </w:p>
        </w:tc>
        <w:tc>
          <w:tcPr>
            <w:tcW w:w="847" w:type="pct"/>
            <w:tcBorders>
              <w:bottom w:val="single" w:sz="4" w:space="0" w:color="auto"/>
            </w:tcBorders>
            <w:shd w:val="clear" w:color="auto" w:fill="auto"/>
            <w:tcMar>
              <w:left w:w="58" w:type="dxa"/>
              <w:right w:w="58" w:type="dxa"/>
            </w:tcMar>
            <w:vAlign w:val="bottom"/>
          </w:tcPr>
          <w:p w14:paraId="01D00248" w14:textId="4573ADB6" w:rsidR="00252BDE" w:rsidRPr="001E6526" w:rsidRDefault="00252BDE" w:rsidP="00252BDE">
            <w:pPr>
              <w:spacing w:after="0"/>
              <w:jc w:val="right"/>
              <w:rPr>
                <w:rFonts w:ascii="Arial" w:hAnsi="Arial" w:cs="Arial"/>
                <w:color w:val="000000"/>
                <w:lang w:val="mk-MK"/>
              </w:rPr>
            </w:pPr>
            <w:r w:rsidRPr="00CE3053">
              <w:rPr>
                <w:rFonts w:ascii="Arial" w:hAnsi="Arial" w:cs="Arial"/>
                <w:color w:val="000000"/>
                <w:lang w:val="mk-MK"/>
              </w:rPr>
              <w:t>(95,509)</w:t>
            </w:r>
          </w:p>
        </w:tc>
      </w:tr>
      <w:tr w:rsidR="00252BDE" w:rsidRPr="001E6526" w14:paraId="4BA1FFA2" w14:textId="77777777" w:rsidTr="00A504C6">
        <w:trPr>
          <w:trHeight w:val="216"/>
        </w:trPr>
        <w:tc>
          <w:tcPr>
            <w:tcW w:w="2645" w:type="pct"/>
            <w:tcBorders>
              <w:top w:val="single" w:sz="4" w:space="0" w:color="auto"/>
            </w:tcBorders>
            <w:shd w:val="clear" w:color="auto" w:fill="auto"/>
            <w:tcMar>
              <w:left w:w="58" w:type="dxa"/>
              <w:right w:w="58" w:type="dxa"/>
            </w:tcMar>
            <w:vAlign w:val="center"/>
          </w:tcPr>
          <w:p w14:paraId="68F06B94" w14:textId="77777777" w:rsidR="00252BDE" w:rsidRPr="00CE3053" w:rsidRDefault="00252BDE" w:rsidP="00252BDE">
            <w:pPr>
              <w:spacing w:after="0"/>
              <w:rPr>
                <w:rFonts w:ascii="Arial" w:hAnsi="Arial" w:cs="Arial"/>
                <w:color w:val="000000"/>
                <w:lang w:val="mk-MK"/>
              </w:rPr>
            </w:pPr>
          </w:p>
        </w:tc>
        <w:tc>
          <w:tcPr>
            <w:tcW w:w="513" w:type="pct"/>
            <w:tcBorders>
              <w:top w:val="single" w:sz="4" w:space="0" w:color="auto"/>
            </w:tcBorders>
            <w:shd w:val="clear" w:color="auto" w:fill="auto"/>
            <w:tcMar>
              <w:left w:w="58" w:type="dxa"/>
              <w:right w:w="58" w:type="dxa"/>
            </w:tcMar>
            <w:vAlign w:val="bottom"/>
          </w:tcPr>
          <w:p w14:paraId="6A5BFC68" w14:textId="77777777" w:rsidR="00252BDE" w:rsidRPr="00CE3053" w:rsidRDefault="00252BDE" w:rsidP="00252BDE">
            <w:pPr>
              <w:pStyle w:val="TableText"/>
              <w:spacing w:after="0"/>
              <w:jc w:val="center"/>
              <w:rPr>
                <w:rFonts w:ascii="Arial" w:hAnsi="Arial"/>
                <w:color w:val="000000"/>
                <w:sz w:val="18"/>
                <w:lang w:val="mk-MK"/>
              </w:rPr>
            </w:pPr>
          </w:p>
        </w:tc>
        <w:tc>
          <w:tcPr>
            <w:tcW w:w="995" w:type="pct"/>
            <w:tcBorders>
              <w:top w:val="single" w:sz="4" w:space="0" w:color="auto"/>
            </w:tcBorders>
            <w:shd w:val="clear" w:color="auto" w:fill="auto"/>
            <w:tcMar>
              <w:left w:w="58" w:type="dxa"/>
              <w:right w:w="58" w:type="dxa"/>
            </w:tcMar>
            <w:vAlign w:val="bottom"/>
          </w:tcPr>
          <w:p w14:paraId="65EF1458" w14:textId="20498F93" w:rsidR="00252BDE" w:rsidRPr="00CE3053" w:rsidRDefault="00252BDE" w:rsidP="00252BDE">
            <w:pPr>
              <w:spacing w:after="0"/>
              <w:jc w:val="right"/>
              <w:rPr>
                <w:rFonts w:ascii="Arial" w:hAnsi="Arial" w:cs="Arial"/>
                <w:i/>
                <w:color w:val="000000"/>
                <w:lang w:val="mk-MK"/>
              </w:rPr>
            </w:pPr>
            <w:r w:rsidRPr="00CE3053">
              <w:rPr>
                <w:rFonts w:ascii="Arial" w:hAnsi="Arial" w:cs="Arial"/>
                <w:i/>
                <w:color w:val="000000"/>
                <w:lang w:val="mk-MK"/>
              </w:rPr>
              <w:t>(</w:t>
            </w:r>
            <w:r w:rsidRPr="001E6526">
              <w:rPr>
                <w:rFonts w:ascii="Arial" w:hAnsi="Arial" w:cs="Arial"/>
                <w:i/>
                <w:color w:val="000000"/>
                <w:lang w:val="mk-MK"/>
              </w:rPr>
              <w:t>14,770</w:t>
            </w:r>
            <w:r w:rsidRPr="00CE3053">
              <w:rPr>
                <w:rFonts w:ascii="Arial" w:hAnsi="Arial" w:cs="Arial"/>
                <w:i/>
                <w:color w:val="000000"/>
                <w:lang w:val="mk-MK"/>
              </w:rPr>
              <w:t>)</w:t>
            </w:r>
          </w:p>
        </w:tc>
        <w:tc>
          <w:tcPr>
            <w:tcW w:w="847" w:type="pct"/>
            <w:tcBorders>
              <w:top w:val="single" w:sz="4" w:space="0" w:color="auto"/>
            </w:tcBorders>
            <w:shd w:val="clear" w:color="auto" w:fill="auto"/>
            <w:tcMar>
              <w:left w:w="58" w:type="dxa"/>
              <w:right w:w="58" w:type="dxa"/>
            </w:tcMar>
            <w:vAlign w:val="bottom"/>
          </w:tcPr>
          <w:p w14:paraId="1FEC69C2" w14:textId="6F3DFCEC" w:rsidR="00252BDE" w:rsidRPr="00CE3053" w:rsidRDefault="00252BDE" w:rsidP="00252BDE">
            <w:pPr>
              <w:spacing w:after="0"/>
              <w:jc w:val="right"/>
              <w:rPr>
                <w:rFonts w:ascii="Arial" w:hAnsi="Arial" w:cs="Arial"/>
                <w:i/>
                <w:color w:val="000000"/>
                <w:lang w:val="mk-MK"/>
              </w:rPr>
            </w:pPr>
            <w:r w:rsidRPr="00CE3053">
              <w:rPr>
                <w:rFonts w:ascii="Arial" w:hAnsi="Arial" w:cs="Arial"/>
                <w:i/>
                <w:color w:val="000000"/>
                <w:lang w:val="mk-MK"/>
              </w:rPr>
              <w:t>(16,205)</w:t>
            </w:r>
          </w:p>
        </w:tc>
      </w:tr>
      <w:tr w:rsidR="00252BDE" w:rsidRPr="001E6526" w14:paraId="7EE5CB25" w14:textId="77777777" w:rsidTr="00A504C6">
        <w:trPr>
          <w:trHeight w:val="216"/>
        </w:trPr>
        <w:tc>
          <w:tcPr>
            <w:tcW w:w="2645" w:type="pct"/>
            <w:shd w:val="clear" w:color="auto" w:fill="auto"/>
            <w:tcMar>
              <w:left w:w="58" w:type="dxa"/>
              <w:right w:w="58" w:type="dxa"/>
            </w:tcMar>
            <w:vAlign w:val="center"/>
          </w:tcPr>
          <w:p w14:paraId="20D8C09F" w14:textId="77777777" w:rsidR="00252BDE" w:rsidRPr="00CE3053" w:rsidRDefault="00252BDE" w:rsidP="00252BDE">
            <w:pPr>
              <w:spacing w:after="0"/>
              <w:rPr>
                <w:rFonts w:ascii="Arial" w:hAnsi="Arial" w:cs="Arial"/>
                <w:color w:val="000000"/>
                <w:lang w:val="mk-MK"/>
              </w:rPr>
            </w:pPr>
          </w:p>
        </w:tc>
        <w:tc>
          <w:tcPr>
            <w:tcW w:w="513" w:type="pct"/>
            <w:shd w:val="clear" w:color="auto" w:fill="auto"/>
            <w:tcMar>
              <w:left w:w="58" w:type="dxa"/>
              <w:right w:w="58" w:type="dxa"/>
            </w:tcMar>
            <w:vAlign w:val="bottom"/>
          </w:tcPr>
          <w:p w14:paraId="36625447" w14:textId="77777777" w:rsidR="00252BDE" w:rsidRPr="00CE3053" w:rsidRDefault="00252BDE" w:rsidP="00252BDE">
            <w:pPr>
              <w:pStyle w:val="TableText"/>
              <w:spacing w:after="0"/>
              <w:jc w:val="center"/>
              <w:rPr>
                <w:rFonts w:ascii="Arial" w:hAnsi="Arial"/>
                <w:color w:val="000000"/>
                <w:sz w:val="18"/>
                <w:lang w:val="mk-MK"/>
              </w:rPr>
            </w:pPr>
          </w:p>
        </w:tc>
        <w:tc>
          <w:tcPr>
            <w:tcW w:w="995" w:type="pct"/>
            <w:shd w:val="clear" w:color="auto" w:fill="auto"/>
            <w:tcMar>
              <w:left w:w="58" w:type="dxa"/>
              <w:right w:w="58" w:type="dxa"/>
            </w:tcMar>
            <w:vAlign w:val="bottom"/>
          </w:tcPr>
          <w:p w14:paraId="7547EA54" w14:textId="77777777" w:rsidR="00252BDE" w:rsidRPr="00CE3053" w:rsidRDefault="00252BDE" w:rsidP="00252BDE">
            <w:pPr>
              <w:spacing w:after="0"/>
              <w:jc w:val="right"/>
              <w:rPr>
                <w:rFonts w:ascii="Arial" w:hAnsi="Arial" w:cs="Arial"/>
                <w:color w:val="000000"/>
                <w:lang w:val="mk-MK"/>
              </w:rPr>
            </w:pPr>
          </w:p>
        </w:tc>
        <w:tc>
          <w:tcPr>
            <w:tcW w:w="847" w:type="pct"/>
            <w:shd w:val="clear" w:color="auto" w:fill="auto"/>
            <w:tcMar>
              <w:left w:w="58" w:type="dxa"/>
              <w:right w:w="58" w:type="dxa"/>
            </w:tcMar>
            <w:vAlign w:val="bottom"/>
          </w:tcPr>
          <w:p w14:paraId="62F57DBE" w14:textId="77777777" w:rsidR="00252BDE" w:rsidRPr="00CE3053" w:rsidRDefault="00252BDE" w:rsidP="00252BDE">
            <w:pPr>
              <w:spacing w:after="0"/>
              <w:jc w:val="right"/>
              <w:rPr>
                <w:rFonts w:ascii="Arial" w:hAnsi="Arial" w:cs="Arial"/>
                <w:color w:val="000000"/>
                <w:lang w:val="mk-MK"/>
              </w:rPr>
            </w:pPr>
          </w:p>
        </w:tc>
      </w:tr>
      <w:tr w:rsidR="00252BDE" w:rsidRPr="001E6526" w14:paraId="1352DDAB" w14:textId="77777777" w:rsidTr="00A504C6">
        <w:trPr>
          <w:trHeight w:val="216"/>
        </w:trPr>
        <w:tc>
          <w:tcPr>
            <w:tcW w:w="2645" w:type="pct"/>
            <w:shd w:val="clear" w:color="auto" w:fill="auto"/>
            <w:tcMar>
              <w:left w:w="58" w:type="dxa"/>
              <w:right w:w="58" w:type="dxa"/>
            </w:tcMar>
            <w:vAlign w:val="center"/>
          </w:tcPr>
          <w:p w14:paraId="50AF4493" w14:textId="7837BCDF" w:rsidR="00252BDE" w:rsidRPr="00CE3053" w:rsidRDefault="00A253B0" w:rsidP="00252BDE">
            <w:pPr>
              <w:spacing w:after="0"/>
              <w:rPr>
                <w:rFonts w:ascii="Arial" w:hAnsi="Arial" w:cs="Arial"/>
                <w:i/>
                <w:color w:val="000000"/>
                <w:lang w:val="mk-MK"/>
              </w:rPr>
            </w:pPr>
            <w:proofErr w:type="spellStart"/>
            <w:r w:rsidRPr="00A253B0">
              <w:rPr>
                <w:rFonts w:ascii="Arial" w:hAnsi="Arial" w:cs="Arial"/>
                <w:i/>
                <w:color w:val="000000"/>
                <w:lang w:val="mk-MK"/>
              </w:rPr>
              <w:t>Changes</w:t>
            </w:r>
            <w:proofErr w:type="spellEnd"/>
            <w:r w:rsidRPr="00A253B0">
              <w:rPr>
                <w:rFonts w:ascii="Arial" w:hAnsi="Arial" w:cs="Arial"/>
                <w:i/>
                <w:color w:val="000000"/>
                <w:lang w:val="mk-MK"/>
              </w:rPr>
              <w:t xml:space="preserve"> </w:t>
            </w:r>
            <w:proofErr w:type="spellStart"/>
            <w:r w:rsidRPr="00A253B0">
              <w:rPr>
                <w:rFonts w:ascii="Arial" w:hAnsi="Arial" w:cs="Arial"/>
                <w:i/>
                <w:color w:val="000000"/>
                <w:lang w:val="mk-MK"/>
              </w:rPr>
              <w:t>in</w:t>
            </w:r>
            <w:proofErr w:type="spellEnd"/>
            <w:r w:rsidRPr="00A253B0">
              <w:rPr>
                <w:rFonts w:ascii="Arial" w:hAnsi="Arial" w:cs="Arial"/>
                <w:i/>
                <w:color w:val="000000"/>
                <w:lang w:val="mk-MK"/>
              </w:rPr>
              <w:t xml:space="preserve"> </w:t>
            </w:r>
            <w:proofErr w:type="spellStart"/>
            <w:r w:rsidRPr="00A253B0">
              <w:rPr>
                <w:rFonts w:ascii="Arial" w:hAnsi="Arial" w:cs="Arial"/>
                <w:i/>
                <w:color w:val="000000"/>
                <w:lang w:val="mk-MK"/>
              </w:rPr>
              <w:t>working</w:t>
            </w:r>
            <w:proofErr w:type="spellEnd"/>
            <w:r w:rsidRPr="00A253B0">
              <w:rPr>
                <w:rFonts w:ascii="Arial" w:hAnsi="Arial" w:cs="Arial"/>
                <w:i/>
                <w:color w:val="000000"/>
                <w:lang w:val="mk-MK"/>
              </w:rPr>
              <w:t xml:space="preserve"> </w:t>
            </w:r>
            <w:proofErr w:type="spellStart"/>
            <w:r w:rsidRPr="00A253B0">
              <w:rPr>
                <w:rFonts w:ascii="Arial" w:hAnsi="Arial" w:cs="Arial"/>
                <w:i/>
                <w:color w:val="000000"/>
                <w:lang w:val="mk-MK"/>
              </w:rPr>
              <w:t>capital</w:t>
            </w:r>
            <w:proofErr w:type="spellEnd"/>
          </w:p>
        </w:tc>
        <w:tc>
          <w:tcPr>
            <w:tcW w:w="513" w:type="pct"/>
            <w:shd w:val="clear" w:color="auto" w:fill="auto"/>
            <w:tcMar>
              <w:left w:w="58" w:type="dxa"/>
              <w:right w:w="58" w:type="dxa"/>
            </w:tcMar>
            <w:vAlign w:val="bottom"/>
          </w:tcPr>
          <w:p w14:paraId="6EE6983C" w14:textId="77777777" w:rsidR="00252BDE" w:rsidRPr="00CE3053" w:rsidRDefault="00252BDE" w:rsidP="00252BDE">
            <w:pPr>
              <w:pStyle w:val="TableText"/>
              <w:spacing w:after="0"/>
              <w:jc w:val="center"/>
              <w:rPr>
                <w:rFonts w:ascii="Arial" w:hAnsi="Arial"/>
                <w:color w:val="000000"/>
                <w:sz w:val="18"/>
                <w:lang w:val="mk-MK"/>
              </w:rPr>
            </w:pPr>
          </w:p>
        </w:tc>
        <w:tc>
          <w:tcPr>
            <w:tcW w:w="995" w:type="pct"/>
            <w:shd w:val="clear" w:color="auto" w:fill="auto"/>
            <w:tcMar>
              <w:left w:w="58" w:type="dxa"/>
              <w:right w:w="58" w:type="dxa"/>
            </w:tcMar>
            <w:vAlign w:val="bottom"/>
          </w:tcPr>
          <w:p w14:paraId="1F6B3806" w14:textId="77777777" w:rsidR="00252BDE" w:rsidRPr="00CE3053" w:rsidRDefault="00252BDE" w:rsidP="00252BDE">
            <w:pPr>
              <w:spacing w:after="0"/>
              <w:jc w:val="right"/>
              <w:rPr>
                <w:rFonts w:ascii="Arial" w:hAnsi="Arial" w:cs="Arial"/>
                <w:color w:val="000000"/>
                <w:lang w:val="mk-MK"/>
              </w:rPr>
            </w:pPr>
          </w:p>
        </w:tc>
        <w:tc>
          <w:tcPr>
            <w:tcW w:w="847" w:type="pct"/>
            <w:shd w:val="clear" w:color="auto" w:fill="auto"/>
            <w:tcMar>
              <w:left w:w="58" w:type="dxa"/>
              <w:right w:w="58" w:type="dxa"/>
            </w:tcMar>
            <w:vAlign w:val="bottom"/>
          </w:tcPr>
          <w:p w14:paraId="6F510C54" w14:textId="77777777" w:rsidR="00252BDE" w:rsidRPr="00CE3053" w:rsidRDefault="00252BDE" w:rsidP="00252BDE">
            <w:pPr>
              <w:spacing w:after="0"/>
              <w:jc w:val="right"/>
              <w:rPr>
                <w:rFonts w:ascii="Arial" w:hAnsi="Arial" w:cs="Arial"/>
                <w:color w:val="000000"/>
                <w:lang w:val="mk-MK"/>
              </w:rPr>
            </w:pPr>
          </w:p>
        </w:tc>
      </w:tr>
      <w:tr w:rsidR="00252BDE" w:rsidRPr="001E6526" w14:paraId="4E04DB4F" w14:textId="77777777" w:rsidTr="00A504C6">
        <w:trPr>
          <w:trHeight w:val="216"/>
        </w:trPr>
        <w:tc>
          <w:tcPr>
            <w:tcW w:w="2645" w:type="pct"/>
            <w:shd w:val="clear" w:color="auto" w:fill="auto"/>
            <w:tcMar>
              <w:left w:w="58" w:type="dxa"/>
              <w:right w:w="58" w:type="dxa"/>
            </w:tcMar>
            <w:vAlign w:val="center"/>
          </w:tcPr>
          <w:p w14:paraId="6D0E9301" w14:textId="0A569B3D" w:rsidR="00252BDE" w:rsidRPr="00CE3053" w:rsidRDefault="00A253B0" w:rsidP="00252BDE">
            <w:pPr>
              <w:spacing w:after="0"/>
              <w:rPr>
                <w:rFonts w:ascii="Arial" w:hAnsi="Arial" w:cs="Arial"/>
                <w:color w:val="000000"/>
                <w:lang w:val="mk-MK"/>
              </w:rPr>
            </w:pPr>
            <w:proofErr w:type="spellStart"/>
            <w:r w:rsidRPr="00A253B0">
              <w:rPr>
                <w:rFonts w:ascii="Arial" w:hAnsi="Arial" w:cs="Arial"/>
                <w:color w:val="000000"/>
                <w:lang w:val="mk-MK"/>
              </w:rPr>
              <w:t>Proceeds</w:t>
            </w:r>
            <w:proofErr w:type="spellEnd"/>
            <w:r w:rsidRPr="00A253B0">
              <w:rPr>
                <w:rFonts w:ascii="Arial" w:hAnsi="Arial" w:cs="Arial"/>
                <w:color w:val="000000"/>
                <w:lang w:val="mk-MK"/>
              </w:rPr>
              <w:t xml:space="preserve"> </w:t>
            </w:r>
            <w:proofErr w:type="spellStart"/>
            <w:r w:rsidRPr="00A253B0">
              <w:rPr>
                <w:rFonts w:ascii="Arial" w:hAnsi="Arial" w:cs="Arial"/>
                <w:color w:val="000000"/>
                <w:lang w:val="mk-MK"/>
              </w:rPr>
              <w:t>from</w:t>
            </w:r>
            <w:proofErr w:type="spellEnd"/>
            <w:r w:rsidRPr="00A253B0">
              <w:rPr>
                <w:rFonts w:ascii="Arial" w:hAnsi="Arial" w:cs="Arial"/>
                <w:color w:val="000000"/>
                <w:lang w:val="mk-MK"/>
              </w:rPr>
              <w:t xml:space="preserve"> </w:t>
            </w:r>
            <w:proofErr w:type="spellStart"/>
            <w:r w:rsidRPr="00A253B0">
              <w:rPr>
                <w:rFonts w:ascii="Arial" w:hAnsi="Arial" w:cs="Arial"/>
                <w:color w:val="000000"/>
                <w:lang w:val="mk-MK"/>
              </w:rPr>
              <w:t>insurance</w:t>
            </w:r>
            <w:proofErr w:type="spellEnd"/>
            <w:r w:rsidRPr="00A253B0">
              <w:rPr>
                <w:rFonts w:ascii="Arial" w:hAnsi="Arial" w:cs="Arial"/>
                <w:color w:val="000000"/>
                <w:lang w:val="mk-MK"/>
              </w:rPr>
              <w:t xml:space="preserve"> </w:t>
            </w:r>
            <w:proofErr w:type="spellStart"/>
            <w:r w:rsidRPr="00A253B0">
              <w:rPr>
                <w:rFonts w:ascii="Arial" w:hAnsi="Arial" w:cs="Arial"/>
                <w:color w:val="000000"/>
                <w:lang w:val="mk-MK"/>
              </w:rPr>
              <w:t>premiums</w:t>
            </w:r>
            <w:proofErr w:type="spellEnd"/>
          </w:p>
        </w:tc>
        <w:tc>
          <w:tcPr>
            <w:tcW w:w="513" w:type="pct"/>
            <w:shd w:val="clear" w:color="auto" w:fill="auto"/>
            <w:tcMar>
              <w:left w:w="58" w:type="dxa"/>
              <w:right w:w="58" w:type="dxa"/>
            </w:tcMar>
            <w:vAlign w:val="bottom"/>
          </w:tcPr>
          <w:p w14:paraId="632A7BCE" w14:textId="77777777" w:rsidR="00252BDE" w:rsidRPr="00CE3053" w:rsidRDefault="00252BDE" w:rsidP="00252BDE">
            <w:pPr>
              <w:pStyle w:val="TableText"/>
              <w:spacing w:after="0"/>
              <w:jc w:val="center"/>
              <w:rPr>
                <w:rFonts w:ascii="Arial" w:hAnsi="Arial"/>
                <w:color w:val="000000"/>
                <w:sz w:val="18"/>
                <w:lang w:val="mk-MK"/>
              </w:rPr>
            </w:pPr>
          </w:p>
        </w:tc>
        <w:tc>
          <w:tcPr>
            <w:tcW w:w="995" w:type="pct"/>
            <w:shd w:val="clear" w:color="auto" w:fill="auto"/>
            <w:tcMar>
              <w:left w:w="58" w:type="dxa"/>
              <w:right w:w="58" w:type="dxa"/>
            </w:tcMar>
            <w:vAlign w:val="bottom"/>
          </w:tcPr>
          <w:p w14:paraId="6FDC8425" w14:textId="5196138B" w:rsidR="00252BDE" w:rsidRPr="001E6526" w:rsidRDefault="00252BDE" w:rsidP="00252BDE">
            <w:pPr>
              <w:spacing w:after="0"/>
              <w:jc w:val="right"/>
              <w:rPr>
                <w:rFonts w:ascii="Arial" w:hAnsi="Arial" w:cs="Arial"/>
                <w:color w:val="000000"/>
                <w:lang w:val="mk-MK"/>
              </w:rPr>
            </w:pPr>
            <w:r w:rsidRPr="001E6526">
              <w:rPr>
                <w:rFonts w:ascii="Arial" w:hAnsi="Arial" w:cs="Arial"/>
                <w:color w:val="000000"/>
                <w:lang w:val="mk-MK"/>
              </w:rPr>
              <w:t>769,338</w:t>
            </w:r>
          </w:p>
        </w:tc>
        <w:tc>
          <w:tcPr>
            <w:tcW w:w="847" w:type="pct"/>
            <w:shd w:val="clear" w:color="auto" w:fill="auto"/>
            <w:tcMar>
              <w:left w:w="58" w:type="dxa"/>
              <w:right w:w="58" w:type="dxa"/>
            </w:tcMar>
            <w:vAlign w:val="bottom"/>
          </w:tcPr>
          <w:p w14:paraId="79C6785F" w14:textId="478CAD58" w:rsidR="00252BDE" w:rsidRPr="00CE3053" w:rsidRDefault="00252BDE" w:rsidP="00252BDE">
            <w:pPr>
              <w:spacing w:after="0"/>
              <w:jc w:val="right"/>
              <w:rPr>
                <w:rFonts w:ascii="Arial" w:hAnsi="Arial" w:cs="Arial"/>
                <w:color w:val="000000"/>
                <w:lang w:val="mk-MK"/>
              </w:rPr>
            </w:pPr>
            <w:r w:rsidRPr="00CE3053">
              <w:rPr>
                <w:rFonts w:ascii="Arial" w:hAnsi="Arial" w:cs="Arial"/>
                <w:color w:val="000000"/>
                <w:lang w:val="mk-MK"/>
              </w:rPr>
              <w:t>707,027</w:t>
            </w:r>
          </w:p>
        </w:tc>
      </w:tr>
      <w:tr w:rsidR="00252BDE" w:rsidRPr="001E6526" w14:paraId="19351D90" w14:textId="77777777" w:rsidTr="00A504C6">
        <w:trPr>
          <w:trHeight w:val="216"/>
        </w:trPr>
        <w:tc>
          <w:tcPr>
            <w:tcW w:w="2645" w:type="pct"/>
            <w:shd w:val="clear" w:color="auto" w:fill="auto"/>
            <w:tcMar>
              <w:left w:w="58" w:type="dxa"/>
              <w:right w:w="58" w:type="dxa"/>
            </w:tcMar>
            <w:vAlign w:val="center"/>
          </w:tcPr>
          <w:p w14:paraId="2B5E36D9" w14:textId="57495D75" w:rsidR="00252BDE" w:rsidRPr="00CE3053" w:rsidRDefault="00A253B0" w:rsidP="00252BDE">
            <w:pPr>
              <w:spacing w:after="0"/>
              <w:rPr>
                <w:rFonts w:ascii="Arial" w:hAnsi="Arial" w:cs="Arial"/>
                <w:color w:val="000000"/>
                <w:lang w:val="mk-MK"/>
              </w:rPr>
            </w:pPr>
            <w:proofErr w:type="spellStart"/>
            <w:r w:rsidRPr="00A253B0">
              <w:rPr>
                <w:rFonts w:ascii="Arial" w:hAnsi="Arial" w:cs="Arial"/>
                <w:bCs/>
                <w:lang w:val="mk-MK"/>
              </w:rPr>
              <w:t>Return</w:t>
            </w:r>
            <w:proofErr w:type="spellEnd"/>
            <w:r w:rsidRPr="00A253B0">
              <w:rPr>
                <w:rFonts w:ascii="Arial" w:hAnsi="Arial" w:cs="Arial"/>
                <w:bCs/>
                <w:lang w:val="mk-MK"/>
              </w:rPr>
              <w:t xml:space="preserve"> </w:t>
            </w:r>
            <w:proofErr w:type="spellStart"/>
            <w:r w:rsidRPr="00A253B0">
              <w:rPr>
                <w:rFonts w:ascii="Arial" w:hAnsi="Arial" w:cs="Arial"/>
                <w:bCs/>
                <w:lang w:val="mk-MK"/>
              </w:rPr>
              <w:t>of</w:t>
            </w:r>
            <w:proofErr w:type="spellEnd"/>
            <w:r w:rsidRPr="00A253B0">
              <w:rPr>
                <w:rFonts w:ascii="Arial" w:hAnsi="Arial" w:cs="Arial"/>
                <w:bCs/>
                <w:lang w:val="mk-MK"/>
              </w:rPr>
              <w:t xml:space="preserve"> </w:t>
            </w:r>
            <w:proofErr w:type="spellStart"/>
            <w:r w:rsidRPr="00A253B0">
              <w:rPr>
                <w:rFonts w:ascii="Arial" w:hAnsi="Arial" w:cs="Arial"/>
                <w:bCs/>
                <w:lang w:val="mk-MK"/>
              </w:rPr>
              <w:t>funds</w:t>
            </w:r>
            <w:proofErr w:type="spellEnd"/>
            <w:r w:rsidRPr="00A253B0">
              <w:rPr>
                <w:rFonts w:ascii="Arial" w:hAnsi="Arial" w:cs="Arial"/>
                <w:bCs/>
                <w:lang w:val="mk-MK"/>
              </w:rPr>
              <w:t xml:space="preserve"> </w:t>
            </w:r>
            <w:proofErr w:type="spellStart"/>
            <w:r w:rsidRPr="00A253B0">
              <w:rPr>
                <w:rFonts w:ascii="Arial" w:hAnsi="Arial" w:cs="Arial"/>
                <w:bCs/>
                <w:lang w:val="mk-MK"/>
              </w:rPr>
              <w:t>for</w:t>
            </w:r>
            <w:proofErr w:type="spellEnd"/>
            <w:r w:rsidRPr="00A253B0">
              <w:rPr>
                <w:rFonts w:ascii="Arial" w:hAnsi="Arial" w:cs="Arial"/>
                <w:bCs/>
                <w:lang w:val="mk-MK"/>
              </w:rPr>
              <w:t xml:space="preserve"> </w:t>
            </w:r>
            <w:proofErr w:type="spellStart"/>
            <w:r w:rsidRPr="00A253B0">
              <w:rPr>
                <w:rFonts w:ascii="Arial" w:hAnsi="Arial" w:cs="Arial"/>
                <w:bCs/>
                <w:lang w:val="mk-MK"/>
              </w:rPr>
              <w:t>previously</w:t>
            </w:r>
            <w:proofErr w:type="spellEnd"/>
            <w:r w:rsidRPr="00A253B0">
              <w:rPr>
                <w:rFonts w:ascii="Arial" w:hAnsi="Arial" w:cs="Arial"/>
                <w:bCs/>
                <w:lang w:val="mk-MK"/>
              </w:rPr>
              <w:t xml:space="preserve"> </w:t>
            </w:r>
            <w:proofErr w:type="spellStart"/>
            <w:r w:rsidRPr="00A253B0">
              <w:rPr>
                <w:rFonts w:ascii="Arial" w:hAnsi="Arial" w:cs="Arial"/>
                <w:bCs/>
                <w:lang w:val="mk-MK"/>
              </w:rPr>
              <w:t>paid</w:t>
            </w:r>
            <w:proofErr w:type="spellEnd"/>
            <w:r w:rsidRPr="00A253B0">
              <w:rPr>
                <w:rFonts w:ascii="Arial" w:hAnsi="Arial" w:cs="Arial"/>
                <w:bCs/>
                <w:lang w:val="mk-MK"/>
              </w:rPr>
              <w:t xml:space="preserve"> </w:t>
            </w:r>
            <w:proofErr w:type="spellStart"/>
            <w:r w:rsidRPr="00A253B0">
              <w:rPr>
                <w:rFonts w:ascii="Arial" w:hAnsi="Arial" w:cs="Arial"/>
                <w:bCs/>
                <w:lang w:val="mk-MK"/>
              </w:rPr>
              <w:t>indemnification</w:t>
            </w:r>
            <w:proofErr w:type="spellEnd"/>
          </w:p>
        </w:tc>
        <w:tc>
          <w:tcPr>
            <w:tcW w:w="513" w:type="pct"/>
            <w:shd w:val="clear" w:color="auto" w:fill="auto"/>
            <w:tcMar>
              <w:left w:w="58" w:type="dxa"/>
              <w:right w:w="58" w:type="dxa"/>
            </w:tcMar>
            <w:vAlign w:val="bottom"/>
          </w:tcPr>
          <w:p w14:paraId="586AF1CE" w14:textId="77777777" w:rsidR="00252BDE" w:rsidRPr="00CE3053" w:rsidRDefault="00252BDE" w:rsidP="00252BDE">
            <w:pPr>
              <w:pStyle w:val="TableText"/>
              <w:spacing w:after="0"/>
              <w:jc w:val="center"/>
              <w:rPr>
                <w:rFonts w:ascii="Arial" w:hAnsi="Arial"/>
                <w:color w:val="000000"/>
                <w:sz w:val="18"/>
                <w:lang w:val="mk-MK"/>
              </w:rPr>
            </w:pPr>
          </w:p>
        </w:tc>
        <w:tc>
          <w:tcPr>
            <w:tcW w:w="995" w:type="pct"/>
            <w:shd w:val="clear" w:color="auto" w:fill="auto"/>
            <w:tcMar>
              <w:left w:w="58" w:type="dxa"/>
              <w:right w:w="58" w:type="dxa"/>
            </w:tcMar>
            <w:vAlign w:val="bottom"/>
          </w:tcPr>
          <w:p w14:paraId="19CB56E9" w14:textId="77777777" w:rsidR="00252BDE" w:rsidRPr="00CE3053" w:rsidRDefault="00252BDE" w:rsidP="00252BDE">
            <w:pPr>
              <w:spacing w:after="0"/>
              <w:jc w:val="right"/>
              <w:rPr>
                <w:rFonts w:ascii="Arial" w:hAnsi="Arial" w:cs="Arial"/>
                <w:color w:val="000000"/>
                <w:lang w:val="mk-MK"/>
              </w:rPr>
            </w:pPr>
          </w:p>
        </w:tc>
        <w:tc>
          <w:tcPr>
            <w:tcW w:w="847" w:type="pct"/>
            <w:shd w:val="clear" w:color="auto" w:fill="auto"/>
            <w:tcMar>
              <w:left w:w="58" w:type="dxa"/>
              <w:right w:w="58" w:type="dxa"/>
            </w:tcMar>
            <w:vAlign w:val="bottom"/>
          </w:tcPr>
          <w:p w14:paraId="28D1F1C7" w14:textId="7AE2DF95" w:rsidR="00252BDE" w:rsidRPr="00CE3053" w:rsidRDefault="00252BDE" w:rsidP="00252BDE">
            <w:pPr>
              <w:spacing w:after="0"/>
              <w:jc w:val="right"/>
              <w:rPr>
                <w:rFonts w:ascii="Arial" w:hAnsi="Arial" w:cs="Arial"/>
                <w:color w:val="000000"/>
                <w:lang w:val="mk-MK"/>
              </w:rPr>
            </w:pPr>
          </w:p>
        </w:tc>
      </w:tr>
      <w:tr w:rsidR="00252BDE" w:rsidRPr="001E6526" w14:paraId="2DB2A3EA" w14:textId="77777777" w:rsidTr="00A504C6">
        <w:trPr>
          <w:trHeight w:val="216"/>
        </w:trPr>
        <w:tc>
          <w:tcPr>
            <w:tcW w:w="2645" w:type="pct"/>
            <w:shd w:val="clear" w:color="auto" w:fill="auto"/>
            <w:tcMar>
              <w:left w:w="58" w:type="dxa"/>
              <w:right w:w="58" w:type="dxa"/>
            </w:tcMar>
            <w:vAlign w:val="center"/>
          </w:tcPr>
          <w:p w14:paraId="25BBCE9E" w14:textId="2B0CF978" w:rsidR="00252BDE" w:rsidRPr="00CE3053" w:rsidRDefault="00A253B0" w:rsidP="00252BDE">
            <w:pPr>
              <w:spacing w:after="0"/>
              <w:rPr>
                <w:rFonts w:ascii="Arial" w:hAnsi="Arial" w:cs="Arial"/>
                <w:color w:val="000000"/>
                <w:lang w:val="mk-MK"/>
              </w:rPr>
            </w:pPr>
            <w:proofErr w:type="spellStart"/>
            <w:r w:rsidRPr="00A253B0">
              <w:rPr>
                <w:rFonts w:ascii="Arial" w:hAnsi="Arial" w:cs="Arial"/>
                <w:color w:val="000000"/>
                <w:lang w:val="mk-MK"/>
              </w:rPr>
              <w:t>Paid</w:t>
            </w:r>
            <w:proofErr w:type="spellEnd"/>
            <w:r w:rsidRPr="00A253B0">
              <w:rPr>
                <w:rFonts w:ascii="Arial" w:hAnsi="Arial" w:cs="Arial"/>
                <w:color w:val="000000"/>
                <w:lang w:val="mk-MK"/>
              </w:rPr>
              <w:t xml:space="preserve"> </w:t>
            </w:r>
            <w:proofErr w:type="spellStart"/>
            <w:r w:rsidRPr="00A253B0">
              <w:rPr>
                <w:rFonts w:ascii="Arial" w:hAnsi="Arial" w:cs="Arial"/>
                <w:color w:val="000000"/>
                <w:lang w:val="mk-MK"/>
              </w:rPr>
              <w:t>indemnification</w:t>
            </w:r>
            <w:proofErr w:type="spellEnd"/>
            <w:r w:rsidRPr="00A253B0">
              <w:rPr>
                <w:rFonts w:ascii="Arial" w:hAnsi="Arial" w:cs="Arial"/>
                <w:color w:val="000000"/>
                <w:lang w:val="mk-MK"/>
              </w:rPr>
              <w:t xml:space="preserve"> </w:t>
            </w:r>
            <w:proofErr w:type="spellStart"/>
            <w:r w:rsidRPr="00A253B0">
              <w:rPr>
                <w:rFonts w:ascii="Arial" w:hAnsi="Arial" w:cs="Arial"/>
                <w:color w:val="000000"/>
                <w:lang w:val="mk-MK"/>
              </w:rPr>
              <w:t>for</w:t>
            </w:r>
            <w:proofErr w:type="spellEnd"/>
            <w:r w:rsidRPr="00A253B0">
              <w:rPr>
                <w:rFonts w:ascii="Arial" w:hAnsi="Arial" w:cs="Arial"/>
                <w:color w:val="000000"/>
                <w:lang w:val="mk-MK"/>
              </w:rPr>
              <w:t xml:space="preserve"> </w:t>
            </w:r>
            <w:proofErr w:type="spellStart"/>
            <w:r w:rsidRPr="00A253B0">
              <w:rPr>
                <w:rFonts w:ascii="Arial" w:hAnsi="Arial" w:cs="Arial"/>
                <w:color w:val="000000"/>
                <w:lang w:val="mk-MK"/>
              </w:rPr>
              <w:t>the</w:t>
            </w:r>
            <w:proofErr w:type="spellEnd"/>
            <w:r w:rsidRPr="00A253B0">
              <w:rPr>
                <w:rFonts w:ascii="Arial" w:hAnsi="Arial" w:cs="Arial"/>
                <w:color w:val="000000"/>
                <w:lang w:val="mk-MK"/>
              </w:rPr>
              <w:t xml:space="preserve"> </w:t>
            </w:r>
            <w:proofErr w:type="spellStart"/>
            <w:r w:rsidRPr="00A253B0">
              <w:rPr>
                <w:rFonts w:ascii="Arial" w:hAnsi="Arial" w:cs="Arial"/>
                <w:color w:val="000000"/>
                <w:lang w:val="mk-MK"/>
              </w:rPr>
              <w:t>current</w:t>
            </w:r>
            <w:proofErr w:type="spellEnd"/>
            <w:r w:rsidRPr="00A253B0">
              <w:rPr>
                <w:rFonts w:ascii="Arial" w:hAnsi="Arial" w:cs="Arial"/>
                <w:color w:val="000000"/>
                <w:lang w:val="mk-MK"/>
              </w:rPr>
              <w:t xml:space="preserve"> </w:t>
            </w:r>
            <w:proofErr w:type="spellStart"/>
            <w:r w:rsidRPr="00A253B0">
              <w:rPr>
                <w:rFonts w:ascii="Arial" w:hAnsi="Arial" w:cs="Arial"/>
                <w:color w:val="000000"/>
                <w:lang w:val="mk-MK"/>
              </w:rPr>
              <w:t>year</w:t>
            </w:r>
            <w:proofErr w:type="spellEnd"/>
          </w:p>
        </w:tc>
        <w:tc>
          <w:tcPr>
            <w:tcW w:w="513" w:type="pct"/>
            <w:shd w:val="clear" w:color="auto" w:fill="auto"/>
            <w:tcMar>
              <w:left w:w="58" w:type="dxa"/>
              <w:right w:w="58" w:type="dxa"/>
            </w:tcMar>
            <w:vAlign w:val="bottom"/>
          </w:tcPr>
          <w:p w14:paraId="30F24ACE" w14:textId="77777777" w:rsidR="00252BDE" w:rsidRPr="00CE3053" w:rsidRDefault="00252BDE" w:rsidP="00252BDE">
            <w:pPr>
              <w:pStyle w:val="TableText"/>
              <w:spacing w:after="0"/>
              <w:jc w:val="center"/>
              <w:rPr>
                <w:rFonts w:ascii="Arial" w:hAnsi="Arial"/>
                <w:color w:val="000000"/>
                <w:sz w:val="18"/>
                <w:lang w:val="mk-MK"/>
              </w:rPr>
            </w:pPr>
          </w:p>
        </w:tc>
        <w:tc>
          <w:tcPr>
            <w:tcW w:w="995" w:type="pct"/>
            <w:shd w:val="clear" w:color="auto" w:fill="auto"/>
            <w:tcMar>
              <w:left w:w="58" w:type="dxa"/>
              <w:right w:w="58" w:type="dxa"/>
            </w:tcMar>
            <w:vAlign w:val="bottom"/>
          </w:tcPr>
          <w:p w14:paraId="5A2C9EA5" w14:textId="26AD8A1A" w:rsidR="00252BDE" w:rsidRPr="00CE3053" w:rsidRDefault="00252BDE" w:rsidP="00252BDE">
            <w:pPr>
              <w:spacing w:after="0"/>
              <w:jc w:val="right"/>
              <w:rPr>
                <w:rFonts w:ascii="Arial" w:hAnsi="Arial" w:cs="Arial"/>
                <w:color w:val="000000"/>
                <w:lang w:val="mk-MK"/>
              </w:rPr>
            </w:pPr>
            <w:r w:rsidRPr="00CE3053">
              <w:rPr>
                <w:rFonts w:ascii="Arial" w:hAnsi="Arial" w:cs="Arial"/>
                <w:color w:val="000000"/>
                <w:lang w:val="mk-MK"/>
              </w:rPr>
              <w:t>(</w:t>
            </w:r>
            <w:r w:rsidRPr="001E6526">
              <w:rPr>
                <w:rFonts w:ascii="Arial" w:hAnsi="Arial" w:cs="Arial"/>
                <w:color w:val="000000"/>
                <w:lang w:val="mk-MK"/>
              </w:rPr>
              <w:t>207,353</w:t>
            </w:r>
            <w:r w:rsidRPr="00CE3053">
              <w:rPr>
                <w:rFonts w:ascii="Arial" w:hAnsi="Arial" w:cs="Arial"/>
                <w:color w:val="000000"/>
                <w:lang w:val="mk-MK"/>
              </w:rPr>
              <w:t>)</w:t>
            </w:r>
          </w:p>
        </w:tc>
        <w:tc>
          <w:tcPr>
            <w:tcW w:w="847" w:type="pct"/>
            <w:shd w:val="clear" w:color="auto" w:fill="auto"/>
            <w:tcMar>
              <w:left w:w="58" w:type="dxa"/>
              <w:right w:w="58" w:type="dxa"/>
            </w:tcMar>
            <w:vAlign w:val="bottom"/>
          </w:tcPr>
          <w:p w14:paraId="7CCF09A9" w14:textId="1108AB2E" w:rsidR="00252BDE" w:rsidRPr="00CE3053" w:rsidRDefault="00252BDE" w:rsidP="00252BDE">
            <w:pPr>
              <w:spacing w:after="0"/>
              <w:jc w:val="right"/>
              <w:rPr>
                <w:rFonts w:ascii="Arial" w:hAnsi="Arial" w:cs="Arial"/>
                <w:color w:val="000000"/>
                <w:lang w:val="mk-MK"/>
              </w:rPr>
            </w:pPr>
            <w:r w:rsidRPr="00CE3053">
              <w:rPr>
                <w:rFonts w:ascii="Arial" w:hAnsi="Arial" w:cs="Arial"/>
                <w:color w:val="000000"/>
                <w:lang w:val="mk-MK"/>
              </w:rPr>
              <w:t>(3,555,092)</w:t>
            </w:r>
          </w:p>
        </w:tc>
      </w:tr>
      <w:tr w:rsidR="00252BDE" w:rsidRPr="001E6526" w14:paraId="26579C22" w14:textId="77777777" w:rsidTr="00A504C6">
        <w:trPr>
          <w:trHeight w:val="216"/>
        </w:trPr>
        <w:tc>
          <w:tcPr>
            <w:tcW w:w="2645" w:type="pct"/>
            <w:shd w:val="clear" w:color="auto" w:fill="auto"/>
            <w:tcMar>
              <w:left w:w="58" w:type="dxa"/>
              <w:right w:w="58" w:type="dxa"/>
            </w:tcMar>
            <w:vAlign w:val="center"/>
          </w:tcPr>
          <w:p w14:paraId="394703E0" w14:textId="2997EC05" w:rsidR="00252BDE" w:rsidRPr="00CE3053" w:rsidRDefault="00A253B0" w:rsidP="00252BDE">
            <w:pPr>
              <w:spacing w:after="0"/>
              <w:rPr>
                <w:rFonts w:ascii="Arial" w:hAnsi="Arial" w:cs="Arial"/>
                <w:color w:val="000000"/>
                <w:lang w:val="mk-MK"/>
              </w:rPr>
            </w:pPr>
            <w:proofErr w:type="spellStart"/>
            <w:r w:rsidRPr="00A253B0">
              <w:rPr>
                <w:rFonts w:ascii="Arial" w:hAnsi="Arial" w:cs="Arial"/>
                <w:color w:val="000000"/>
                <w:lang w:val="mk-MK"/>
              </w:rPr>
              <w:t>Other</w:t>
            </w:r>
            <w:proofErr w:type="spellEnd"/>
            <w:r w:rsidRPr="00A253B0">
              <w:rPr>
                <w:rFonts w:ascii="Arial" w:hAnsi="Arial" w:cs="Arial"/>
                <w:color w:val="000000"/>
                <w:lang w:val="mk-MK"/>
              </w:rPr>
              <w:t xml:space="preserve"> </w:t>
            </w:r>
            <w:proofErr w:type="spellStart"/>
            <w:r w:rsidRPr="00A253B0">
              <w:rPr>
                <w:rFonts w:ascii="Arial" w:hAnsi="Arial" w:cs="Arial"/>
                <w:color w:val="000000"/>
                <w:lang w:val="mk-MK"/>
              </w:rPr>
              <w:t>assets</w:t>
            </w:r>
            <w:proofErr w:type="spellEnd"/>
          </w:p>
        </w:tc>
        <w:tc>
          <w:tcPr>
            <w:tcW w:w="513" w:type="pct"/>
            <w:shd w:val="clear" w:color="auto" w:fill="auto"/>
            <w:tcMar>
              <w:left w:w="58" w:type="dxa"/>
              <w:right w:w="58" w:type="dxa"/>
            </w:tcMar>
            <w:vAlign w:val="bottom"/>
          </w:tcPr>
          <w:p w14:paraId="746C873B" w14:textId="77777777" w:rsidR="00252BDE" w:rsidRPr="00CE3053" w:rsidRDefault="00252BDE" w:rsidP="00252BDE">
            <w:pPr>
              <w:pStyle w:val="TableText"/>
              <w:spacing w:after="0"/>
              <w:jc w:val="center"/>
              <w:rPr>
                <w:rFonts w:ascii="Arial" w:hAnsi="Arial"/>
                <w:color w:val="000000"/>
                <w:sz w:val="18"/>
                <w:lang w:val="mk-MK"/>
              </w:rPr>
            </w:pPr>
          </w:p>
        </w:tc>
        <w:tc>
          <w:tcPr>
            <w:tcW w:w="995" w:type="pct"/>
            <w:shd w:val="clear" w:color="auto" w:fill="auto"/>
            <w:tcMar>
              <w:left w:w="58" w:type="dxa"/>
              <w:right w:w="58" w:type="dxa"/>
            </w:tcMar>
            <w:vAlign w:val="bottom"/>
          </w:tcPr>
          <w:p w14:paraId="028CE0FE" w14:textId="38359AA3" w:rsidR="00252BDE" w:rsidRPr="00CE3053" w:rsidRDefault="00252BDE" w:rsidP="00252BDE">
            <w:pPr>
              <w:spacing w:after="0"/>
              <w:jc w:val="right"/>
              <w:rPr>
                <w:rFonts w:ascii="Arial" w:hAnsi="Arial" w:cs="Arial"/>
                <w:color w:val="000000"/>
                <w:lang w:val="mk-MK"/>
              </w:rPr>
            </w:pPr>
            <w:r w:rsidRPr="001E6526">
              <w:rPr>
                <w:rFonts w:ascii="Arial" w:hAnsi="Arial" w:cs="Arial"/>
                <w:color w:val="000000"/>
                <w:lang w:val="mk-MK"/>
              </w:rPr>
              <w:t>-</w:t>
            </w:r>
          </w:p>
        </w:tc>
        <w:tc>
          <w:tcPr>
            <w:tcW w:w="847" w:type="pct"/>
            <w:shd w:val="clear" w:color="auto" w:fill="auto"/>
            <w:tcMar>
              <w:left w:w="58" w:type="dxa"/>
              <w:right w:w="58" w:type="dxa"/>
            </w:tcMar>
            <w:vAlign w:val="bottom"/>
          </w:tcPr>
          <w:p w14:paraId="71A01BCE" w14:textId="3775DF97" w:rsidR="00252BDE" w:rsidRPr="00CE3053" w:rsidRDefault="00252BDE" w:rsidP="00252BDE">
            <w:pPr>
              <w:spacing w:after="0"/>
              <w:jc w:val="right"/>
              <w:rPr>
                <w:rFonts w:ascii="Arial" w:hAnsi="Arial" w:cs="Arial"/>
                <w:color w:val="000000"/>
                <w:lang w:val="mk-MK"/>
              </w:rPr>
            </w:pPr>
            <w:r w:rsidRPr="00CE3053">
              <w:rPr>
                <w:rFonts w:ascii="Arial" w:hAnsi="Arial" w:cs="Arial"/>
                <w:color w:val="000000"/>
                <w:lang w:val="mk-MK"/>
              </w:rPr>
              <w:t>(9)</w:t>
            </w:r>
          </w:p>
        </w:tc>
      </w:tr>
      <w:tr w:rsidR="00252BDE" w:rsidRPr="001E6526" w14:paraId="772E1345" w14:textId="77777777" w:rsidTr="00A504C6">
        <w:trPr>
          <w:trHeight w:val="216"/>
        </w:trPr>
        <w:tc>
          <w:tcPr>
            <w:tcW w:w="2645" w:type="pct"/>
            <w:shd w:val="clear" w:color="auto" w:fill="auto"/>
            <w:tcMar>
              <w:left w:w="58" w:type="dxa"/>
              <w:right w:w="58" w:type="dxa"/>
            </w:tcMar>
            <w:vAlign w:val="center"/>
          </w:tcPr>
          <w:p w14:paraId="0A0D9D4C" w14:textId="09308629" w:rsidR="00252BDE" w:rsidRPr="00CE3053" w:rsidRDefault="00A253B0" w:rsidP="00252BDE">
            <w:pPr>
              <w:spacing w:after="0"/>
              <w:rPr>
                <w:rFonts w:ascii="Arial" w:hAnsi="Arial" w:cs="Arial"/>
                <w:color w:val="000000"/>
                <w:lang w:val="mk-MK"/>
              </w:rPr>
            </w:pPr>
            <w:proofErr w:type="spellStart"/>
            <w:r w:rsidRPr="00A253B0">
              <w:rPr>
                <w:rFonts w:ascii="Arial" w:hAnsi="Arial" w:cs="Arial"/>
                <w:color w:val="000000"/>
                <w:lang w:val="mk-MK"/>
              </w:rPr>
              <w:t>Other</w:t>
            </w:r>
            <w:proofErr w:type="spellEnd"/>
            <w:r w:rsidRPr="00A253B0">
              <w:rPr>
                <w:rFonts w:ascii="Arial" w:hAnsi="Arial" w:cs="Arial"/>
                <w:color w:val="000000"/>
                <w:lang w:val="mk-MK"/>
              </w:rPr>
              <w:t xml:space="preserve"> </w:t>
            </w:r>
            <w:proofErr w:type="spellStart"/>
            <w:r w:rsidRPr="00A253B0">
              <w:rPr>
                <w:rFonts w:ascii="Arial" w:hAnsi="Arial" w:cs="Arial"/>
                <w:color w:val="000000"/>
                <w:lang w:val="mk-MK"/>
              </w:rPr>
              <w:t>payables</w:t>
            </w:r>
            <w:proofErr w:type="spellEnd"/>
          </w:p>
        </w:tc>
        <w:tc>
          <w:tcPr>
            <w:tcW w:w="513" w:type="pct"/>
            <w:shd w:val="clear" w:color="auto" w:fill="auto"/>
            <w:tcMar>
              <w:left w:w="58" w:type="dxa"/>
              <w:right w:w="58" w:type="dxa"/>
            </w:tcMar>
            <w:vAlign w:val="bottom"/>
          </w:tcPr>
          <w:p w14:paraId="47581106" w14:textId="77777777" w:rsidR="00252BDE" w:rsidRPr="00CE3053" w:rsidRDefault="00252BDE" w:rsidP="00252BDE">
            <w:pPr>
              <w:pStyle w:val="TableText"/>
              <w:spacing w:after="0"/>
              <w:jc w:val="center"/>
              <w:rPr>
                <w:rFonts w:ascii="Arial" w:hAnsi="Arial"/>
                <w:color w:val="000000"/>
                <w:sz w:val="18"/>
                <w:lang w:val="mk-MK"/>
              </w:rPr>
            </w:pPr>
          </w:p>
        </w:tc>
        <w:tc>
          <w:tcPr>
            <w:tcW w:w="995" w:type="pct"/>
            <w:shd w:val="clear" w:color="auto" w:fill="auto"/>
            <w:tcMar>
              <w:left w:w="58" w:type="dxa"/>
              <w:right w:w="58" w:type="dxa"/>
            </w:tcMar>
            <w:vAlign w:val="bottom"/>
          </w:tcPr>
          <w:p w14:paraId="1891F7A9" w14:textId="173CCA2E" w:rsidR="00252BDE" w:rsidRPr="001E6526" w:rsidRDefault="00252BDE" w:rsidP="00252BDE">
            <w:pPr>
              <w:spacing w:after="0"/>
              <w:jc w:val="right"/>
              <w:rPr>
                <w:rFonts w:ascii="Arial" w:hAnsi="Arial" w:cs="Arial"/>
                <w:color w:val="000000"/>
                <w:lang w:val="mk-MK"/>
              </w:rPr>
            </w:pPr>
            <w:r w:rsidRPr="001E6526">
              <w:rPr>
                <w:rFonts w:ascii="Arial" w:hAnsi="Arial" w:cs="Arial"/>
                <w:color w:val="000000"/>
                <w:lang w:val="mk-MK"/>
              </w:rPr>
              <w:t>4</w:t>
            </w:r>
          </w:p>
        </w:tc>
        <w:tc>
          <w:tcPr>
            <w:tcW w:w="847" w:type="pct"/>
            <w:shd w:val="clear" w:color="auto" w:fill="auto"/>
            <w:tcMar>
              <w:left w:w="58" w:type="dxa"/>
              <w:right w:w="58" w:type="dxa"/>
            </w:tcMar>
            <w:vAlign w:val="bottom"/>
          </w:tcPr>
          <w:p w14:paraId="32D6D820" w14:textId="2B3F3F64" w:rsidR="00252BDE" w:rsidRPr="00CE3053" w:rsidRDefault="00252BDE" w:rsidP="00252BDE">
            <w:pPr>
              <w:spacing w:after="0"/>
              <w:jc w:val="right"/>
              <w:rPr>
                <w:rFonts w:ascii="Arial" w:hAnsi="Arial" w:cs="Arial"/>
                <w:color w:val="000000"/>
                <w:lang w:val="mk-MK"/>
              </w:rPr>
            </w:pPr>
            <w:r w:rsidRPr="00CE3053">
              <w:rPr>
                <w:rFonts w:ascii="Arial" w:hAnsi="Arial" w:cs="Arial"/>
                <w:color w:val="000000"/>
                <w:lang w:val="mk-MK"/>
              </w:rPr>
              <w:t>(29)</w:t>
            </w:r>
          </w:p>
        </w:tc>
      </w:tr>
      <w:tr w:rsidR="00252BDE" w:rsidRPr="001E6526" w14:paraId="5ED7B54D" w14:textId="77777777" w:rsidTr="00A504C6">
        <w:trPr>
          <w:trHeight w:val="216"/>
        </w:trPr>
        <w:tc>
          <w:tcPr>
            <w:tcW w:w="2645" w:type="pct"/>
            <w:tcBorders>
              <w:top w:val="single" w:sz="4" w:space="0" w:color="auto"/>
            </w:tcBorders>
            <w:shd w:val="clear" w:color="auto" w:fill="auto"/>
            <w:tcMar>
              <w:left w:w="58" w:type="dxa"/>
              <w:right w:w="58" w:type="dxa"/>
            </w:tcMar>
            <w:vAlign w:val="center"/>
          </w:tcPr>
          <w:p w14:paraId="3DA6417E" w14:textId="77777777" w:rsidR="00252BDE" w:rsidRPr="00CE3053" w:rsidRDefault="00252BDE" w:rsidP="00252BDE">
            <w:pPr>
              <w:spacing w:after="0"/>
              <w:rPr>
                <w:rFonts w:ascii="Arial" w:hAnsi="Arial" w:cs="Arial"/>
                <w:color w:val="000000"/>
                <w:lang w:val="mk-MK"/>
              </w:rPr>
            </w:pPr>
          </w:p>
        </w:tc>
        <w:tc>
          <w:tcPr>
            <w:tcW w:w="513" w:type="pct"/>
            <w:tcBorders>
              <w:top w:val="single" w:sz="4" w:space="0" w:color="auto"/>
            </w:tcBorders>
            <w:shd w:val="clear" w:color="auto" w:fill="auto"/>
            <w:tcMar>
              <w:left w:w="58" w:type="dxa"/>
              <w:right w:w="58" w:type="dxa"/>
            </w:tcMar>
            <w:vAlign w:val="bottom"/>
          </w:tcPr>
          <w:p w14:paraId="2E2B4954" w14:textId="77777777" w:rsidR="00252BDE" w:rsidRPr="00CE3053" w:rsidRDefault="00252BDE" w:rsidP="00252BDE">
            <w:pPr>
              <w:pStyle w:val="TableText"/>
              <w:spacing w:after="0"/>
              <w:jc w:val="center"/>
              <w:rPr>
                <w:rFonts w:ascii="Arial" w:hAnsi="Arial"/>
                <w:color w:val="000000"/>
                <w:sz w:val="18"/>
                <w:lang w:val="mk-MK"/>
              </w:rPr>
            </w:pPr>
          </w:p>
        </w:tc>
        <w:tc>
          <w:tcPr>
            <w:tcW w:w="995" w:type="pct"/>
            <w:tcBorders>
              <w:top w:val="single" w:sz="4" w:space="0" w:color="auto"/>
            </w:tcBorders>
            <w:shd w:val="clear" w:color="auto" w:fill="auto"/>
            <w:tcMar>
              <w:left w:w="58" w:type="dxa"/>
              <w:right w:w="58" w:type="dxa"/>
            </w:tcMar>
            <w:vAlign w:val="bottom"/>
          </w:tcPr>
          <w:p w14:paraId="4DA8EB17" w14:textId="0B47DE6D" w:rsidR="00252BDE" w:rsidRPr="001E6526" w:rsidRDefault="00252BDE" w:rsidP="00252BDE">
            <w:pPr>
              <w:spacing w:after="0"/>
              <w:jc w:val="right"/>
              <w:rPr>
                <w:rFonts w:ascii="Arial" w:hAnsi="Arial" w:cs="Arial"/>
                <w:i/>
                <w:color w:val="000000"/>
                <w:lang w:val="mk-MK"/>
              </w:rPr>
            </w:pPr>
            <w:r w:rsidRPr="001E6526">
              <w:rPr>
                <w:rFonts w:ascii="Arial" w:hAnsi="Arial" w:cs="Arial"/>
                <w:i/>
                <w:color w:val="000000"/>
                <w:lang w:val="mk-MK"/>
              </w:rPr>
              <w:t>547,219</w:t>
            </w:r>
          </w:p>
        </w:tc>
        <w:tc>
          <w:tcPr>
            <w:tcW w:w="847" w:type="pct"/>
            <w:tcBorders>
              <w:top w:val="single" w:sz="4" w:space="0" w:color="auto"/>
            </w:tcBorders>
            <w:shd w:val="clear" w:color="auto" w:fill="auto"/>
            <w:tcMar>
              <w:left w:w="58" w:type="dxa"/>
              <w:right w:w="58" w:type="dxa"/>
            </w:tcMar>
            <w:vAlign w:val="bottom"/>
          </w:tcPr>
          <w:p w14:paraId="644FA772" w14:textId="3CF17A5D" w:rsidR="00252BDE" w:rsidRPr="00CE3053" w:rsidRDefault="00252BDE" w:rsidP="00252BDE">
            <w:pPr>
              <w:spacing w:after="0"/>
              <w:jc w:val="right"/>
              <w:rPr>
                <w:rFonts w:ascii="Arial" w:hAnsi="Arial" w:cs="Arial"/>
                <w:i/>
                <w:color w:val="000000"/>
                <w:lang w:val="mk-MK"/>
              </w:rPr>
            </w:pPr>
            <w:r w:rsidRPr="00CE3053">
              <w:rPr>
                <w:rFonts w:ascii="Arial" w:hAnsi="Arial" w:cs="Arial"/>
                <w:i/>
                <w:color w:val="000000"/>
                <w:lang w:val="mk-MK"/>
              </w:rPr>
              <w:t>(2</w:t>
            </w:r>
            <w:r w:rsidRPr="001E6526">
              <w:rPr>
                <w:rFonts w:ascii="Arial" w:hAnsi="Arial" w:cs="Arial"/>
                <w:i/>
                <w:color w:val="000000"/>
                <w:lang w:val="mk-MK"/>
              </w:rPr>
              <w:t>,</w:t>
            </w:r>
            <w:r w:rsidRPr="00CE3053">
              <w:rPr>
                <w:rFonts w:ascii="Arial" w:hAnsi="Arial" w:cs="Arial"/>
                <w:i/>
                <w:color w:val="000000"/>
                <w:lang w:val="mk-MK"/>
              </w:rPr>
              <w:t>864,308)</w:t>
            </w:r>
          </w:p>
        </w:tc>
      </w:tr>
      <w:tr w:rsidR="00252BDE" w:rsidRPr="001E6526" w14:paraId="719FD867" w14:textId="77777777" w:rsidTr="00A504C6">
        <w:trPr>
          <w:trHeight w:val="216"/>
        </w:trPr>
        <w:tc>
          <w:tcPr>
            <w:tcW w:w="2645" w:type="pct"/>
            <w:shd w:val="clear" w:color="auto" w:fill="auto"/>
            <w:tcMar>
              <w:left w:w="58" w:type="dxa"/>
              <w:right w:w="58" w:type="dxa"/>
            </w:tcMar>
            <w:vAlign w:val="center"/>
          </w:tcPr>
          <w:p w14:paraId="1453329A" w14:textId="77777777" w:rsidR="00252BDE" w:rsidRPr="00CE3053" w:rsidRDefault="00252BDE" w:rsidP="00252BDE">
            <w:pPr>
              <w:spacing w:after="0"/>
              <w:rPr>
                <w:rFonts w:ascii="Arial" w:hAnsi="Arial" w:cs="Arial"/>
                <w:color w:val="000000"/>
                <w:lang w:val="mk-MK"/>
              </w:rPr>
            </w:pPr>
          </w:p>
        </w:tc>
        <w:tc>
          <w:tcPr>
            <w:tcW w:w="513" w:type="pct"/>
            <w:shd w:val="clear" w:color="auto" w:fill="auto"/>
            <w:tcMar>
              <w:left w:w="58" w:type="dxa"/>
              <w:right w:w="58" w:type="dxa"/>
            </w:tcMar>
            <w:vAlign w:val="bottom"/>
          </w:tcPr>
          <w:p w14:paraId="56C8F970" w14:textId="77777777" w:rsidR="00252BDE" w:rsidRPr="00CE3053" w:rsidRDefault="00252BDE" w:rsidP="00252BDE">
            <w:pPr>
              <w:pStyle w:val="TableText"/>
              <w:spacing w:after="0"/>
              <w:jc w:val="center"/>
              <w:rPr>
                <w:rFonts w:ascii="Arial" w:hAnsi="Arial"/>
                <w:color w:val="000000"/>
                <w:sz w:val="18"/>
                <w:lang w:val="mk-MK"/>
              </w:rPr>
            </w:pPr>
          </w:p>
        </w:tc>
        <w:tc>
          <w:tcPr>
            <w:tcW w:w="995" w:type="pct"/>
            <w:shd w:val="clear" w:color="auto" w:fill="auto"/>
            <w:tcMar>
              <w:left w:w="58" w:type="dxa"/>
              <w:right w:w="58" w:type="dxa"/>
            </w:tcMar>
            <w:vAlign w:val="bottom"/>
          </w:tcPr>
          <w:p w14:paraId="77162011" w14:textId="77777777" w:rsidR="00252BDE" w:rsidRPr="00CE3053" w:rsidRDefault="00252BDE" w:rsidP="00252BDE">
            <w:pPr>
              <w:spacing w:after="0"/>
              <w:jc w:val="right"/>
              <w:rPr>
                <w:rFonts w:ascii="Arial" w:hAnsi="Arial" w:cs="Arial"/>
                <w:color w:val="000000"/>
                <w:lang w:val="mk-MK"/>
              </w:rPr>
            </w:pPr>
          </w:p>
        </w:tc>
        <w:tc>
          <w:tcPr>
            <w:tcW w:w="847" w:type="pct"/>
            <w:shd w:val="clear" w:color="auto" w:fill="auto"/>
            <w:tcMar>
              <w:left w:w="58" w:type="dxa"/>
              <w:right w:w="58" w:type="dxa"/>
            </w:tcMar>
            <w:vAlign w:val="bottom"/>
          </w:tcPr>
          <w:p w14:paraId="26D918F9" w14:textId="77777777" w:rsidR="00252BDE" w:rsidRPr="00CE3053" w:rsidRDefault="00252BDE" w:rsidP="00252BDE">
            <w:pPr>
              <w:spacing w:after="0"/>
              <w:jc w:val="right"/>
              <w:rPr>
                <w:rFonts w:ascii="Arial" w:hAnsi="Arial" w:cs="Arial"/>
                <w:color w:val="000000"/>
                <w:lang w:val="mk-MK"/>
              </w:rPr>
            </w:pPr>
          </w:p>
        </w:tc>
      </w:tr>
      <w:tr w:rsidR="00252BDE" w:rsidRPr="001E6526" w14:paraId="4616661F" w14:textId="77777777" w:rsidTr="00A504C6">
        <w:trPr>
          <w:trHeight w:val="216"/>
        </w:trPr>
        <w:tc>
          <w:tcPr>
            <w:tcW w:w="2645" w:type="pct"/>
            <w:shd w:val="clear" w:color="auto" w:fill="auto"/>
            <w:tcMar>
              <w:left w:w="58" w:type="dxa"/>
              <w:right w:w="58" w:type="dxa"/>
            </w:tcMar>
            <w:vAlign w:val="center"/>
          </w:tcPr>
          <w:p w14:paraId="1C3DE05B" w14:textId="71F86E6B" w:rsidR="00252BDE" w:rsidRPr="00CE3053" w:rsidRDefault="005A48BF" w:rsidP="00252BDE">
            <w:pPr>
              <w:spacing w:after="0"/>
              <w:rPr>
                <w:rFonts w:ascii="Arial" w:hAnsi="Arial" w:cs="Arial"/>
                <w:color w:val="000000"/>
                <w:lang w:val="mk-MK"/>
              </w:rPr>
            </w:pPr>
            <w:proofErr w:type="spellStart"/>
            <w:r w:rsidRPr="005A48BF">
              <w:rPr>
                <w:rFonts w:ascii="Arial" w:hAnsi="Arial" w:cs="Arial"/>
                <w:color w:val="000000"/>
                <w:lang w:val="mk-MK"/>
              </w:rPr>
              <w:t>Interest</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received</w:t>
            </w:r>
            <w:proofErr w:type="spellEnd"/>
          </w:p>
        </w:tc>
        <w:tc>
          <w:tcPr>
            <w:tcW w:w="513" w:type="pct"/>
            <w:shd w:val="clear" w:color="auto" w:fill="auto"/>
            <w:tcMar>
              <w:left w:w="58" w:type="dxa"/>
              <w:right w:w="58" w:type="dxa"/>
            </w:tcMar>
            <w:vAlign w:val="bottom"/>
          </w:tcPr>
          <w:p w14:paraId="0CD4BD22" w14:textId="77777777" w:rsidR="00252BDE" w:rsidRPr="00CE3053" w:rsidRDefault="00252BDE" w:rsidP="00252BDE">
            <w:pPr>
              <w:pStyle w:val="TableText"/>
              <w:spacing w:after="0"/>
              <w:jc w:val="center"/>
              <w:rPr>
                <w:rFonts w:ascii="Arial" w:hAnsi="Arial"/>
                <w:color w:val="000000"/>
                <w:sz w:val="18"/>
                <w:lang w:val="mk-MK"/>
              </w:rPr>
            </w:pPr>
          </w:p>
        </w:tc>
        <w:tc>
          <w:tcPr>
            <w:tcW w:w="995" w:type="pct"/>
            <w:shd w:val="clear" w:color="auto" w:fill="auto"/>
            <w:tcMar>
              <w:left w:w="58" w:type="dxa"/>
              <w:right w:w="58" w:type="dxa"/>
            </w:tcMar>
            <w:vAlign w:val="bottom"/>
          </w:tcPr>
          <w:p w14:paraId="58686C0F" w14:textId="418BAE24" w:rsidR="00252BDE" w:rsidRPr="001E6526" w:rsidRDefault="00252BDE" w:rsidP="00252BDE">
            <w:pPr>
              <w:spacing w:after="0"/>
              <w:jc w:val="right"/>
              <w:rPr>
                <w:rFonts w:ascii="Arial" w:hAnsi="Arial" w:cs="Arial"/>
                <w:color w:val="000000"/>
                <w:lang w:val="mk-MK"/>
              </w:rPr>
            </w:pPr>
            <w:r w:rsidRPr="001E6526">
              <w:rPr>
                <w:rFonts w:ascii="Arial" w:hAnsi="Arial" w:cs="Arial"/>
                <w:color w:val="000000"/>
                <w:lang w:val="mk-MK"/>
              </w:rPr>
              <w:t>62,686</w:t>
            </w:r>
          </w:p>
        </w:tc>
        <w:tc>
          <w:tcPr>
            <w:tcW w:w="847" w:type="pct"/>
            <w:shd w:val="clear" w:color="auto" w:fill="auto"/>
            <w:tcMar>
              <w:left w:w="58" w:type="dxa"/>
              <w:right w:w="58" w:type="dxa"/>
            </w:tcMar>
            <w:vAlign w:val="bottom"/>
          </w:tcPr>
          <w:p w14:paraId="390669D2" w14:textId="12B16E33" w:rsidR="00252BDE" w:rsidRPr="001E6526" w:rsidRDefault="00252BDE" w:rsidP="00252BDE">
            <w:pPr>
              <w:spacing w:after="0"/>
              <w:jc w:val="right"/>
              <w:rPr>
                <w:rFonts w:ascii="Arial" w:hAnsi="Arial" w:cs="Arial"/>
                <w:color w:val="000000"/>
                <w:lang w:val="mk-MK"/>
              </w:rPr>
            </w:pPr>
            <w:r w:rsidRPr="00CE3053">
              <w:rPr>
                <w:rFonts w:ascii="Arial" w:hAnsi="Arial" w:cs="Arial"/>
                <w:color w:val="000000"/>
                <w:lang w:val="mk-MK"/>
              </w:rPr>
              <w:t>95,502</w:t>
            </w:r>
          </w:p>
        </w:tc>
      </w:tr>
      <w:tr w:rsidR="00252BDE" w:rsidRPr="001E6526" w14:paraId="666526CB" w14:textId="77777777" w:rsidTr="00A504C6">
        <w:trPr>
          <w:trHeight w:val="216"/>
        </w:trPr>
        <w:tc>
          <w:tcPr>
            <w:tcW w:w="2645" w:type="pct"/>
            <w:tcBorders>
              <w:bottom w:val="single" w:sz="4" w:space="0" w:color="auto"/>
            </w:tcBorders>
            <w:shd w:val="clear" w:color="auto" w:fill="auto"/>
            <w:tcMar>
              <w:left w:w="58" w:type="dxa"/>
              <w:right w:w="58" w:type="dxa"/>
            </w:tcMar>
            <w:vAlign w:val="center"/>
          </w:tcPr>
          <w:p w14:paraId="64587C04" w14:textId="1251BEAA" w:rsidR="00252BDE" w:rsidRPr="00CE3053" w:rsidRDefault="005A48BF" w:rsidP="00252BDE">
            <w:pPr>
              <w:spacing w:after="0"/>
              <w:rPr>
                <w:rFonts w:ascii="Arial" w:hAnsi="Arial" w:cs="Arial"/>
                <w:color w:val="000000"/>
                <w:lang w:val="mk-MK"/>
              </w:rPr>
            </w:pPr>
            <w:proofErr w:type="spellStart"/>
            <w:r w:rsidRPr="005A48BF">
              <w:rPr>
                <w:rFonts w:ascii="Arial" w:hAnsi="Arial" w:cs="Arial"/>
                <w:color w:val="000000"/>
                <w:lang w:val="mk-MK"/>
              </w:rPr>
              <w:t>Income</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tax</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paid</w:t>
            </w:r>
            <w:proofErr w:type="spellEnd"/>
          </w:p>
        </w:tc>
        <w:tc>
          <w:tcPr>
            <w:tcW w:w="513" w:type="pct"/>
            <w:tcBorders>
              <w:bottom w:val="single" w:sz="4" w:space="0" w:color="auto"/>
            </w:tcBorders>
            <w:shd w:val="clear" w:color="auto" w:fill="auto"/>
            <w:tcMar>
              <w:left w:w="58" w:type="dxa"/>
              <w:right w:w="58" w:type="dxa"/>
            </w:tcMar>
            <w:vAlign w:val="bottom"/>
          </w:tcPr>
          <w:p w14:paraId="319A8D9B" w14:textId="77777777" w:rsidR="00252BDE" w:rsidRPr="00CE3053" w:rsidRDefault="00252BDE" w:rsidP="00252BDE">
            <w:pPr>
              <w:pStyle w:val="TableText"/>
              <w:spacing w:after="0"/>
              <w:jc w:val="center"/>
              <w:rPr>
                <w:rFonts w:ascii="Arial" w:hAnsi="Arial"/>
                <w:color w:val="000000"/>
                <w:sz w:val="18"/>
                <w:lang w:val="mk-MK"/>
              </w:rPr>
            </w:pPr>
          </w:p>
        </w:tc>
        <w:tc>
          <w:tcPr>
            <w:tcW w:w="995" w:type="pct"/>
            <w:tcBorders>
              <w:bottom w:val="single" w:sz="4" w:space="0" w:color="auto"/>
            </w:tcBorders>
            <w:shd w:val="clear" w:color="auto" w:fill="auto"/>
            <w:tcMar>
              <w:left w:w="58" w:type="dxa"/>
              <w:right w:w="58" w:type="dxa"/>
            </w:tcMar>
            <w:vAlign w:val="bottom"/>
          </w:tcPr>
          <w:p w14:paraId="11373938" w14:textId="1CB78A0E" w:rsidR="00252BDE" w:rsidRPr="00CE3053" w:rsidRDefault="00252BDE" w:rsidP="00252BDE">
            <w:pPr>
              <w:spacing w:after="0"/>
              <w:jc w:val="right"/>
              <w:rPr>
                <w:rFonts w:ascii="Arial" w:hAnsi="Arial" w:cs="Arial"/>
                <w:color w:val="000000"/>
                <w:lang w:val="mk-MK"/>
              </w:rPr>
            </w:pPr>
            <w:r w:rsidRPr="00CE3053">
              <w:rPr>
                <w:rFonts w:ascii="Arial" w:hAnsi="Arial" w:cs="Arial"/>
                <w:color w:val="000000"/>
                <w:lang w:val="mk-MK"/>
              </w:rPr>
              <w:t>(</w:t>
            </w:r>
            <w:r w:rsidRPr="001E6526">
              <w:rPr>
                <w:rFonts w:ascii="Arial" w:hAnsi="Arial" w:cs="Arial"/>
                <w:color w:val="000000"/>
                <w:lang w:val="mk-MK"/>
              </w:rPr>
              <w:t>2,756</w:t>
            </w:r>
            <w:r w:rsidRPr="00CE3053">
              <w:rPr>
                <w:rFonts w:ascii="Arial" w:hAnsi="Arial" w:cs="Arial"/>
                <w:color w:val="000000"/>
                <w:lang w:val="mk-MK"/>
              </w:rPr>
              <w:t>)</w:t>
            </w:r>
          </w:p>
        </w:tc>
        <w:tc>
          <w:tcPr>
            <w:tcW w:w="847" w:type="pct"/>
            <w:tcBorders>
              <w:bottom w:val="single" w:sz="4" w:space="0" w:color="auto"/>
            </w:tcBorders>
            <w:shd w:val="clear" w:color="auto" w:fill="auto"/>
            <w:tcMar>
              <w:left w:w="58" w:type="dxa"/>
              <w:right w:w="58" w:type="dxa"/>
            </w:tcMar>
            <w:vAlign w:val="bottom"/>
          </w:tcPr>
          <w:p w14:paraId="0E9ADEE1" w14:textId="349BC750" w:rsidR="00252BDE" w:rsidRPr="00CE3053" w:rsidRDefault="00252BDE" w:rsidP="00252BDE">
            <w:pPr>
              <w:spacing w:after="0"/>
              <w:jc w:val="right"/>
              <w:rPr>
                <w:rFonts w:ascii="Arial" w:hAnsi="Arial" w:cs="Arial"/>
                <w:color w:val="000000"/>
                <w:lang w:val="mk-MK"/>
              </w:rPr>
            </w:pPr>
            <w:r w:rsidRPr="00CE3053">
              <w:rPr>
                <w:rFonts w:ascii="Arial" w:hAnsi="Arial" w:cs="Arial"/>
                <w:color w:val="000000"/>
                <w:lang w:val="mk-MK"/>
              </w:rPr>
              <w:t>(4,111)</w:t>
            </w:r>
          </w:p>
        </w:tc>
      </w:tr>
      <w:tr w:rsidR="00252BDE" w:rsidRPr="001E6526" w14:paraId="7EFE8DF9" w14:textId="77777777" w:rsidTr="00A504C6">
        <w:trPr>
          <w:trHeight w:val="216"/>
        </w:trPr>
        <w:tc>
          <w:tcPr>
            <w:tcW w:w="2645" w:type="pct"/>
            <w:tcBorders>
              <w:top w:val="single" w:sz="4" w:space="0" w:color="auto"/>
              <w:bottom w:val="double" w:sz="4" w:space="0" w:color="auto"/>
            </w:tcBorders>
            <w:shd w:val="clear" w:color="auto" w:fill="auto"/>
            <w:tcMar>
              <w:left w:w="58" w:type="dxa"/>
              <w:right w:w="58" w:type="dxa"/>
            </w:tcMar>
            <w:vAlign w:val="center"/>
          </w:tcPr>
          <w:p w14:paraId="518E1768" w14:textId="5FB69A97" w:rsidR="00252BDE" w:rsidRPr="00CE3053" w:rsidRDefault="005A48BF" w:rsidP="00252BDE">
            <w:pPr>
              <w:spacing w:after="0"/>
              <w:rPr>
                <w:rFonts w:ascii="Arial" w:hAnsi="Arial" w:cs="Arial"/>
                <w:b/>
                <w:bCs/>
                <w:color w:val="000000"/>
                <w:lang w:val="mk-MK"/>
              </w:rPr>
            </w:pPr>
            <w:proofErr w:type="spellStart"/>
            <w:r w:rsidRPr="005A48BF">
              <w:rPr>
                <w:rFonts w:ascii="Arial" w:hAnsi="Arial" w:cs="Arial"/>
                <w:b/>
                <w:bCs/>
                <w:color w:val="000000"/>
                <w:lang w:val="mk-MK"/>
              </w:rPr>
              <w:t>Net</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cash</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flow</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used</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in</w:t>
            </w:r>
            <w:proofErr w:type="spellEnd"/>
            <w:r w:rsidRPr="005A48BF">
              <w:rPr>
                <w:rFonts w:ascii="Arial" w:hAnsi="Arial" w:cs="Arial"/>
                <w:b/>
                <w:bCs/>
                <w:color w:val="000000"/>
                <w:lang w:val="mk-MK"/>
              </w:rPr>
              <w:t xml:space="preserve">) / </w:t>
            </w:r>
            <w:proofErr w:type="spellStart"/>
            <w:r w:rsidRPr="005A48BF">
              <w:rPr>
                <w:rFonts w:ascii="Arial" w:hAnsi="Arial" w:cs="Arial"/>
                <w:b/>
                <w:bCs/>
                <w:color w:val="000000"/>
                <w:lang w:val="mk-MK"/>
              </w:rPr>
              <w:t>from</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operating</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activities</w:t>
            </w:r>
            <w:proofErr w:type="spellEnd"/>
          </w:p>
        </w:tc>
        <w:tc>
          <w:tcPr>
            <w:tcW w:w="513" w:type="pct"/>
            <w:tcBorders>
              <w:top w:val="single" w:sz="4" w:space="0" w:color="auto"/>
              <w:bottom w:val="double" w:sz="4" w:space="0" w:color="auto"/>
            </w:tcBorders>
            <w:shd w:val="clear" w:color="auto" w:fill="auto"/>
            <w:tcMar>
              <w:left w:w="58" w:type="dxa"/>
              <w:right w:w="58" w:type="dxa"/>
            </w:tcMar>
            <w:vAlign w:val="bottom"/>
          </w:tcPr>
          <w:p w14:paraId="5324CC91" w14:textId="77777777" w:rsidR="00252BDE" w:rsidRPr="00CE3053" w:rsidRDefault="00252BDE" w:rsidP="00252BDE">
            <w:pPr>
              <w:pStyle w:val="TableText"/>
              <w:spacing w:after="0"/>
              <w:jc w:val="center"/>
              <w:rPr>
                <w:rFonts w:ascii="Arial" w:hAnsi="Arial"/>
                <w:color w:val="000000"/>
                <w:sz w:val="18"/>
                <w:lang w:val="mk-MK"/>
              </w:rPr>
            </w:pPr>
          </w:p>
        </w:tc>
        <w:tc>
          <w:tcPr>
            <w:tcW w:w="995" w:type="pct"/>
            <w:tcBorders>
              <w:top w:val="single" w:sz="4" w:space="0" w:color="auto"/>
              <w:bottom w:val="double" w:sz="4" w:space="0" w:color="auto"/>
            </w:tcBorders>
            <w:shd w:val="clear" w:color="auto" w:fill="auto"/>
            <w:tcMar>
              <w:left w:w="58" w:type="dxa"/>
              <w:right w:w="58" w:type="dxa"/>
            </w:tcMar>
            <w:vAlign w:val="center"/>
          </w:tcPr>
          <w:p w14:paraId="45C8C412" w14:textId="10479AD1" w:rsidR="00252BDE" w:rsidRPr="00CE3053" w:rsidRDefault="00252BDE" w:rsidP="00252BDE">
            <w:pPr>
              <w:spacing w:after="0"/>
              <w:jc w:val="right"/>
              <w:rPr>
                <w:rFonts w:ascii="Arial" w:hAnsi="Arial" w:cs="Arial"/>
                <w:b/>
                <w:bCs/>
                <w:color w:val="000000"/>
                <w:lang w:val="mk-MK"/>
              </w:rPr>
            </w:pPr>
            <w:r w:rsidRPr="001E6526">
              <w:rPr>
                <w:rFonts w:ascii="Arial" w:hAnsi="Arial" w:cs="Arial"/>
                <w:b/>
                <w:bCs/>
                <w:color w:val="000000"/>
                <w:lang w:val="mk-MK"/>
              </w:rPr>
              <w:t>607,149</w:t>
            </w:r>
          </w:p>
        </w:tc>
        <w:tc>
          <w:tcPr>
            <w:tcW w:w="847" w:type="pct"/>
            <w:tcBorders>
              <w:top w:val="single" w:sz="4" w:space="0" w:color="auto"/>
              <w:bottom w:val="double" w:sz="4" w:space="0" w:color="auto"/>
            </w:tcBorders>
            <w:shd w:val="clear" w:color="auto" w:fill="auto"/>
            <w:tcMar>
              <w:left w:w="58" w:type="dxa"/>
              <w:right w:w="58" w:type="dxa"/>
            </w:tcMar>
            <w:vAlign w:val="center"/>
          </w:tcPr>
          <w:p w14:paraId="4216C7DF" w14:textId="68C3D429" w:rsidR="00252BDE" w:rsidRPr="00CE3053" w:rsidRDefault="00252BDE" w:rsidP="00252BDE">
            <w:pPr>
              <w:spacing w:after="0"/>
              <w:jc w:val="right"/>
              <w:rPr>
                <w:rFonts w:ascii="Arial" w:hAnsi="Arial" w:cs="Arial"/>
                <w:b/>
                <w:bCs/>
                <w:color w:val="000000"/>
                <w:lang w:val="mk-MK"/>
              </w:rPr>
            </w:pPr>
            <w:r w:rsidRPr="00CE3053">
              <w:rPr>
                <w:rFonts w:ascii="Arial" w:hAnsi="Arial" w:cs="Arial"/>
                <w:b/>
                <w:bCs/>
                <w:color w:val="000000"/>
                <w:lang w:val="mk-MK"/>
              </w:rPr>
              <w:t>(2,772,917)</w:t>
            </w:r>
          </w:p>
        </w:tc>
      </w:tr>
      <w:tr w:rsidR="00252BDE" w:rsidRPr="001E6526" w14:paraId="7227015D" w14:textId="77777777" w:rsidTr="00A504C6">
        <w:trPr>
          <w:trHeight w:val="216"/>
        </w:trPr>
        <w:tc>
          <w:tcPr>
            <w:tcW w:w="2645" w:type="pct"/>
            <w:tcBorders>
              <w:top w:val="double" w:sz="4" w:space="0" w:color="auto"/>
            </w:tcBorders>
            <w:shd w:val="clear" w:color="auto" w:fill="auto"/>
            <w:tcMar>
              <w:left w:w="58" w:type="dxa"/>
              <w:right w:w="58" w:type="dxa"/>
            </w:tcMar>
            <w:vAlign w:val="center"/>
          </w:tcPr>
          <w:p w14:paraId="0699931B" w14:textId="77777777" w:rsidR="00252BDE" w:rsidRPr="00CE3053" w:rsidRDefault="00252BDE" w:rsidP="00252BDE">
            <w:pPr>
              <w:spacing w:after="0"/>
              <w:rPr>
                <w:rFonts w:ascii="Arial" w:hAnsi="Arial" w:cs="Arial"/>
                <w:color w:val="000000"/>
                <w:lang w:val="mk-MK"/>
              </w:rPr>
            </w:pPr>
          </w:p>
        </w:tc>
        <w:tc>
          <w:tcPr>
            <w:tcW w:w="513" w:type="pct"/>
            <w:tcBorders>
              <w:top w:val="double" w:sz="4" w:space="0" w:color="auto"/>
            </w:tcBorders>
            <w:shd w:val="clear" w:color="auto" w:fill="auto"/>
            <w:tcMar>
              <w:left w:w="58" w:type="dxa"/>
              <w:right w:w="58" w:type="dxa"/>
            </w:tcMar>
            <w:vAlign w:val="bottom"/>
          </w:tcPr>
          <w:p w14:paraId="4CAD19D9" w14:textId="77777777" w:rsidR="00252BDE" w:rsidRPr="00CE3053" w:rsidRDefault="00252BDE" w:rsidP="00252BDE">
            <w:pPr>
              <w:pStyle w:val="TableText"/>
              <w:spacing w:after="0"/>
              <w:jc w:val="center"/>
              <w:rPr>
                <w:rFonts w:ascii="Arial" w:hAnsi="Arial"/>
                <w:color w:val="000000"/>
                <w:sz w:val="18"/>
                <w:lang w:val="mk-MK"/>
              </w:rPr>
            </w:pPr>
          </w:p>
        </w:tc>
        <w:tc>
          <w:tcPr>
            <w:tcW w:w="995" w:type="pct"/>
            <w:tcBorders>
              <w:top w:val="double" w:sz="4" w:space="0" w:color="auto"/>
            </w:tcBorders>
            <w:shd w:val="clear" w:color="auto" w:fill="auto"/>
            <w:tcMar>
              <w:left w:w="58" w:type="dxa"/>
              <w:right w:w="58" w:type="dxa"/>
            </w:tcMar>
            <w:vAlign w:val="bottom"/>
          </w:tcPr>
          <w:p w14:paraId="27C565A9" w14:textId="77777777" w:rsidR="00252BDE" w:rsidRPr="00CE3053" w:rsidRDefault="00252BDE" w:rsidP="00252BDE">
            <w:pPr>
              <w:spacing w:after="0"/>
              <w:jc w:val="right"/>
              <w:rPr>
                <w:rFonts w:ascii="Arial" w:hAnsi="Arial" w:cs="Arial"/>
                <w:color w:val="000000"/>
                <w:lang w:val="mk-MK"/>
              </w:rPr>
            </w:pPr>
          </w:p>
        </w:tc>
        <w:tc>
          <w:tcPr>
            <w:tcW w:w="847" w:type="pct"/>
            <w:tcBorders>
              <w:top w:val="double" w:sz="4" w:space="0" w:color="auto"/>
            </w:tcBorders>
            <w:shd w:val="clear" w:color="auto" w:fill="auto"/>
            <w:tcMar>
              <w:left w:w="58" w:type="dxa"/>
              <w:right w:w="58" w:type="dxa"/>
            </w:tcMar>
            <w:vAlign w:val="bottom"/>
          </w:tcPr>
          <w:p w14:paraId="5AD9D757" w14:textId="77777777" w:rsidR="00252BDE" w:rsidRPr="00CE3053" w:rsidRDefault="00252BDE" w:rsidP="00252BDE">
            <w:pPr>
              <w:spacing w:after="0"/>
              <w:jc w:val="right"/>
              <w:rPr>
                <w:rFonts w:ascii="Arial" w:hAnsi="Arial" w:cs="Arial"/>
                <w:color w:val="000000"/>
                <w:lang w:val="mk-MK"/>
              </w:rPr>
            </w:pPr>
          </w:p>
        </w:tc>
      </w:tr>
      <w:tr w:rsidR="00252BDE" w:rsidRPr="001E6526" w14:paraId="1CADBE1A" w14:textId="77777777" w:rsidTr="00A504C6">
        <w:trPr>
          <w:trHeight w:val="216"/>
        </w:trPr>
        <w:tc>
          <w:tcPr>
            <w:tcW w:w="2645" w:type="pct"/>
            <w:shd w:val="clear" w:color="auto" w:fill="auto"/>
            <w:tcMar>
              <w:left w:w="58" w:type="dxa"/>
              <w:right w:w="58" w:type="dxa"/>
            </w:tcMar>
            <w:vAlign w:val="center"/>
          </w:tcPr>
          <w:p w14:paraId="5D6C480A" w14:textId="4D7ABAC0" w:rsidR="00252BDE" w:rsidRPr="00CE3053" w:rsidRDefault="005A48BF" w:rsidP="00252BDE">
            <w:pPr>
              <w:spacing w:after="0"/>
              <w:rPr>
                <w:rFonts w:ascii="Arial" w:hAnsi="Arial" w:cs="Arial"/>
                <w:b/>
                <w:bCs/>
                <w:color w:val="000000"/>
                <w:lang w:val="mk-MK"/>
              </w:rPr>
            </w:pPr>
            <w:proofErr w:type="spellStart"/>
            <w:r w:rsidRPr="005A48BF">
              <w:rPr>
                <w:rFonts w:ascii="Arial" w:hAnsi="Arial" w:cs="Arial"/>
                <w:b/>
                <w:bCs/>
                <w:color w:val="000000"/>
                <w:lang w:val="mk-MK"/>
              </w:rPr>
              <w:t>Investing</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activities</w:t>
            </w:r>
            <w:proofErr w:type="spellEnd"/>
          </w:p>
        </w:tc>
        <w:tc>
          <w:tcPr>
            <w:tcW w:w="513" w:type="pct"/>
            <w:shd w:val="clear" w:color="auto" w:fill="auto"/>
            <w:tcMar>
              <w:left w:w="58" w:type="dxa"/>
              <w:right w:w="58" w:type="dxa"/>
            </w:tcMar>
            <w:vAlign w:val="bottom"/>
          </w:tcPr>
          <w:p w14:paraId="1E14A032" w14:textId="77777777" w:rsidR="00252BDE" w:rsidRPr="00CE3053" w:rsidRDefault="00252BDE" w:rsidP="00252BDE">
            <w:pPr>
              <w:pStyle w:val="TableText"/>
              <w:spacing w:after="0"/>
              <w:jc w:val="center"/>
              <w:rPr>
                <w:rFonts w:ascii="Arial" w:hAnsi="Arial"/>
                <w:b/>
                <w:color w:val="000000"/>
                <w:sz w:val="18"/>
                <w:lang w:val="mk-MK"/>
              </w:rPr>
            </w:pPr>
          </w:p>
        </w:tc>
        <w:tc>
          <w:tcPr>
            <w:tcW w:w="995" w:type="pct"/>
            <w:shd w:val="clear" w:color="auto" w:fill="auto"/>
            <w:tcMar>
              <w:left w:w="58" w:type="dxa"/>
              <w:right w:w="58" w:type="dxa"/>
            </w:tcMar>
            <w:vAlign w:val="bottom"/>
          </w:tcPr>
          <w:p w14:paraId="18525B9C" w14:textId="77777777" w:rsidR="00252BDE" w:rsidRPr="00CE3053" w:rsidRDefault="00252BDE" w:rsidP="00252BDE">
            <w:pPr>
              <w:spacing w:after="0"/>
              <w:jc w:val="right"/>
              <w:rPr>
                <w:rFonts w:ascii="Arial" w:hAnsi="Arial" w:cs="Arial"/>
                <w:b/>
                <w:bCs/>
                <w:color w:val="000000"/>
                <w:lang w:val="mk-MK"/>
              </w:rPr>
            </w:pPr>
          </w:p>
        </w:tc>
        <w:tc>
          <w:tcPr>
            <w:tcW w:w="847" w:type="pct"/>
            <w:shd w:val="clear" w:color="auto" w:fill="auto"/>
            <w:tcMar>
              <w:left w:w="58" w:type="dxa"/>
              <w:right w:w="58" w:type="dxa"/>
            </w:tcMar>
            <w:vAlign w:val="bottom"/>
          </w:tcPr>
          <w:p w14:paraId="2A91210D" w14:textId="77777777" w:rsidR="00252BDE" w:rsidRPr="00CE3053" w:rsidRDefault="00252BDE" w:rsidP="00252BDE">
            <w:pPr>
              <w:spacing w:after="0"/>
              <w:jc w:val="right"/>
              <w:rPr>
                <w:rFonts w:ascii="Arial" w:hAnsi="Arial" w:cs="Arial"/>
                <w:b/>
                <w:bCs/>
                <w:color w:val="000000"/>
                <w:lang w:val="mk-MK"/>
              </w:rPr>
            </w:pPr>
          </w:p>
        </w:tc>
      </w:tr>
      <w:tr w:rsidR="00252BDE" w:rsidRPr="001E6526" w14:paraId="550A3280" w14:textId="77777777" w:rsidTr="00A504C6">
        <w:trPr>
          <w:trHeight w:val="216"/>
        </w:trPr>
        <w:tc>
          <w:tcPr>
            <w:tcW w:w="2645" w:type="pct"/>
            <w:shd w:val="clear" w:color="auto" w:fill="auto"/>
            <w:tcMar>
              <w:left w:w="58" w:type="dxa"/>
              <w:right w:w="58" w:type="dxa"/>
            </w:tcMar>
            <w:vAlign w:val="center"/>
          </w:tcPr>
          <w:p w14:paraId="50629EC5" w14:textId="6455D1FC" w:rsidR="00252BDE" w:rsidRPr="00CE3053" w:rsidRDefault="005A48BF" w:rsidP="00252BDE">
            <w:pPr>
              <w:spacing w:after="0"/>
              <w:rPr>
                <w:rFonts w:ascii="Arial" w:hAnsi="Arial" w:cs="Arial"/>
                <w:color w:val="000000"/>
                <w:lang w:val="mk-MK"/>
              </w:rPr>
            </w:pPr>
            <w:proofErr w:type="spellStart"/>
            <w:r w:rsidRPr="005A48BF">
              <w:rPr>
                <w:rFonts w:ascii="Arial" w:hAnsi="Arial" w:cs="Arial"/>
                <w:color w:val="000000"/>
                <w:lang w:val="mk-MK"/>
              </w:rPr>
              <w:t>Purchase</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of</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property</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equipment</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and</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intangible</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assets</w:t>
            </w:r>
            <w:proofErr w:type="spellEnd"/>
          </w:p>
        </w:tc>
        <w:tc>
          <w:tcPr>
            <w:tcW w:w="513" w:type="pct"/>
            <w:shd w:val="clear" w:color="auto" w:fill="auto"/>
            <w:tcMar>
              <w:left w:w="58" w:type="dxa"/>
              <w:right w:w="58" w:type="dxa"/>
            </w:tcMar>
            <w:vAlign w:val="bottom"/>
          </w:tcPr>
          <w:p w14:paraId="7271D5AA" w14:textId="77777777" w:rsidR="00252BDE" w:rsidRPr="008C0FD0" w:rsidRDefault="00252BDE" w:rsidP="00252BDE">
            <w:pPr>
              <w:pStyle w:val="TableText"/>
              <w:spacing w:after="0"/>
              <w:jc w:val="center"/>
              <w:rPr>
                <w:rFonts w:ascii="Arial" w:hAnsi="Arial"/>
                <w:bCs/>
                <w:color w:val="000000"/>
                <w:sz w:val="18"/>
                <w:lang w:val="mk-MK"/>
              </w:rPr>
            </w:pPr>
            <w:r w:rsidRPr="008C0FD0">
              <w:rPr>
                <w:rFonts w:ascii="Arial" w:hAnsi="Arial"/>
                <w:bCs/>
                <w:color w:val="000000"/>
                <w:sz w:val="18"/>
                <w:lang w:val="mk-MK"/>
              </w:rPr>
              <w:t>10</w:t>
            </w:r>
          </w:p>
        </w:tc>
        <w:tc>
          <w:tcPr>
            <w:tcW w:w="995" w:type="pct"/>
            <w:shd w:val="clear" w:color="auto" w:fill="auto"/>
            <w:tcMar>
              <w:left w:w="58" w:type="dxa"/>
              <w:right w:w="58" w:type="dxa"/>
            </w:tcMar>
            <w:vAlign w:val="bottom"/>
          </w:tcPr>
          <w:p w14:paraId="141EBC64" w14:textId="3C9EA7B7" w:rsidR="00252BDE" w:rsidRPr="001E6526" w:rsidRDefault="00B22516" w:rsidP="00252BDE">
            <w:pPr>
              <w:spacing w:after="0"/>
              <w:jc w:val="right"/>
              <w:rPr>
                <w:rFonts w:ascii="Arial" w:hAnsi="Arial" w:cs="Arial"/>
                <w:color w:val="000000"/>
                <w:lang w:val="mk-MK"/>
              </w:rPr>
            </w:pPr>
            <w:r w:rsidRPr="001E6526">
              <w:rPr>
                <w:rFonts w:ascii="Arial" w:hAnsi="Arial" w:cs="Arial"/>
                <w:color w:val="000000"/>
                <w:lang w:val="mk-MK"/>
              </w:rPr>
              <w:t>(19</w:t>
            </w:r>
            <w:r w:rsidR="00C50962">
              <w:rPr>
                <w:rFonts w:ascii="Arial" w:hAnsi="Arial" w:cs="Arial"/>
                <w:color w:val="000000"/>
              </w:rPr>
              <w:t>5</w:t>
            </w:r>
            <w:r w:rsidRPr="001E6526">
              <w:rPr>
                <w:rFonts w:ascii="Arial" w:hAnsi="Arial" w:cs="Arial"/>
                <w:color w:val="000000"/>
                <w:lang w:val="mk-MK"/>
              </w:rPr>
              <w:t>)</w:t>
            </w:r>
          </w:p>
        </w:tc>
        <w:tc>
          <w:tcPr>
            <w:tcW w:w="847" w:type="pct"/>
            <w:shd w:val="clear" w:color="auto" w:fill="auto"/>
            <w:tcMar>
              <w:left w:w="58" w:type="dxa"/>
              <w:right w:w="58" w:type="dxa"/>
            </w:tcMar>
            <w:vAlign w:val="bottom"/>
          </w:tcPr>
          <w:p w14:paraId="7A2E15E0" w14:textId="48F97F11" w:rsidR="00252BDE" w:rsidRPr="00CE3053" w:rsidRDefault="00252BDE" w:rsidP="00252BDE">
            <w:pPr>
              <w:spacing w:after="0"/>
              <w:jc w:val="right"/>
              <w:rPr>
                <w:rFonts w:ascii="Arial" w:hAnsi="Arial" w:cs="Arial"/>
                <w:color w:val="000000"/>
                <w:lang w:val="mk-MK"/>
              </w:rPr>
            </w:pPr>
            <w:r w:rsidRPr="00CE3053">
              <w:rPr>
                <w:rFonts w:ascii="Arial" w:hAnsi="Arial" w:cs="Arial"/>
                <w:color w:val="000000"/>
                <w:lang w:val="mk-MK"/>
              </w:rPr>
              <w:t>-</w:t>
            </w:r>
          </w:p>
        </w:tc>
      </w:tr>
      <w:tr w:rsidR="00252BDE" w:rsidRPr="001E6526" w14:paraId="51D75C39" w14:textId="77777777" w:rsidTr="00A504C6">
        <w:trPr>
          <w:trHeight w:val="216"/>
        </w:trPr>
        <w:tc>
          <w:tcPr>
            <w:tcW w:w="2645" w:type="pct"/>
            <w:shd w:val="clear" w:color="auto" w:fill="auto"/>
            <w:tcMar>
              <w:left w:w="58" w:type="dxa"/>
              <w:right w:w="58" w:type="dxa"/>
            </w:tcMar>
            <w:vAlign w:val="center"/>
          </w:tcPr>
          <w:p w14:paraId="034049B8" w14:textId="0EBA3787" w:rsidR="00252BDE" w:rsidRPr="00CE3053" w:rsidRDefault="005A48BF" w:rsidP="00252BDE">
            <w:pPr>
              <w:spacing w:after="0"/>
              <w:rPr>
                <w:rFonts w:ascii="Arial" w:hAnsi="Arial" w:cs="Arial"/>
                <w:color w:val="000000"/>
                <w:lang w:val="mk-MK"/>
              </w:rPr>
            </w:pPr>
            <w:proofErr w:type="spellStart"/>
            <w:r w:rsidRPr="005A48BF">
              <w:rPr>
                <w:rFonts w:ascii="Arial" w:hAnsi="Arial" w:cs="Arial"/>
                <w:color w:val="000000"/>
                <w:lang w:val="mk-MK"/>
              </w:rPr>
              <w:t>Purchase</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of</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government</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bills</w:t>
            </w:r>
            <w:proofErr w:type="spellEnd"/>
          </w:p>
        </w:tc>
        <w:tc>
          <w:tcPr>
            <w:tcW w:w="513" w:type="pct"/>
            <w:shd w:val="clear" w:color="auto" w:fill="auto"/>
            <w:tcMar>
              <w:left w:w="58" w:type="dxa"/>
              <w:right w:w="58" w:type="dxa"/>
            </w:tcMar>
            <w:vAlign w:val="bottom"/>
          </w:tcPr>
          <w:p w14:paraId="5458DCED" w14:textId="77777777" w:rsidR="00252BDE" w:rsidRPr="00CE3053" w:rsidRDefault="00252BDE" w:rsidP="00252BDE">
            <w:pPr>
              <w:pStyle w:val="TableText"/>
              <w:spacing w:after="0"/>
              <w:jc w:val="center"/>
              <w:rPr>
                <w:rFonts w:ascii="Arial" w:hAnsi="Arial"/>
                <w:color w:val="000000"/>
                <w:sz w:val="18"/>
                <w:lang w:val="mk-MK"/>
              </w:rPr>
            </w:pPr>
          </w:p>
        </w:tc>
        <w:tc>
          <w:tcPr>
            <w:tcW w:w="995" w:type="pct"/>
            <w:shd w:val="clear" w:color="auto" w:fill="auto"/>
            <w:tcMar>
              <w:left w:w="58" w:type="dxa"/>
              <w:right w:w="58" w:type="dxa"/>
            </w:tcMar>
            <w:vAlign w:val="bottom"/>
          </w:tcPr>
          <w:p w14:paraId="70205C12" w14:textId="2D94FCDC" w:rsidR="00252BDE" w:rsidRPr="00CE3053" w:rsidRDefault="00252BDE" w:rsidP="00252BDE">
            <w:pPr>
              <w:spacing w:after="0"/>
              <w:jc w:val="right"/>
              <w:rPr>
                <w:rFonts w:ascii="Arial" w:hAnsi="Arial" w:cs="Arial"/>
                <w:color w:val="000000"/>
                <w:lang w:val="mk-MK"/>
              </w:rPr>
            </w:pPr>
            <w:r w:rsidRPr="00CE3053">
              <w:rPr>
                <w:rFonts w:ascii="Arial" w:hAnsi="Arial" w:cs="Arial"/>
                <w:color w:val="000000"/>
                <w:lang w:val="mk-MK"/>
              </w:rPr>
              <w:t>(</w:t>
            </w:r>
            <w:r w:rsidR="00B22516" w:rsidRPr="001E6526">
              <w:rPr>
                <w:rFonts w:ascii="Arial" w:hAnsi="Arial" w:cs="Arial"/>
                <w:color w:val="000000"/>
                <w:lang w:val="mk-MK"/>
              </w:rPr>
              <w:t>14,833,21</w:t>
            </w:r>
            <w:r w:rsidR="00C50962">
              <w:rPr>
                <w:rFonts w:ascii="Arial" w:hAnsi="Arial" w:cs="Arial"/>
                <w:color w:val="000000"/>
              </w:rPr>
              <w:t>5</w:t>
            </w:r>
            <w:r w:rsidRPr="00CE3053">
              <w:rPr>
                <w:rFonts w:ascii="Arial" w:hAnsi="Arial" w:cs="Arial"/>
                <w:color w:val="000000"/>
                <w:lang w:val="mk-MK"/>
              </w:rPr>
              <w:t>)</w:t>
            </w:r>
          </w:p>
        </w:tc>
        <w:tc>
          <w:tcPr>
            <w:tcW w:w="847" w:type="pct"/>
            <w:shd w:val="clear" w:color="auto" w:fill="auto"/>
            <w:tcMar>
              <w:left w:w="58" w:type="dxa"/>
              <w:right w:w="58" w:type="dxa"/>
            </w:tcMar>
            <w:vAlign w:val="bottom"/>
          </w:tcPr>
          <w:p w14:paraId="24790591" w14:textId="76D9027C" w:rsidR="00252BDE" w:rsidRPr="00CE3053" w:rsidRDefault="00252BDE" w:rsidP="00252BDE">
            <w:pPr>
              <w:spacing w:after="0"/>
              <w:jc w:val="right"/>
              <w:rPr>
                <w:rFonts w:ascii="Arial" w:hAnsi="Arial" w:cs="Arial"/>
                <w:color w:val="000000"/>
                <w:lang w:val="mk-MK"/>
              </w:rPr>
            </w:pPr>
            <w:r w:rsidRPr="00CE3053">
              <w:rPr>
                <w:rFonts w:ascii="Arial" w:hAnsi="Arial" w:cs="Arial"/>
                <w:color w:val="000000"/>
                <w:lang w:val="mk-MK"/>
              </w:rPr>
              <w:t>(16,173,324)</w:t>
            </w:r>
          </w:p>
        </w:tc>
      </w:tr>
      <w:tr w:rsidR="00252BDE" w:rsidRPr="001E6526" w14:paraId="428177E2" w14:textId="77777777" w:rsidTr="00A504C6">
        <w:trPr>
          <w:trHeight w:val="216"/>
        </w:trPr>
        <w:tc>
          <w:tcPr>
            <w:tcW w:w="2645" w:type="pct"/>
            <w:tcBorders>
              <w:bottom w:val="single" w:sz="4" w:space="0" w:color="auto"/>
            </w:tcBorders>
            <w:shd w:val="clear" w:color="auto" w:fill="auto"/>
            <w:tcMar>
              <w:left w:w="58" w:type="dxa"/>
              <w:right w:w="58" w:type="dxa"/>
            </w:tcMar>
            <w:vAlign w:val="center"/>
          </w:tcPr>
          <w:p w14:paraId="4DF9DAA9" w14:textId="4109C9B7" w:rsidR="00252BDE" w:rsidRPr="00CE3053" w:rsidRDefault="005A48BF" w:rsidP="00252BDE">
            <w:pPr>
              <w:spacing w:after="0"/>
              <w:rPr>
                <w:rFonts w:ascii="Arial" w:hAnsi="Arial" w:cs="Arial"/>
                <w:color w:val="000000"/>
                <w:lang w:val="mk-MK"/>
              </w:rPr>
            </w:pPr>
            <w:proofErr w:type="spellStart"/>
            <w:r w:rsidRPr="005A48BF">
              <w:rPr>
                <w:rFonts w:ascii="Arial" w:hAnsi="Arial" w:cs="Arial"/>
                <w:color w:val="000000"/>
                <w:lang w:val="mk-MK"/>
              </w:rPr>
              <w:t>Proceeds</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from</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government</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bills</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sold</w:t>
            </w:r>
            <w:proofErr w:type="spellEnd"/>
            <w:r w:rsidRPr="005A48BF">
              <w:rPr>
                <w:rFonts w:ascii="Arial" w:hAnsi="Arial" w:cs="Arial"/>
                <w:color w:val="000000"/>
                <w:lang w:val="mk-MK"/>
              </w:rPr>
              <w:t>/</w:t>
            </w:r>
            <w:proofErr w:type="spellStart"/>
            <w:r w:rsidRPr="005A48BF">
              <w:rPr>
                <w:rFonts w:ascii="Arial" w:hAnsi="Arial" w:cs="Arial"/>
                <w:color w:val="000000"/>
                <w:lang w:val="mk-MK"/>
              </w:rPr>
              <w:t>matured</w:t>
            </w:r>
            <w:proofErr w:type="spellEnd"/>
          </w:p>
        </w:tc>
        <w:tc>
          <w:tcPr>
            <w:tcW w:w="513" w:type="pct"/>
            <w:tcBorders>
              <w:bottom w:val="single" w:sz="4" w:space="0" w:color="auto"/>
            </w:tcBorders>
            <w:shd w:val="clear" w:color="auto" w:fill="auto"/>
            <w:tcMar>
              <w:left w:w="58" w:type="dxa"/>
              <w:right w:w="58" w:type="dxa"/>
            </w:tcMar>
            <w:vAlign w:val="bottom"/>
          </w:tcPr>
          <w:p w14:paraId="05466B13" w14:textId="77777777" w:rsidR="00252BDE" w:rsidRPr="00CE3053" w:rsidRDefault="00252BDE" w:rsidP="00252BDE">
            <w:pPr>
              <w:pStyle w:val="TableText"/>
              <w:spacing w:after="0"/>
              <w:jc w:val="center"/>
              <w:rPr>
                <w:rFonts w:ascii="Arial" w:hAnsi="Arial"/>
                <w:color w:val="000000"/>
                <w:sz w:val="18"/>
                <w:lang w:val="mk-MK"/>
              </w:rPr>
            </w:pPr>
          </w:p>
        </w:tc>
        <w:tc>
          <w:tcPr>
            <w:tcW w:w="995" w:type="pct"/>
            <w:tcBorders>
              <w:bottom w:val="single" w:sz="4" w:space="0" w:color="auto"/>
            </w:tcBorders>
            <w:shd w:val="clear" w:color="auto" w:fill="auto"/>
            <w:tcMar>
              <w:left w:w="58" w:type="dxa"/>
              <w:right w:w="58" w:type="dxa"/>
            </w:tcMar>
            <w:vAlign w:val="bottom"/>
          </w:tcPr>
          <w:p w14:paraId="79867E08" w14:textId="478D4E33" w:rsidR="00252BDE" w:rsidRPr="001E6526" w:rsidRDefault="00B22516" w:rsidP="00252BDE">
            <w:pPr>
              <w:spacing w:after="0"/>
              <w:jc w:val="right"/>
              <w:rPr>
                <w:rFonts w:ascii="Arial" w:hAnsi="Arial" w:cs="Arial"/>
                <w:color w:val="000000"/>
                <w:lang w:val="mk-MK"/>
              </w:rPr>
            </w:pPr>
            <w:r w:rsidRPr="001E6526">
              <w:rPr>
                <w:rFonts w:ascii="Arial" w:hAnsi="Arial" w:cs="Arial"/>
                <w:color w:val="000000"/>
                <w:lang w:val="mk-MK"/>
              </w:rPr>
              <w:t>14,032,940</w:t>
            </w:r>
          </w:p>
        </w:tc>
        <w:tc>
          <w:tcPr>
            <w:tcW w:w="847" w:type="pct"/>
            <w:tcBorders>
              <w:bottom w:val="single" w:sz="4" w:space="0" w:color="auto"/>
            </w:tcBorders>
            <w:shd w:val="clear" w:color="auto" w:fill="auto"/>
            <w:tcMar>
              <w:left w:w="58" w:type="dxa"/>
              <w:right w:w="58" w:type="dxa"/>
            </w:tcMar>
            <w:vAlign w:val="bottom"/>
          </w:tcPr>
          <w:p w14:paraId="379DF9B5" w14:textId="2BEE8BF6" w:rsidR="00252BDE" w:rsidRPr="00CE3053" w:rsidRDefault="00252BDE" w:rsidP="00252BDE">
            <w:pPr>
              <w:spacing w:after="0"/>
              <w:jc w:val="right"/>
              <w:rPr>
                <w:rFonts w:ascii="Arial" w:hAnsi="Arial" w:cs="Arial"/>
                <w:color w:val="000000"/>
                <w:lang w:val="mk-MK"/>
              </w:rPr>
            </w:pPr>
            <w:r w:rsidRPr="00CE3053">
              <w:rPr>
                <w:rFonts w:ascii="Arial" w:hAnsi="Arial" w:cs="Arial"/>
                <w:color w:val="000000"/>
                <w:lang w:val="mk-MK"/>
              </w:rPr>
              <w:t>19,410,701</w:t>
            </w:r>
          </w:p>
        </w:tc>
      </w:tr>
      <w:tr w:rsidR="00252BDE" w:rsidRPr="001E6526" w14:paraId="3F85D584" w14:textId="77777777" w:rsidTr="00A504C6">
        <w:trPr>
          <w:trHeight w:val="216"/>
        </w:trPr>
        <w:tc>
          <w:tcPr>
            <w:tcW w:w="2645" w:type="pct"/>
            <w:tcBorders>
              <w:top w:val="single" w:sz="4" w:space="0" w:color="auto"/>
              <w:bottom w:val="double" w:sz="4" w:space="0" w:color="auto"/>
            </w:tcBorders>
            <w:shd w:val="clear" w:color="auto" w:fill="auto"/>
            <w:tcMar>
              <w:left w:w="58" w:type="dxa"/>
              <w:right w:w="58" w:type="dxa"/>
            </w:tcMar>
            <w:vAlign w:val="center"/>
          </w:tcPr>
          <w:p w14:paraId="7BE0FEDA" w14:textId="0999A0BC" w:rsidR="00252BDE" w:rsidRPr="00CE3053" w:rsidRDefault="005A48BF" w:rsidP="00252BDE">
            <w:pPr>
              <w:spacing w:after="0"/>
              <w:rPr>
                <w:rFonts w:ascii="Arial" w:hAnsi="Arial" w:cs="Arial"/>
                <w:b/>
                <w:bCs/>
                <w:color w:val="000000"/>
                <w:lang w:val="mk-MK"/>
              </w:rPr>
            </w:pPr>
            <w:proofErr w:type="spellStart"/>
            <w:r w:rsidRPr="005A48BF">
              <w:rPr>
                <w:rFonts w:ascii="Arial" w:hAnsi="Arial" w:cs="Arial"/>
                <w:b/>
                <w:bCs/>
                <w:color w:val="000000"/>
                <w:lang w:val="mk-MK"/>
              </w:rPr>
              <w:t>Net</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cash</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from</w:t>
            </w:r>
            <w:proofErr w:type="spellEnd"/>
            <w:r w:rsidRPr="005A48BF">
              <w:rPr>
                <w:rFonts w:ascii="Arial" w:hAnsi="Arial" w:cs="Arial"/>
                <w:b/>
                <w:bCs/>
                <w:color w:val="000000"/>
                <w:lang w:val="mk-MK"/>
              </w:rPr>
              <w:t xml:space="preserve"> / (</w:t>
            </w:r>
            <w:proofErr w:type="spellStart"/>
            <w:r w:rsidRPr="005A48BF">
              <w:rPr>
                <w:rFonts w:ascii="Arial" w:hAnsi="Arial" w:cs="Arial"/>
                <w:b/>
                <w:bCs/>
                <w:color w:val="000000"/>
                <w:lang w:val="mk-MK"/>
              </w:rPr>
              <w:t>used</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in</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investing</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activities</w:t>
            </w:r>
            <w:proofErr w:type="spellEnd"/>
          </w:p>
        </w:tc>
        <w:tc>
          <w:tcPr>
            <w:tcW w:w="513" w:type="pct"/>
            <w:tcBorders>
              <w:top w:val="single" w:sz="4" w:space="0" w:color="auto"/>
              <w:bottom w:val="double" w:sz="4" w:space="0" w:color="auto"/>
            </w:tcBorders>
            <w:shd w:val="clear" w:color="auto" w:fill="auto"/>
            <w:tcMar>
              <w:left w:w="58" w:type="dxa"/>
              <w:right w:w="58" w:type="dxa"/>
            </w:tcMar>
            <w:vAlign w:val="bottom"/>
          </w:tcPr>
          <w:p w14:paraId="019DE4AA" w14:textId="77777777" w:rsidR="00252BDE" w:rsidRPr="00CE3053" w:rsidRDefault="00252BDE" w:rsidP="00252BDE">
            <w:pPr>
              <w:pStyle w:val="TableText"/>
              <w:spacing w:after="0"/>
              <w:jc w:val="center"/>
              <w:rPr>
                <w:rFonts w:ascii="Arial" w:hAnsi="Arial"/>
                <w:color w:val="000000"/>
                <w:sz w:val="18"/>
                <w:lang w:val="mk-MK"/>
              </w:rPr>
            </w:pPr>
          </w:p>
        </w:tc>
        <w:tc>
          <w:tcPr>
            <w:tcW w:w="995" w:type="pct"/>
            <w:tcBorders>
              <w:top w:val="single" w:sz="4" w:space="0" w:color="auto"/>
              <w:bottom w:val="double" w:sz="4" w:space="0" w:color="auto"/>
            </w:tcBorders>
            <w:shd w:val="clear" w:color="auto" w:fill="auto"/>
            <w:tcMar>
              <w:left w:w="58" w:type="dxa"/>
              <w:right w:w="58" w:type="dxa"/>
            </w:tcMar>
            <w:vAlign w:val="bottom"/>
          </w:tcPr>
          <w:p w14:paraId="2159FDCA" w14:textId="104E7EBC" w:rsidR="00252BDE" w:rsidRPr="001E6526" w:rsidRDefault="005C6CFD" w:rsidP="00252BDE">
            <w:pPr>
              <w:spacing w:after="0"/>
              <w:jc w:val="right"/>
              <w:rPr>
                <w:rFonts w:ascii="Arial" w:hAnsi="Arial" w:cs="Arial"/>
                <w:b/>
                <w:bCs/>
                <w:color w:val="000000"/>
                <w:lang w:val="mk-MK"/>
              </w:rPr>
            </w:pPr>
            <w:r w:rsidRPr="001E6526">
              <w:rPr>
                <w:rFonts w:ascii="Arial" w:hAnsi="Arial" w:cs="Arial"/>
                <w:b/>
                <w:bCs/>
                <w:color w:val="000000"/>
                <w:lang w:val="mk-MK"/>
              </w:rPr>
              <w:t>(</w:t>
            </w:r>
            <w:r w:rsidR="00B22516" w:rsidRPr="001E6526">
              <w:rPr>
                <w:rFonts w:ascii="Arial" w:hAnsi="Arial" w:cs="Arial"/>
                <w:b/>
                <w:bCs/>
                <w:color w:val="000000"/>
                <w:lang w:val="mk-MK"/>
              </w:rPr>
              <w:t>800,470</w:t>
            </w:r>
            <w:r w:rsidRPr="001E6526">
              <w:rPr>
                <w:rFonts w:ascii="Arial" w:hAnsi="Arial" w:cs="Arial"/>
                <w:b/>
                <w:bCs/>
                <w:color w:val="000000"/>
                <w:lang w:val="mk-MK"/>
              </w:rPr>
              <w:t>)</w:t>
            </w:r>
          </w:p>
        </w:tc>
        <w:tc>
          <w:tcPr>
            <w:tcW w:w="847" w:type="pct"/>
            <w:tcBorders>
              <w:top w:val="single" w:sz="4" w:space="0" w:color="auto"/>
              <w:bottom w:val="double" w:sz="4" w:space="0" w:color="auto"/>
            </w:tcBorders>
            <w:shd w:val="clear" w:color="auto" w:fill="auto"/>
            <w:tcMar>
              <w:left w:w="58" w:type="dxa"/>
              <w:right w:w="58" w:type="dxa"/>
            </w:tcMar>
            <w:vAlign w:val="bottom"/>
          </w:tcPr>
          <w:p w14:paraId="1469F26C" w14:textId="2C5DEAC2" w:rsidR="00252BDE" w:rsidRPr="00CE3053" w:rsidRDefault="00252BDE" w:rsidP="00252BDE">
            <w:pPr>
              <w:spacing w:after="0"/>
              <w:jc w:val="right"/>
              <w:rPr>
                <w:rFonts w:ascii="Arial" w:hAnsi="Arial" w:cs="Arial"/>
                <w:b/>
                <w:bCs/>
                <w:color w:val="000000"/>
                <w:lang w:val="mk-MK"/>
              </w:rPr>
            </w:pPr>
            <w:r w:rsidRPr="00CE3053">
              <w:rPr>
                <w:rFonts w:ascii="Arial" w:hAnsi="Arial" w:cs="Arial"/>
                <w:b/>
                <w:bCs/>
                <w:color w:val="000000"/>
                <w:lang w:val="mk-MK"/>
              </w:rPr>
              <w:t>3,237,377</w:t>
            </w:r>
          </w:p>
        </w:tc>
      </w:tr>
      <w:tr w:rsidR="00252BDE" w:rsidRPr="001E6526" w14:paraId="418DAEE7" w14:textId="77777777" w:rsidTr="00A504C6">
        <w:trPr>
          <w:trHeight w:val="216"/>
        </w:trPr>
        <w:tc>
          <w:tcPr>
            <w:tcW w:w="2645" w:type="pct"/>
            <w:tcBorders>
              <w:top w:val="double" w:sz="4" w:space="0" w:color="auto"/>
            </w:tcBorders>
            <w:shd w:val="clear" w:color="auto" w:fill="auto"/>
            <w:tcMar>
              <w:left w:w="58" w:type="dxa"/>
              <w:right w:w="58" w:type="dxa"/>
            </w:tcMar>
            <w:vAlign w:val="center"/>
          </w:tcPr>
          <w:p w14:paraId="0C5CF499" w14:textId="77777777" w:rsidR="00252BDE" w:rsidRPr="00CE3053" w:rsidRDefault="00252BDE" w:rsidP="00252BDE">
            <w:pPr>
              <w:spacing w:after="0"/>
              <w:rPr>
                <w:rFonts w:ascii="Arial" w:hAnsi="Arial" w:cs="Arial"/>
                <w:color w:val="000000"/>
                <w:lang w:val="mk-MK"/>
              </w:rPr>
            </w:pPr>
          </w:p>
        </w:tc>
        <w:tc>
          <w:tcPr>
            <w:tcW w:w="513" w:type="pct"/>
            <w:tcBorders>
              <w:top w:val="double" w:sz="4" w:space="0" w:color="auto"/>
            </w:tcBorders>
            <w:shd w:val="clear" w:color="auto" w:fill="auto"/>
            <w:tcMar>
              <w:left w:w="58" w:type="dxa"/>
              <w:right w:w="58" w:type="dxa"/>
            </w:tcMar>
            <w:vAlign w:val="bottom"/>
          </w:tcPr>
          <w:p w14:paraId="65203FE3" w14:textId="77777777" w:rsidR="00252BDE" w:rsidRPr="00CE3053" w:rsidRDefault="00252BDE" w:rsidP="00252BDE">
            <w:pPr>
              <w:pStyle w:val="TableText"/>
              <w:spacing w:after="0"/>
              <w:jc w:val="center"/>
              <w:rPr>
                <w:rFonts w:ascii="Arial" w:hAnsi="Arial"/>
                <w:color w:val="000000"/>
                <w:sz w:val="18"/>
                <w:lang w:val="mk-MK"/>
              </w:rPr>
            </w:pPr>
          </w:p>
        </w:tc>
        <w:tc>
          <w:tcPr>
            <w:tcW w:w="995" w:type="pct"/>
            <w:tcBorders>
              <w:top w:val="double" w:sz="4" w:space="0" w:color="auto"/>
            </w:tcBorders>
            <w:shd w:val="clear" w:color="auto" w:fill="auto"/>
            <w:tcMar>
              <w:left w:w="58" w:type="dxa"/>
              <w:right w:w="58" w:type="dxa"/>
            </w:tcMar>
            <w:vAlign w:val="bottom"/>
          </w:tcPr>
          <w:p w14:paraId="213FCB0C" w14:textId="77777777" w:rsidR="00252BDE" w:rsidRPr="00CE3053" w:rsidRDefault="00252BDE" w:rsidP="00252BDE">
            <w:pPr>
              <w:spacing w:after="0"/>
              <w:jc w:val="right"/>
              <w:rPr>
                <w:rFonts w:ascii="Arial" w:hAnsi="Arial" w:cs="Arial"/>
                <w:color w:val="000000"/>
                <w:lang w:val="mk-MK"/>
              </w:rPr>
            </w:pPr>
          </w:p>
        </w:tc>
        <w:tc>
          <w:tcPr>
            <w:tcW w:w="847" w:type="pct"/>
            <w:tcBorders>
              <w:top w:val="double" w:sz="4" w:space="0" w:color="auto"/>
            </w:tcBorders>
            <w:shd w:val="clear" w:color="auto" w:fill="auto"/>
            <w:tcMar>
              <w:left w:w="58" w:type="dxa"/>
              <w:right w:w="58" w:type="dxa"/>
            </w:tcMar>
            <w:vAlign w:val="bottom"/>
          </w:tcPr>
          <w:p w14:paraId="275D4E32" w14:textId="77777777" w:rsidR="00252BDE" w:rsidRPr="00CE3053" w:rsidRDefault="00252BDE" w:rsidP="00252BDE">
            <w:pPr>
              <w:spacing w:after="0"/>
              <w:jc w:val="right"/>
              <w:rPr>
                <w:rFonts w:ascii="Arial" w:hAnsi="Arial" w:cs="Arial"/>
                <w:color w:val="000000"/>
                <w:lang w:val="mk-MK"/>
              </w:rPr>
            </w:pPr>
          </w:p>
        </w:tc>
      </w:tr>
      <w:tr w:rsidR="00252BDE" w:rsidRPr="001E6526" w14:paraId="720E54B2" w14:textId="77777777" w:rsidTr="00A504C6">
        <w:trPr>
          <w:trHeight w:val="216"/>
        </w:trPr>
        <w:tc>
          <w:tcPr>
            <w:tcW w:w="2645" w:type="pct"/>
            <w:shd w:val="clear" w:color="auto" w:fill="auto"/>
            <w:tcMar>
              <w:left w:w="58" w:type="dxa"/>
              <w:right w:w="58" w:type="dxa"/>
            </w:tcMar>
            <w:vAlign w:val="center"/>
          </w:tcPr>
          <w:p w14:paraId="737BAC7B" w14:textId="0B4FDE95" w:rsidR="00252BDE" w:rsidRPr="00CE3053" w:rsidRDefault="005A48BF" w:rsidP="00252BDE">
            <w:pPr>
              <w:spacing w:after="0"/>
              <w:rPr>
                <w:rFonts w:ascii="Arial" w:hAnsi="Arial" w:cs="Arial"/>
                <w:b/>
                <w:bCs/>
                <w:color w:val="000000"/>
                <w:lang w:val="mk-MK"/>
              </w:rPr>
            </w:pPr>
            <w:proofErr w:type="spellStart"/>
            <w:r w:rsidRPr="005A48BF">
              <w:rPr>
                <w:rFonts w:ascii="Arial" w:hAnsi="Arial" w:cs="Arial"/>
                <w:b/>
                <w:bCs/>
                <w:color w:val="000000"/>
                <w:lang w:val="mk-MK"/>
              </w:rPr>
              <w:t>Net</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changes</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in</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cash</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and</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cash</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equivalents</w:t>
            </w:r>
            <w:proofErr w:type="spellEnd"/>
          </w:p>
        </w:tc>
        <w:tc>
          <w:tcPr>
            <w:tcW w:w="513" w:type="pct"/>
            <w:shd w:val="clear" w:color="auto" w:fill="auto"/>
            <w:tcMar>
              <w:left w:w="58" w:type="dxa"/>
              <w:right w:w="58" w:type="dxa"/>
            </w:tcMar>
            <w:vAlign w:val="bottom"/>
          </w:tcPr>
          <w:p w14:paraId="6A94DF58" w14:textId="77777777" w:rsidR="00252BDE" w:rsidRPr="00CE3053" w:rsidRDefault="00252BDE" w:rsidP="00252BDE">
            <w:pPr>
              <w:pStyle w:val="TableText"/>
              <w:spacing w:after="0"/>
              <w:jc w:val="center"/>
              <w:rPr>
                <w:rFonts w:ascii="Arial" w:hAnsi="Arial"/>
                <w:color w:val="000000"/>
                <w:sz w:val="18"/>
                <w:lang w:val="mk-MK"/>
              </w:rPr>
            </w:pPr>
          </w:p>
        </w:tc>
        <w:tc>
          <w:tcPr>
            <w:tcW w:w="995" w:type="pct"/>
            <w:shd w:val="clear" w:color="auto" w:fill="auto"/>
            <w:tcMar>
              <w:left w:w="58" w:type="dxa"/>
              <w:right w:w="58" w:type="dxa"/>
            </w:tcMar>
            <w:vAlign w:val="bottom"/>
          </w:tcPr>
          <w:p w14:paraId="6C492C20" w14:textId="24094EBE" w:rsidR="00252BDE" w:rsidRPr="001E6526" w:rsidRDefault="005D7A26" w:rsidP="00252BDE">
            <w:pPr>
              <w:spacing w:after="0"/>
              <w:jc w:val="right"/>
              <w:rPr>
                <w:rFonts w:ascii="Arial" w:hAnsi="Arial" w:cs="Arial"/>
                <w:color w:val="000000"/>
                <w:lang w:val="mk-MK"/>
              </w:rPr>
            </w:pPr>
            <w:r w:rsidRPr="001E6526">
              <w:rPr>
                <w:rFonts w:ascii="Arial" w:hAnsi="Arial" w:cs="Arial"/>
                <w:color w:val="000000"/>
                <w:lang w:val="mk-MK"/>
              </w:rPr>
              <w:t>(</w:t>
            </w:r>
            <w:r w:rsidR="00B22516" w:rsidRPr="001E6526">
              <w:rPr>
                <w:rFonts w:ascii="Arial" w:hAnsi="Arial" w:cs="Arial"/>
                <w:color w:val="000000"/>
                <w:lang w:val="mk-MK"/>
              </w:rPr>
              <w:t>193,321</w:t>
            </w:r>
            <w:r w:rsidRPr="001E6526">
              <w:rPr>
                <w:rFonts w:ascii="Arial" w:hAnsi="Arial" w:cs="Arial"/>
                <w:color w:val="000000"/>
                <w:lang w:val="mk-MK"/>
              </w:rPr>
              <w:t>)</w:t>
            </w:r>
          </w:p>
        </w:tc>
        <w:tc>
          <w:tcPr>
            <w:tcW w:w="847" w:type="pct"/>
            <w:shd w:val="clear" w:color="auto" w:fill="auto"/>
            <w:tcMar>
              <w:left w:w="58" w:type="dxa"/>
              <w:right w:w="58" w:type="dxa"/>
            </w:tcMar>
            <w:vAlign w:val="bottom"/>
          </w:tcPr>
          <w:p w14:paraId="4E2EBCD0" w14:textId="6F00A2F7" w:rsidR="00252BDE" w:rsidRPr="00CE3053" w:rsidRDefault="00252BDE" w:rsidP="00252BDE">
            <w:pPr>
              <w:spacing w:after="0"/>
              <w:jc w:val="right"/>
              <w:rPr>
                <w:rFonts w:ascii="Arial" w:hAnsi="Arial" w:cs="Arial"/>
                <w:color w:val="000000"/>
                <w:lang w:val="mk-MK"/>
              </w:rPr>
            </w:pPr>
            <w:r w:rsidRPr="00CE3053">
              <w:rPr>
                <w:rFonts w:ascii="Arial" w:hAnsi="Arial" w:cs="Arial"/>
                <w:color w:val="000000"/>
                <w:lang w:val="mk-MK"/>
              </w:rPr>
              <w:t>464,460</w:t>
            </w:r>
          </w:p>
        </w:tc>
      </w:tr>
      <w:tr w:rsidR="00252BDE" w:rsidRPr="001E6526" w14:paraId="6B9315A6" w14:textId="77777777" w:rsidTr="00A504C6">
        <w:trPr>
          <w:trHeight w:val="216"/>
        </w:trPr>
        <w:tc>
          <w:tcPr>
            <w:tcW w:w="2645" w:type="pct"/>
            <w:tcBorders>
              <w:bottom w:val="single" w:sz="4" w:space="0" w:color="auto"/>
            </w:tcBorders>
            <w:shd w:val="clear" w:color="auto" w:fill="auto"/>
            <w:tcMar>
              <w:left w:w="58" w:type="dxa"/>
              <w:right w:w="58" w:type="dxa"/>
            </w:tcMar>
            <w:vAlign w:val="center"/>
          </w:tcPr>
          <w:p w14:paraId="2AD42867" w14:textId="0E6E3F82" w:rsidR="00252BDE" w:rsidRPr="00CE3053" w:rsidRDefault="005A48BF" w:rsidP="00252BDE">
            <w:pPr>
              <w:spacing w:after="0"/>
              <w:rPr>
                <w:rFonts w:ascii="Arial" w:hAnsi="Arial" w:cs="Arial"/>
                <w:color w:val="000000"/>
                <w:lang w:val="mk-MK"/>
              </w:rPr>
            </w:pPr>
            <w:proofErr w:type="spellStart"/>
            <w:r w:rsidRPr="005A48BF">
              <w:rPr>
                <w:rFonts w:ascii="Arial" w:hAnsi="Arial" w:cs="Arial"/>
                <w:color w:val="000000"/>
                <w:lang w:val="mk-MK"/>
              </w:rPr>
              <w:t>Cash</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and</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cash</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equivalents</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at</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the</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beginning</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of</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the</w:t>
            </w:r>
            <w:proofErr w:type="spellEnd"/>
            <w:r w:rsidRPr="005A48BF">
              <w:rPr>
                <w:rFonts w:ascii="Arial" w:hAnsi="Arial" w:cs="Arial"/>
                <w:color w:val="000000"/>
                <w:lang w:val="mk-MK"/>
              </w:rPr>
              <w:t xml:space="preserve"> </w:t>
            </w:r>
            <w:proofErr w:type="spellStart"/>
            <w:r w:rsidRPr="005A48BF">
              <w:rPr>
                <w:rFonts w:ascii="Arial" w:hAnsi="Arial" w:cs="Arial"/>
                <w:color w:val="000000"/>
                <w:lang w:val="mk-MK"/>
              </w:rPr>
              <w:t>year</w:t>
            </w:r>
            <w:proofErr w:type="spellEnd"/>
          </w:p>
        </w:tc>
        <w:tc>
          <w:tcPr>
            <w:tcW w:w="513" w:type="pct"/>
            <w:tcBorders>
              <w:bottom w:val="single" w:sz="4" w:space="0" w:color="auto"/>
            </w:tcBorders>
            <w:shd w:val="clear" w:color="auto" w:fill="auto"/>
            <w:tcMar>
              <w:left w:w="58" w:type="dxa"/>
              <w:right w:w="58" w:type="dxa"/>
            </w:tcMar>
            <w:vAlign w:val="bottom"/>
          </w:tcPr>
          <w:p w14:paraId="281EB516" w14:textId="77777777" w:rsidR="00252BDE" w:rsidRPr="001E6526" w:rsidRDefault="00252BDE" w:rsidP="00252BDE">
            <w:pPr>
              <w:pStyle w:val="TableText"/>
              <w:spacing w:after="0"/>
              <w:jc w:val="center"/>
              <w:rPr>
                <w:rFonts w:ascii="Arial" w:hAnsi="Arial"/>
                <w:color w:val="000000"/>
                <w:sz w:val="18"/>
                <w:lang w:val="mk-MK"/>
              </w:rPr>
            </w:pPr>
            <w:r w:rsidRPr="001E6526">
              <w:rPr>
                <w:rFonts w:ascii="Arial" w:hAnsi="Arial"/>
                <w:color w:val="000000"/>
                <w:sz w:val="18"/>
                <w:lang w:val="mk-MK"/>
              </w:rPr>
              <w:t>13</w:t>
            </w:r>
          </w:p>
        </w:tc>
        <w:tc>
          <w:tcPr>
            <w:tcW w:w="995" w:type="pct"/>
            <w:tcBorders>
              <w:bottom w:val="single" w:sz="4" w:space="0" w:color="auto"/>
            </w:tcBorders>
            <w:shd w:val="clear" w:color="auto" w:fill="auto"/>
            <w:tcMar>
              <w:left w:w="58" w:type="dxa"/>
              <w:right w:w="58" w:type="dxa"/>
            </w:tcMar>
            <w:vAlign w:val="bottom"/>
          </w:tcPr>
          <w:p w14:paraId="3D15D347" w14:textId="7E84EAA7" w:rsidR="00252BDE" w:rsidRPr="001E6526" w:rsidRDefault="00B22516" w:rsidP="00252BDE">
            <w:pPr>
              <w:spacing w:after="0"/>
              <w:jc w:val="right"/>
              <w:rPr>
                <w:rFonts w:ascii="Arial" w:hAnsi="Arial" w:cs="Arial"/>
                <w:color w:val="000000"/>
                <w:lang w:val="mk-MK"/>
              </w:rPr>
            </w:pPr>
            <w:r w:rsidRPr="001E6526">
              <w:rPr>
                <w:rFonts w:ascii="Arial" w:hAnsi="Arial" w:cs="Arial"/>
                <w:color w:val="000000"/>
                <w:lang w:val="mk-MK"/>
              </w:rPr>
              <w:t>678,377</w:t>
            </w:r>
          </w:p>
        </w:tc>
        <w:tc>
          <w:tcPr>
            <w:tcW w:w="847" w:type="pct"/>
            <w:tcBorders>
              <w:bottom w:val="single" w:sz="4" w:space="0" w:color="auto"/>
            </w:tcBorders>
            <w:shd w:val="clear" w:color="auto" w:fill="auto"/>
            <w:tcMar>
              <w:left w:w="58" w:type="dxa"/>
              <w:right w:w="58" w:type="dxa"/>
            </w:tcMar>
            <w:vAlign w:val="bottom"/>
          </w:tcPr>
          <w:p w14:paraId="09570CCF" w14:textId="626BD3A9" w:rsidR="00252BDE" w:rsidRPr="00CE3053" w:rsidRDefault="00252BDE" w:rsidP="00252BDE">
            <w:pPr>
              <w:spacing w:after="0"/>
              <w:jc w:val="right"/>
              <w:rPr>
                <w:rFonts w:ascii="Arial" w:hAnsi="Arial" w:cs="Arial"/>
                <w:color w:val="000000"/>
                <w:lang w:val="mk-MK"/>
              </w:rPr>
            </w:pPr>
            <w:r w:rsidRPr="00CE3053">
              <w:rPr>
                <w:rFonts w:ascii="Arial" w:hAnsi="Arial" w:cs="Arial"/>
                <w:color w:val="000000"/>
                <w:lang w:val="mk-MK"/>
              </w:rPr>
              <w:t>213,917</w:t>
            </w:r>
          </w:p>
        </w:tc>
      </w:tr>
      <w:tr w:rsidR="00252BDE" w:rsidRPr="001E6526" w14:paraId="22C8DB27" w14:textId="77777777" w:rsidTr="00A504C6">
        <w:trPr>
          <w:trHeight w:val="216"/>
        </w:trPr>
        <w:tc>
          <w:tcPr>
            <w:tcW w:w="2645" w:type="pct"/>
            <w:tcBorders>
              <w:top w:val="single" w:sz="4" w:space="0" w:color="auto"/>
              <w:bottom w:val="double" w:sz="4" w:space="0" w:color="auto"/>
            </w:tcBorders>
            <w:shd w:val="clear" w:color="auto" w:fill="auto"/>
            <w:tcMar>
              <w:left w:w="58" w:type="dxa"/>
              <w:right w:w="58" w:type="dxa"/>
            </w:tcMar>
            <w:vAlign w:val="center"/>
          </w:tcPr>
          <w:p w14:paraId="04B260D8" w14:textId="6C53C8B1" w:rsidR="00252BDE" w:rsidRPr="00CE3053" w:rsidRDefault="005A48BF" w:rsidP="00252BDE">
            <w:pPr>
              <w:spacing w:after="0"/>
              <w:rPr>
                <w:rFonts w:ascii="Arial" w:hAnsi="Arial" w:cs="Arial"/>
                <w:b/>
                <w:bCs/>
                <w:color w:val="000000"/>
                <w:lang w:val="mk-MK"/>
              </w:rPr>
            </w:pPr>
            <w:proofErr w:type="spellStart"/>
            <w:r w:rsidRPr="005A48BF">
              <w:rPr>
                <w:rFonts w:ascii="Arial" w:hAnsi="Arial" w:cs="Arial"/>
                <w:b/>
                <w:bCs/>
                <w:color w:val="000000"/>
                <w:lang w:val="mk-MK"/>
              </w:rPr>
              <w:t>Cash</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and</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cash</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equivalents</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at</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the</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end</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of</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the</w:t>
            </w:r>
            <w:proofErr w:type="spellEnd"/>
            <w:r w:rsidRPr="005A48BF">
              <w:rPr>
                <w:rFonts w:ascii="Arial" w:hAnsi="Arial" w:cs="Arial"/>
                <w:b/>
                <w:bCs/>
                <w:color w:val="000000"/>
                <w:lang w:val="mk-MK"/>
              </w:rPr>
              <w:t xml:space="preserve"> </w:t>
            </w:r>
            <w:proofErr w:type="spellStart"/>
            <w:r w:rsidRPr="005A48BF">
              <w:rPr>
                <w:rFonts w:ascii="Arial" w:hAnsi="Arial" w:cs="Arial"/>
                <w:b/>
                <w:bCs/>
                <w:color w:val="000000"/>
                <w:lang w:val="mk-MK"/>
              </w:rPr>
              <w:t>year</w:t>
            </w:r>
            <w:proofErr w:type="spellEnd"/>
          </w:p>
        </w:tc>
        <w:tc>
          <w:tcPr>
            <w:tcW w:w="513" w:type="pct"/>
            <w:tcBorders>
              <w:top w:val="single" w:sz="4" w:space="0" w:color="auto"/>
              <w:bottom w:val="double" w:sz="4" w:space="0" w:color="auto"/>
            </w:tcBorders>
            <w:shd w:val="clear" w:color="auto" w:fill="auto"/>
            <w:tcMar>
              <w:left w:w="58" w:type="dxa"/>
              <w:right w:w="58" w:type="dxa"/>
            </w:tcMar>
            <w:vAlign w:val="bottom"/>
          </w:tcPr>
          <w:p w14:paraId="4A39E25C" w14:textId="77777777" w:rsidR="00252BDE" w:rsidRPr="001E6526" w:rsidRDefault="00252BDE" w:rsidP="00252BDE">
            <w:pPr>
              <w:pStyle w:val="TableText"/>
              <w:spacing w:after="0"/>
              <w:jc w:val="center"/>
              <w:rPr>
                <w:rFonts w:ascii="Arial" w:hAnsi="Arial"/>
                <w:b/>
                <w:color w:val="000000"/>
                <w:sz w:val="18"/>
                <w:lang w:val="mk-MK"/>
              </w:rPr>
            </w:pPr>
            <w:r w:rsidRPr="001E6526">
              <w:rPr>
                <w:rFonts w:ascii="Arial" w:hAnsi="Arial"/>
                <w:b/>
                <w:color w:val="000000"/>
                <w:sz w:val="18"/>
                <w:lang w:val="mk-MK"/>
              </w:rPr>
              <w:t>13</w:t>
            </w:r>
          </w:p>
        </w:tc>
        <w:tc>
          <w:tcPr>
            <w:tcW w:w="995" w:type="pct"/>
            <w:tcBorders>
              <w:top w:val="single" w:sz="4" w:space="0" w:color="auto"/>
              <w:bottom w:val="double" w:sz="4" w:space="0" w:color="auto"/>
            </w:tcBorders>
            <w:shd w:val="clear" w:color="auto" w:fill="auto"/>
            <w:tcMar>
              <w:left w:w="58" w:type="dxa"/>
              <w:right w:w="58" w:type="dxa"/>
            </w:tcMar>
            <w:vAlign w:val="bottom"/>
          </w:tcPr>
          <w:p w14:paraId="29ADBD7D" w14:textId="56F774D6" w:rsidR="00252BDE" w:rsidRPr="001E6526" w:rsidRDefault="00B22516" w:rsidP="00252BDE">
            <w:pPr>
              <w:spacing w:after="0"/>
              <w:jc w:val="right"/>
              <w:rPr>
                <w:rFonts w:ascii="Arial" w:hAnsi="Arial" w:cs="Arial"/>
                <w:b/>
                <w:bCs/>
                <w:color w:val="000000"/>
                <w:lang w:val="mk-MK"/>
              </w:rPr>
            </w:pPr>
            <w:r w:rsidRPr="001E6526">
              <w:rPr>
                <w:rFonts w:ascii="Arial" w:hAnsi="Arial" w:cs="Arial"/>
                <w:b/>
                <w:bCs/>
                <w:color w:val="000000"/>
                <w:lang w:val="mk-MK"/>
              </w:rPr>
              <w:t>485,056</w:t>
            </w:r>
          </w:p>
        </w:tc>
        <w:tc>
          <w:tcPr>
            <w:tcW w:w="847" w:type="pct"/>
            <w:tcBorders>
              <w:top w:val="single" w:sz="4" w:space="0" w:color="auto"/>
              <w:bottom w:val="double" w:sz="4" w:space="0" w:color="auto"/>
            </w:tcBorders>
            <w:shd w:val="clear" w:color="auto" w:fill="auto"/>
            <w:tcMar>
              <w:left w:w="58" w:type="dxa"/>
              <w:right w:w="58" w:type="dxa"/>
            </w:tcMar>
            <w:vAlign w:val="bottom"/>
          </w:tcPr>
          <w:p w14:paraId="094B24A1" w14:textId="73C6944C" w:rsidR="00252BDE" w:rsidRPr="00CE3053" w:rsidRDefault="00252BDE" w:rsidP="00252BDE">
            <w:pPr>
              <w:spacing w:after="0"/>
              <w:jc w:val="right"/>
              <w:rPr>
                <w:rFonts w:ascii="Arial" w:hAnsi="Arial" w:cs="Arial"/>
                <w:b/>
                <w:bCs/>
                <w:color w:val="000000"/>
                <w:lang w:val="mk-MK"/>
              </w:rPr>
            </w:pPr>
            <w:r w:rsidRPr="00CE3053">
              <w:rPr>
                <w:rFonts w:ascii="Arial" w:hAnsi="Arial" w:cs="Arial"/>
                <w:b/>
                <w:bCs/>
                <w:color w:val="000000"/>
                <w:lang w:val="mk-MK"/>
              </w:rPr>
              <w:t>678,377</w:t>
            </w:r>
          </w:p>
        </w:tc>
      </w:tr>
      <w:bookmarkEnd w:id="1"/>
    </w:tbl>
    <w:p w14:paraId="0E8C3685" w14:textId="77777777" w:rsidR="00BF38DF" w:rsidRPr="00CE3053" w:rsidRDefault="00BF38DF" w:rsidP="00BF38DF">
      <w:pPr>
        <w:pStyle w:val="BodyText"/>
        <w:rPr>
          <w:rFonts w:asciiTheme="majorHAnsi" w:hAnsiTheme="majorHAnsi" w:cstheme="majorHAnsi"/>
          <w:lang w:val="mk-MK"/>
        </w:rPr>
        <w:sectPr w:rsidR="00BF38DF" w:rsidRPr="00CE3053" w:rsidSect="001F52F9">
          <w:headerReference w:type="even" r:id="rId17"/>
          <w:headerReference w:type="default" r:id="rId18"/>
          <w:footerReference w:type="default" r:id="rId19"/>
          <w:headerReference w:type="first" r:id="rId20"/>
          <w:pgSz w:w="11906" w:h="16838" w:code="9"/>
          <w:pgMar w:top="1985" w:right="737" w:bottom="1134" w:left="2608" w:header="709" w:footer="567" w:gutter="0"/>
          <w:cols w:space="708"/>
          <w:docGrid w:linePitch="360"/>
        </w:sectPr>
      </w:pPr>
    </w:p>
    <w:p w14:paraId="34144D81" w14:textId="259E20D0" w:rsidR="00BF38DF" w:rsidRPr="00CE1BE5" w:rsidRDefault="00CE1BE5" w:rsidP="00BF38DF">
      <w:pPr>
        <w:pStyle w:val="SectionTitle"/>
        <w:framePr w:wrap="around"/>
        <w:rPr>
          <w:color w:val="4F2D7F"/>
          <w:sz w:val="36"/>
          <w:szCs w:val="36"/>
          <w:lang w:val="en-US"/>
        </w:rPr>
      </w:pPr>
      <w:r>
        <w:rPr>
          <w:color w:val="4F2D7F"/>
          <w:sz w:val="36"/>
          <w:szCs w:val="36"/>
          <w:lang w:val="en-US"/>
        </w:rPr>
        <w:lastRenderedPageBreak/>
        <w:t>Notes to the financial statements</w:t>
      </w:r>
    </w:p>
    <w:p w14:paraId="09EE28C1" w14:textId="31324D2C" w:rsidR="00BF38DF" w:rsidRPr="00CE3053" w:rsidRDefault="00120851" w:rsidP="006E26B2">
      <w:pPr>
        <w:pStyle w:val="Heading3"/>
        <w:numPr>
          <w:ilvl w:val="0"/>
          <w:numId w:val="21"/>
        </w:numPr>
        <w:ind w:hanging="720"/>
        <w:rPr>
          <w:rFonts w:asciiTheme="majorHAnsi" w:hAnsiTheme="majorHAnsi" w:cstheme="majorHAnsi"/>
          <w:lang w:val="mk-MK"/>
        </w:rPr>
      </w:pPr>
      <w:r>
        <w:rPr>
          <w:rFonts w:asciiTheme="majorHAnsi" w:hAnsiTheme="majorHAnsi" w:cstheme="majorHAnsi"/>
          <w:lang w:val="en-US"/>
        </w:rPr>
        <w:t>General</w:t>
      </w:r>
    </w:p>
    <w:p w14:paraId="7AAF5970" w14:textId="0B9C7C0C" w:rsidR="004F415F" w:rsidRPr="001E6526" w:rsidRDefault="00966102" w:rsidP="004F415F">
      <w:pPr>
        <w:pStyle w:val="BodyText"/>
        <w:jc w:val="both"/>
        <w:rPr>
          <w:rFonts w:ascii="Arial" w:hAnsi="Arial" w:cs="Arial"/>
          <w:lang w:val="mk-MK"/>
        </w:rPr>
      </w:pPr>
      <w:proofErr w:type="spellStart"/>
      <w:r w:rsidRPr="00966102">
        <w:rPr>
          <w:rFonts w:ascii="Arial" w:hAnsi="Arial" w:cs="Arial"/>
          <w:lang w:val="mk-MK"/>
        </w:rPr>
        <w:t>Deposit</w:t>
      </w:r>
      <w:proofErr w:type="spellEnd"/>
      <w:r w:rsidRPr="00966102">
        <w:rPr>
          <w:rFonts w:ascii="Arial" w:hAnsi="Arial" w:cs="Arial"/>
          <w:lang w:val="mk-MK"/>
        </w:rPr>
        <w:t xml:space="preserve"> </w:t>
      </w:r>
      <w:proofErr w:type="spellStart"/>
      <w:r w:rsidRPr="00966102">
        <w:rPr>
          <w:rFonts w:ascii="Arial" w:hAnsi="Arial" w:cs="Arial"/>
          <w:lang w:val="mk-MK"/>
        </w:rPr>
        <w:t>Insurance</w:t>
      </w:r>
      <w:proofErr w:type="spellEnd"/>
      <w:r w:rsidRPr="00966102">
        <w:rPr>
          <w:rFonts w:ascii="Arial" w:hAnsi="Arial" w:cs="Arial"/>
          <w:lang w:val="mk-MK"/>
        </w:rPr>
        <w:t xml:space="preserve"> </w:t>
      </w:r>
      <w:proofErr w:type="spellStart"/>
      <w:r w:rsidRPr="00966102">
        <w:rPr>
          <w:rFonts w:ascii="Arial" w:hAnsi="Arial" w:cs="Arial"/>
          <w:lang w:val="mk-MK"/>
        </w:rPr>
        <w:t>Fund</w:t>
      </w:r>
      <w:proofErr w:type="spellEnd"/>
      <w:r w:rsidRPr="00966102">
        <w:rPr>
          <w:rFonts w:ascii="Arial" w:hAnsi="Arial" w:cs="Arial"/>
          <w:lang w:val="mk-MK"/>
        </w:rPr>
        <w:t xml:space="preserve"> Skopje (</w:t>
      </w:r>
      <w:proofErr w:type="spellStart"/>
      <w:r w:rsidRPr="00966102">
        <w:rPr>
          <w:rFonts w:ascii="Arial" w:hAnsi="Arial" w:cs="Arial"/>
          <w:lang w:val="mk-MK"/>
        </w:rPr>
        <w:t>further</w:t>
      </w:r>
      <w:proofErr w:type="spellEnd"/>
      <w:r w:rsidRPr="00966102">
        <w:rPr>
          <w:rFonts w:ascii="Arial" w:hAnsi="Arial" w:cs="Arial"/>
          <w:lang w:val="mk-MK"/>
        </w:rPr>
        <w:t xml:space="preserve"> </w:t>
      </w:r>
      <w:proofErr w:type="spellStart"/>
      <w:r w:rsidRPr="00966102">
        <w:rPr>
          <w:rFonts w:ascii="Arial" w:hAnsi="Arial" w:cs="Arial"/>
          <w:lang w:val="mk-MK"/>
        </w:rPr>
        <w:t>referred</w:t>
      </w:r>
      <w:proofErr w:type="spellEnd"/>
      <w:r w:rsidRPr="00966102">
        <w:rPr>
          <w:rFonts w:ascii="Arial" w:hAnsi="Arial" w:cs="Arial"/>
          <w:lang w:val="mk-MK"/>
        </w:rPr>
        <w:t xml:space="preserve"> </w:t>
      </w:r>
      <w:proofErr w:type="spellStart"/>
      <w:r w:rsidRPr="00966102">
        <w:rPr>
          <w:rFonts w:ascii="Arial" w:hAnsi="Arial" w:cs="Arial"/>
          <w:lang w:val="mk-MK"/>
        </w:rPr>
        <w:t>to</w:t>
      </w:r>
      <w:proofErr w:type="spellEnd"/>
      <w:r w:rsidRPr="00966102">
        <w:rPr>
          <w:rFonts w:ascii="Arial" w:hAnsi="Arial" w:cs="Arial"/>
          <w:lang w:val="mk-MK"/>
        </w:rPr>
        <w:t xml:space="preserve"> </w:t>
      </w:r>
      <w:proofErr w:type="spellStart"/>
      <w:r w:rsidRPr="00966102">
        <w:rPr>
          <w:rFonts w:ascii="Arial" w:hAnsi="Arial" w:cs="Arial"/>
          <w:lang w:val="mk-MK"/>
        </w:rPr>
        <w:t>as</w:t>
      </w:r>
      <w:proofErr w:type="spellEnd"/>
      <w:r w:rsidRPr="00966102">
        <w:rPr>
          <w:rFonts w:ascii="Arial" w:hAnsi="Arial" w:cs="Arial"/>
          <w:lang w:val="mk-MK"/>
        </w:rPr>
        <w:t xml:space="preserve"> “</w:t>
      </w:r>
      <w:proofErr w:type="spellStart"/>
      <w:r w:rsidRPr="00966102">
        <w:rPr>
          <w:rFonts w:ascii="Arial" w:hAnsi="Arial" w:cs="Arial"/>
          <w:lang w:val="mk-MK"/>
        </w:rPr>
        <w:t>the</w:t>
      </w:r>
      <w:proofErr w:type="spellEnd"/>
      <w:r w:rsidRPr="00966102">
        <w:rPr>
          <w:rFonts w:ascii="Arial" w:hAnsi="Arial" w:cs="Arial"/>
          <w:lang w:val="mk-MK"/>
        </w:rPr>
        <w:t xml:space="preserve"> </w:t>
      </w:r>
      <w:proofErr w:type="spellStart"/>
      <w:r w:rsidRPr="00966102">
        <w:rPr>
          <w:rFonts w:ascii="Arial" w:hAnsi="Arial" w:cs="Arial"/>
          <w:lang w:val="mk-MK"/>
        </w:rPr>
        <w:t>Fund</w:t>
      </w:r>
      <w:proofErr w:type="spellEnd"/>
      <w:r w:rsidRPr="00966102">
        <w:rPr>
          <w:rFonts w:ascii="Arial" w:hAnsi="Arial" w:cs="Arial"/>
          <w:lang w:val="mk-MK"/>
        </w:rPr>
        <w:t xml:space="preserve">”) </w:t>
      </w:r>
      <w:proofErr w:type="spellStart"/>
      <w:r w:rsidRPr="00966102">
        <w:rPr>
          <w:rFonts w:ascii="Arial" w:hAnsi="Arial" w:cs="Arial"/>
          <w:lang w:val="mk-MK"/>
        </w:rPr>
        <w:t>is</w:t>
      </w:r>
      <w:proofErr w:type="spellEnd"/>
      <w:r w:rsidRPr="00966102">
        <w:rPr>
          <w:rFonts w:ascii="Arial" w:hAnsi="Arial" w:cs="Arial"/>
          <w:lang w:val="mk-MK"/>
        </w:rPr>
        <w:t xml:space="preserve"> </w:t>
      </w:r>
      <w:proofErr w:type="spellStart"/>
      <w:r w:rsidRPr="00966102">
        <w:rPr>
          <w:rFonts w:ascii="Arial" w:hAnsi="Arial" w:cs="Arial"/>
          <w:lang w:val="mk-MK"/>
        </w:rPr>
        <w:t>established</w:t>
      </w:r>
      <w:proofErr w:type="spellEnd"/>
      <w:r w:rsidRPr="00966102">
        <w:rPr>
          <w:rFonts w:ascii="Arial" w:hAnsi="Arial" w:cs="Arial"/>
          <w:lang w:val="mk-MK"/>
        </w:rPr>
        <w:t xml:space="preserve"> </w:t>
      </w:r>
      <w:proofErr w:type="spellStart"/>
      <w:r w:rsidRPr="00966102">
        <w:rPr>
          <w:rFonts w:ascii="Arial" w:hAnsi="Arial" w:cs="Arial"/>
          <w:lang w:val="mk-MK"/>
        </w:rPr>
        <w:t>pursuant</w:t>
      </w:r>
      <w:proofErr w:type="spellEnd"/>
      <w:r w:rsidRPr="00966102">
        <w:rPr>
          <w:rFonts w:ascii="Arial" w:hAnsi="Arial" w:cs="Arial"/>
          <w:lang w:val="mk-MK"/>
        </w:rPr>
        <w:t xml:space="preserve"> </w:t>
      </w:r>
      <w:proofErr w:type="spellStart"/>
      <w:r w:rsidRPr="00966102">
        <w:rPr>
          <w:rFonts w:ascii="Arial" w:hAnsi="Arial" w:cs="Arial"/>
          <w:lang w:val="mk-MK"/>
        </w:rPr>
        <w:t>to</w:t>
      </w:r>
      <w:proofErr w:type="spellEnd"/>
      <w:r w:rsidRPr="00966102">
        <w:rPr>
          <w:rFonts w:ascii="Arial" w:hAnsi="Arial" w:cs="Arial"/>
          <w:lang w:val="mk-MK"/>
        </w:rPr>
        <w:t xml:space="preserve"> </w:t>
      </w:r>
      <w:proofErr w:type="spellStart"/>
      <w:r w:rsidRPr="00966102">
        <w:rPr>
          <w:rFonts w:ascii="Arial" w:hAnsi="Arial" w:cs="Arial"/>
          <w:lang w:val="mk-MK"/>
        </w:rPr>
        <w:t>the</w:t>
      </w:r>
      <w:proofErr w:type="spellEnd"/>
      <w:r w:rsidRPr="00966102">
        <w:rPr>
          <w:rFonts w:ascii="Arial" w:hAnsi="Arial" w:cs="Arial"/>
          <w:lang w:val="mk-MK"/>
        </w:rPr>
        <w:t xml:space="preserve"> </w:t>
      </w:r>
      <w:proofErr w:type="spellStart"/>
      <w:r w:rsidRPr="00966102">
        <w:rPr>
          <w:rFonts w:ascii="Arial" w:hAnsi="Arial" w:cs="Arial"/>
          <w:lang w:val="mk-MK"/>
        </w:rPr>
        <w:t>Law</w:t>
      </w:r>
      <w:proofErr w:type="spellEnd"/>
      <w:r w:rsidRPr="00966102">
        <w:rPr>
          <w:rFonts w:ascii="Arial" w:hAnsi="Arial" w:cs="Arial"/>
          <w:lang w:val="mk-MK"/>
        </w:rPr>
        <w:t xml:space="preserve"> </w:t>
      </w:r>
      <w:proofErr w:type="spellStart"/>
      <w:r w:rsidRPr="00966102">
        <w:rPr>
          <w:rFonts w:ascii="Arial" w:hAnsi="Arial" w:cs="Arial"/>
          <w:lang w:val="mk-MK"/>
        </w:rPr>
        <w:t>on</w:t>
      </w:r>
      <w:proofErr w:type="spellEnd"/>
      <w:r w:rsidRPr="00966102">
        <w:rPr>
          <w:rFonts w:ascii="Arial" w:hAnsi="Arial" w:cs="Arial"/>
          <w:lang w:val="mk-MK"/>
        </w:rPr>
        <w:t xml:space="preserve"> </w:t>
      </w:r>
      <w:proofErr w:type="spellStart"/>
      <w:r w:rsidRPr="00966102">
        <w:rPr>
          <w:rFonts w:ascii="Arial" w:hAnsi="Arial" w:cs="Arial"/>
          <w:lang w:val="mk-MK"/>
        </w:rPr>
        <w:t>Deposit</w:t>
      </w:r>
      <w:proofErr w:type="spellEnd"/>
      <w:r w:rsidRPr="00966102">
        <w:rPr>
          <w:rFonts w:ascii="Arial" w:hAnsi="Arial" w:cs="Arial"/>
          <w:lang w:val="mk-MK"/>
        </w:rPr>
        <w:t xml:space="preserve"> </w:t>
      </w:r>
      <w:proofErr w:type="spellStart"/>
      <w:r w:rsidRPr="00966102">
        <w:rPr>
          <w:rFonts w:ascii="Arial" w:hAnsi="Arial" w:cs="Arial"/>
          <w:lang w:val="mk-MK"/>
        </w:rPr>
        <w:t>Insurance</w:t>
      </w:r>
      <w:proofErr w:type="spellEnd"/>
      <w:r w:rsidRPr="00966102">
        <w:rPr>
          <w:rFonts w:ascii="Arial" w:hAnsi="Arial" w:cs="Arial"/>
          <w:lang w:val="mk-MK"/>
        </w:rPr>
        <w:t xml:space="preserve"> </w:t>
      </w:r>
      <w:proofErr w:type="spellStart"/>
      <w:r w:rsidRPr="00966102">
        <w:rPr>
          <w:rFonts w:ascii="Arial" w:hAnsi="Arial" w:cs="Arial"/>
          <w:lang w:val="mk-MK"/>
        </w:rPr>
        <w:t>Fund</w:t>
      </w:r>
      <w:proofErr w:type="spellEnd"/>
      <w:r w:rsidRPr="00966102">
        <w:rPr>
          <w:rFonts w:ascii="Arial" w:hAnsi="Arial" w:cs="Arial"/>
          <w:lang w:val="mk-MK"/>
        </w:rPr>
        <w:t xml:space="preserve"> </w:t>
      </w:r>
      <w:r w:rsidR="004F415F" w:rsidRPr="00CE3053">
        <w:rPr>
          <w:rFonts w:ascii="Arial" w:hAnsi="Arial" w:cs="Arial"/>
          <w:lang w:val="mk-MK"/>
        </w:rPr>
        <w:t>(</w:t>
      </w:r>
      <w:proofErr w:type="spellStart"/>
      <w:r w:rsidRPr="00966102">
        <w:rPr>
          <w:rFonts w:ascii="Arial" w:hAnsi="Arial" w:cs="Arial"/>
          <w:lang w:val="mk-MK"/>
        </w:rPr>
        <w:t>Official</w:t>
      </w:r>
      <w:proofErr w:type="spellEnd"/>
      <w:r w:rsidRPr="00966102">
        <w:rPr>
          <w:rFonts w:ascii="Arial" w:hAnsi="Arial" w:cs="Arial"/>
          <w:lang w:val="mk-MK"/>
        </w:rPr>
        <w:t xml:space="preserve"> </w:t>
      </w:r>
      <w:proofErr w:type="spellStart"/>
      <w:r w:rsidRPr="00966102">
        <w:rPr>
          <w:rFonts w:ascii="Arial" w:hAnsi="Arial" w:cs="Arial"/>
          <w:lang w:val="mk-MK"/>
        </w:rPr>
        <w:t>Gazette</w:t>
      </w:r>
      <w:proofErr w:type="spellEnd"/>
      <w:r w:rsidRPr="00966102">
        <w:rPr>
          <w:rFonts w:ascii="Arial" w:hAnsi="Arial" w:cs="Arial"/>
          <w:lang w:val="mk-MK"/>
        </w:rPr>
        <w:t xml:space="preserve"> </w:t>
      </w:r>
      <w:proofErr w:type="spellStart"/>
      <w:r w:rsidRPr="00966102">
        <w:rPr>
          <w:rFonts w:ascii="Arial" w:hAnsi="Arial" w:cs="Arial"/>
          <w:lang w:val="mk-MK"/>
        </w:rPr>
        <w:t>of</w:t>
      </w:r>
      <w:proofErr w:type="spellEnd"/>
      <w:r w:rsidRPr="00966102">
        <w:rPr>
          <w:rFonts w:ascii="Arial" w:hAnsi="Arial" w:cs="Arial"/>
          <w:lang w:val="mk-MK"/>
        </w:rPr>
        <w:t xml:space="preserve"> </w:t>
      </w:r>
      <w:proofErr w:type="spellStart"/>
      <w:r w:rsidRPr="00966102">
        <w:rPr>
          <w:rFonts w:ascii="Arial" w:hAnsi="Arial" w:cs="Arial"/>
          <w:lang w:val="mk-MK"/>
        </w:rPr>
        <w:t>the</w:t>
      </w:r>
      <w:proofErr w:type="spellEnd"/>
      <w:r w:rsidRPr="00966102">
        <w:rPr>
          <w:rFonts w:ascii="Arial" w:hAnsi="Arial" w:cs="Arial"/>
          <w:lang w:val="mk-MK"/>
        </w:rPr>
        <w:t xml:space="preserve"> </w:t>
      </w:r>
      <w:proofErr w:type="spellStart"/>
      <w:r w:rsidRPr="00966102">
        <w:rPr>
          <w:rFonts w:ascii="Arial" w:hAnsi="Arial" w:cs="Arial"/>
          <w:lang w:val="mk-MK"/>
        </w:rPr>
        <w:t>Republic</w:t>
      </w:r>
      <w:proofErr w:type="spellEnd"/>
      <w:r w:rsidRPr="00966102">
        <w:rPr>
          <w:rFonts w:ascii="Arial" w:hAnsi="Arial" w:cs="Arial"/>
          <w:lang w:val="mk-MK"/>
        </w:rPr>
        <w:t xml:space="preserve"> </w:t>
      </w:r>
      <w:proofErr w:type="spellStart"/>
      <w:r w:rsidRPr="00966102">
        <w:rPr>
          <w:rFonts w:ascii="Arial" w:hAnsi="Arial" w:cs="Arial"/>
          <w:lang w:val="mk-MK"/>
        </w:rPr>
        <w:t>of</w:t>
      </w:r>
      <w:proofErr w:type="spellEnd"/>
      <w:r w:rsidRPr="00966102">
        <w:rPr>
          <w:rFonts w:ascii="Arial" w:hAnsi="Arial" w:cs="Arial"/>
          <w:lang w:val="mk-MK"/>
        </w:rPr>
        <w:t xml:space="preserve"> </w:t>
      </w:r>
      <w:proofErr w:type="spellStart"/>
      <w:r w:rsidRPr="00966102">
        <w:rPr>
          <w:rFonts w:ascii="Arial" w:hAnsi="Arial" w:cs="Arial"/>
          <w:lang w:val="mk-MK"/>
        </w:rPr>
        <w:t>Macedonia</w:t>
      </w:r>
      <w:proofErr w:type="spellEnd"/>
      <w:r w:rsidRPr="00966102">
        <w:rPr>
          <w:rFonts w:ascii="Arial" w:hAnsi="Arial" w:cs="Arial"/>
          <w:lang w:val="mk-MK"/>
        </w:rPr>
        <w:t xml:space="preserve"> </w:t>
      </w:r>
      <w:proofErr w:type="spellStart"/>
      <w:r w:rsidRPr="00966102">
        <w:rPr>
          <w:rFonts w:ascii="Arial" w:hAnsi="Arial" w:cs="Arial"/>
          <w:lang w:val="mk-MK"/>
        </w:rPr>
        <w:t>No</w:t>
      </w:r>
      <w:proofErr w:type="spellEnd"/>
      <w:r w:rsidRPr="00966102">
        <w:rPr>
          <w:rFonts w:ascii="Arial" w:hAnsi="Arial" w:cs="Arial"/>
          <w:lang w:val="mk-MK"/>
        </w:rPr>
        <w:t xml:space="preserve">. </w:t>
      </w:r>
      <w:r w:rsidR="004F415F" w:rsidRPr="00CE3053">
        <w:rPr>
          <w:rFonts w:ascii="Arial" w:hAnsi="Arial" w:cs="Arial"/>
          <w:lang w:val="mk-MK"/>
        </w:rPr>
        <w:t>63/2000, 29/2002, 49/2003, 81/2008, 158/2010, 43/2014, 15/2015, 27/2016</w:t>
      </w:r>
      <w:r>
        <w:rPr>
          <w:rFonts w:ascii="Arial" w:hAnsi="Arial" w:cs="Arial"/>
          <w:lang w:val="en-US"/>
        </w:rPr>
        <w:t xml:space="preserve"> and</w:t>
      </w:r>
      <w:r w:rsidR="004F415F" w:rsidRPr="001E6526">
        <w:rPr>
          <w:rFonts w:ascii="Arial" w:hAnsi="Arial" w:cs="Arial"/>
          <w:lang w:val="mk-MK"/>
        </w:rPr>
        <w:t xml:space="preserve"> 83/2018</w:t>
      </w:r>
      <w:r w:rsidR="004F415F" w:rsidRPr="00CE3053">
        <w:rPr>
          <w:rFonts w:ascii="Arial" w:hAnsi="Arial" w:cs="Arial"/>
          <w:lang w:val="mk-MK"/>
        </w:rPr>
        <w:t xml:space="preserve">). </w:t>
      </w:r>
      <w:proofErr w:type="spellStart"/>
      <w:r w:rsidR="00C00726" w:rsidRPr="00C00726">
        <w:rPr>
          <w:rFonts w:ascii="Arial" w:hAnsi="Arial" w:cs="Arial"/>
          <w:lang w:val="mk-MK"/>
        </w:rPr>
        <w:t>Based</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on</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the</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Decision</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No</w:t>
      </w:r>
      <w:proofErr w:type="spellEnd"/>
      <w:r w:rsidR="00C00726" w:rsidRPr="00C00726">
        <w:rPr>
          <w:rFonts w:ascii="Arial" w:hAnsi="Arial" w:cs="Arial"/>
          <w:lang w:val="mk-MK"/>
        </w:rPr>
        <w:t xml:space="preserve">. 02-176/1 </w:t>
      </w:r>
      <w:proofErr w:type="spellStart"/>
      <w:r w:rsidR="00C00726" w:rsidRPr="00C00726">
        <w:rPr>
          <w:rFonts w:ascii="Arial" w:hAnsi="Arial" w:cs="Arial"/>
          <w:lang w:val="mk-MK"/>
        </w:rPr>
        <w:t>by</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the</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Fund’s</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Managing</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Board</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issued</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on</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June</w:t>
      </w:r>
      <w:proofErr w:type="spellEnd"/>
      <w:r w:rsidR="00C00726" w:rsidRPr="00C00726">
        <w:rPr>
          <w:rFonts w:ascii="Arial" w:hAnsi="Arial" w:cs="Arial"/>
          <w:lang w:val="mk-MK"/>
        </w:rPr>
        <w:t xml:space="preserve"> 26, 2014, </w:t>
      </w:r>
      <w:proofErr w:type="spellStart"/>
      <w:r w:rsidR="00C00726" w:rsidRPr="00C00726">
        <w:rPr>
          <w:rFonts w:ascii="Arial" w:hAnsi="Arial" w:cs="Arial"/>
          <w:lang w:val="mk-MK"/>
        </w:rPr>
        <w:t>the</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Statute</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of</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the</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Deposit</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Insurance</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Fund</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Official</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Gazette</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of</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the</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Republic</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of</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Macedonia</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no</w:t>
      </w:r>
      <w:proofErr w:type="spellEnd"/>
      <w:r w:rsidR="004F415F" w:rsidRPr="00CE3053">
        <w:rPr>
          <w:rFonts w:ascii="Arial" w:hAnsi="Arial" w:cs="Arial"/>
          <w:lang w:val="mk-MK"/>
        </w:rPr>
        <w:t xml:space="preserve">. </w:t>
      </w:r>
      <w:r w:rsidR="004F415F" w:rsidRPr="001E6526">
        <w:rPr>
          <w:rFonts w:ascii="Arial" w:hAnsi="Arial" w:cs="Arial"/>
          <w:lang w:val="mk-MK"/>
        </w:rPr>
        <w:t xml:space="preserve">46/01, 68/02, 31/03, 69/03, 69/03, 69/12, 102/14 </w:t>
      </w:r>
      <w:r w:rsidR="00C00726">
        <w:rPr>
          <w:rFonts w:ascii="Arial" w:hAnsi="Arial" w:cs="Arial"/>
          <w:lang w:val="en-US"/>
        </w:rPr>
        <w:t>and</w:t>
      </w:r>
      <w:r w:rsidR="004F415F" w:rsidRPr="001E6526">
        <w:rPr>
          <w:rFonts w:ascii="Arial" w:hAnsi="Arial" w:cs="Arial"/>
          <w:lang w:val="mk-MK"/>
        </w:rPr>
        <w:t xml:space="preserve"> 54/15</w:t>
      </w:r>
      <w:r w:rsidR="004F415F" w:rsidRPr="00CE3053">
        <w:rPr>
          <w:rFonts w:ascii="Arial" w:hAnsi="Arial" w:cs="Arial"/>
          <w:lang w:val="mk-MK"/>
        </w:rPr>
        <w:t xml:space="preserve">) </w:t>
      </w:r>
      <w:proofErr w:type="spellStart"/>
      <w:r w:rsidR="00C00726" w:rsidRPr="00C00726">
        <w:rPr>
          <w:rFonts w:ascii="Arial" w:hAnsi="Arial" w:cs="Arial"/>
          <w:lang w:val="mk-MK"/>
        </w:rPr>
        <w:t>the</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word</w:t>
      </w:r>
      <w:proofErr w:type="spellEnd"/>
      <w:r w:rsidR="00C00726" w:rsidRPr="00C00726">
        <w:rPr>
          <w:rFonts w:ascii="Arial" w:hAnsi="Arial" w:cs="Arial"/>
          <w:lang w:val="mk-MK"/>
        </w:rPr>
        <w:t xml:space="preserve"> "Skopje" </w:t>
      </w:r>
      <w:proofErr w:type="spellStart"/>
      <w:r w:rsidR="00C00726" w:rsidRPr="00C00726">
        <w:rPr>
          <w:rFonts w:ascii="Arial" w:hAnsi="Arial" w:cs="Arial"/>
          <w:lang w:val="mk-MK"/>
        </w:rPr>
        <w:t>in</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the</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title</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is</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deleted</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The</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Founder</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is</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the</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Republic</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of</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North</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Macedonia</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The</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address</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of</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its</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registered</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office</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is</w:t>
      </w:r>
      <w:proofErr w:type="spellEnd"/>
      <w:r w:rsidR="00C00726" w:rsidRPr="00C00726">
        <w:rPr>
          <w:rFonts w:ascii="Arial" w:hAnsi="Arial" w:cs="Arial"/>
          <w:lang w:val="mk-MK"/>
        </w:rPr>
        <w:t xml:space="preserve"> 11 </w:t>
      </w:r>
      <w:proofErr w:type="spellStart"/>
      <w:r w:rsidR="00C00726" w:rsidRPr="00C00726">
        <w:rPr>
          <w:rFonts w:ascii="Arial" w:hAnsi="Arial" w:cs="Arial"/>
          <w:lang w:val="mk-MK"/>
        </w:rPr>
        <w:t>Oktomvri</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No</w:t>
      </w:r>
      <w:proofErr w:type="spellEnd"/>
      <w:r w:rsidR="00C00726" w:rsidRPr="00C00726">
        <w:rPr>
          <w:rFonts w:ascii="Arial" w:hAnsi="Arial" w:cs="Arial"/>
          <w:lang w:val="mk-MK"/>
        </w:rPr>
        <w:t xml:space="preserve">. 18, Skopje. </w:t>
      </w:r>
      <w:proofErr w:type="spellStart"/>
      <w:r w:rsidR="00C00726" w:rsidRPr="00C00726">
        <w:rPr>
          <w:rFonts w:ascii="Arial" w:hAnsi="Arial" w:cs="Arial"/>
          <w:lang w:val="mk-MK"/>
        </w:rPr>
        <w:t>The</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total</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number</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of</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Fund’s</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employees</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as</w:t>
      </w:r>
      <w:proofErr w:type="spellEnd"/>
      <w:r w:rsidR="00C00726" w:rsidRPr="00C00726">
        <w:rPr>
          <w:rFonts w:ascii="Arial" w:hAnsi="Arial" w:cs="Arial"/>
          <w:lang w:val="mk-MK"/>
        </w:rPr>
        <w:t xml:space="preserve"> </w:t>
      </w:r>
      <w:proofErr w:type="spellStart"/>
      <w:r w:rsidR="00C00726" w:rsidRPr="00C00726">
        <w:rPr>
          <w:rFonts w:ascii="Arial" w:hAnsi="Arial" w:cs="Arial"/>
          <w:lang w:val="mk-MK"/>
        </w:rPr>
        <w:t>of</w:t>
      </w:r>
      <w:proofErr w:type="spellEnd"/>
      <w:r w:rsidR="00C00726" w:rsidRPr="00C00726">
        <w:rPr>
          <w:rFonts w:ascii="Arial" w:hAnsi="Arial" w:cs="Arial"/>
          <w:lang w:val="mk-MK"/>
        </w:rPr>
        <w:t xml:space="preserve"> 31 </w:t>
      </w:r>
      <w:proofErr w:type="spellStart"/>
      <w:r w:rsidR="00C00726" w:rsidRPr="00C00726">
        <w:rPr>
          <w:rFonts w:ascii="Arial" w:hAnsi="Arial" w:cs="Arial"/>
          <w:lang w:val="mk-MK"/>
        </w:rPr>
        <w:t>December</w:t>
      </w:r>
      <w:proofErr w:type="spellEnd"/>
      <w:r w:rsidR="004F415F" w:rsidRPr="00CE3053">
        <w:rPr>
          <w:rFonts w:ascii="Arial" w:hAnsi="Arial" w:cs="Arial"/>
          <w:lang w:val="mk-MK"/>
        </w:rPr>
        <w:t xml:space="preserve"> 202</w:t>
      </w:r>
      <w:r w:rsidR="004F415F" w:rsidRPr="001E6526">
        <w:rPr>
          <w:rFonts w:ascii="Arial" w:hAnsi="Arial" w:cs="Arial"/>
          <w:lang w:val="mk-MK"/>
        </w:rPr>
        <w:t>1</w:t>
      </w:r>
      <w:r w:rsidR="004F415F" w:rsidRPr="00CE3053">
        <w:rPr>
          <w:rFonts w:ascii="Arial" w:hAnsi="Arial" w:cs="Arial"/>
          <w:lang w:val="mk-MK"/>
        </w:rPr>
        <w:t xml:space="preserve"> </w:t>
      </w:r>
      <w:r w:rsidR="00C00726">
        <w:rPr>
          <w:rFonts w:ascii="Arial" w:hAnsi="Arial" w:cs="Arial"/>
          <w:lang w:val="en-US"/>
        </w:rPr>
        <w:t xml:space="preserve">is </w:t>
      </w:r>
      <w:r w:rsidR="004F415F" w:rsidRPr="00CE3053">
        <w:rPr>
          <w:rFonts w:ascii="Arial" w:hAnsi="Arial" w:cs="Arial"/>
          <w:lang w:val="mk-MK"/>
        </w:rPr>
        <w:t>1</w:t>
      </w:r>
      <w:r w:rsidR="004F415F" w:rsidRPr="001E6526">
        <w:rPr>
          <w:rFonts w:ascii="Arial" w:hAnsi="Arial" w:cs="Arial"/>
          <w:lang w:val="mk-MK"/>
        </w:rPr>
        <w:t>3</w:t>
      </w:r>
      <w:r w:rsidR="004F415F" w:rsidRPr="00CE3053">
        <w:rPr>
          <w:rFonts w:ascii="Arial" w:hAnsi="Arial" w:cs="Arial"/>
          <w:lang w:val="mk-MK"/>
        </w:rPr>
        <w:t xml:space="preserve"> </w:t>
      </w:r>
      <w:r w:rsidR="00C00726">
        <w:rPr>
          <w:rFonts w:ascii="Arial" w:hAnsi="Arial" w:cs="Arial"/>
          <w:lang w:val="en-US"/>
        </w:rPr>
        <w:t>persons</w:t>
      </w:r>
      <w:r w:rsidR="004F415F" w:rsidRPr="00CE3053">
        <w:rPr>
          <w:rFonts w:ascii="Arial" w:hAnsi="Arial" w:cs="Arial"/>
          <w:lang w:val="mk-MK"/>
        </w:rPr>
        <w:t xml:space="preserve"> (20</w:t>
      </w:r>
      <w:r w:rsidR="004F415F" w:rsidRPr="001E6526">
        <w:rPr>
          <w:rFonts w:ascii="Arial" w:hAnsi="Arial" w:cs="Arial"/>
          <w:lang w:val="mk-MK"/>
        </w:rPr>
        <w:t>20</w:t>
      </w:r>
      <w:r w:rsidR="004F415F" w:rsidRPr="00CE3053">
        <w:rPr>
          <w:rFonts w:ascii="Arial" w:hAnsi="Arial" w:cs="Arial"/>
          <w:lang w:val="mk-MK"/>
        </w:rPr>
        <w:t>: 1</w:t>
      </w:r>
      <w:r w:rsidR="004F415F" w:rsidRPr="001E6526">
        <w:rPr>
          <w:rFonts w:ascii="Arial" w:hAnsi="Arial" w:cs="Arial"/>
          <w:lang w:val="mk-MK"/>
        </w:rPr>
        <w:t>0</w:t>
      </w:r>
      <w:r w:rsidR="004F415F" w:rsidRPr="00CE3053">
        <w:rPr>
          <w:rFonts w:ascii="Arial" w:hAnsi="Arial" w:cs="Arial"/>
          <w:lang w:val="mk-MK"/>
        </w:rPr>
        <w:t xml:space="preserve"> </w:t>
      </w:r>
      <w:r w:rsidR="00C00726">
        <w:rPr>
          <w:rFonts w:ascii="Arial" w:hAnsi="Arial" w:cs="Arial"/>
          <w:lang w:val="en-US"/>
        </w:rPr>
        <w:t>persons</w:t>
      </w:r>
      <w:r w:rsidR="004F415F" w:rsidRPr="00CE3053">
        <w:rPr>
          <w:rFonts w:ascii="Arial" w:hAnsi="Arial" w:cs="Arial"/>
          <w:lang w:val="mk-MK"/>
        </w:rPr>
        <w:t>).</w:t>
      </w:r>
    </w:p>
    <w:p w14:paraId="204767AC" w14:textId="1C4123D6" w:rsidR="00815E65" w:rsidRPr="00CE3053" w:rsidRDefault="00BB7A49" w:rsidP="00815E65">
      <w:pPr>
        <w:pStyle w:val="BodyText"/>
        <w:jc w:val="both"/>
        <w:rPr>
          <w:rFonts w:ascii="Arial" w:hAnsi="Arial" w:cs="Arial"/>
          <w:lang w:val="mk-MK"/>
        </w:rPr>
      </w:pPr>
      <w:proofErr w:type="spellStart"/>
      <w:r w:rsidRPr="00BB7A49">
        <w:rPr>
          <w:rFonts w:ascii="Arial" w:hAnsi="Arial" w:cs="Arial"/>
          <w:lang w:val="mk-MK"/>
        </w:rPr>
        <w:t>The</w:t>
      </w:r>
      <w:proofErr w:type="spellEnd"/>
      <w:r w:rsidRPr="00BB7A49">
        <w:rPr>
          <w:rFonts w:ascii="Arial" w:hAnsi="Arial" w:cs="Arial"/>
          <w:lang w:val="mk-MK"/>
        </w:rPr>
        <w:t xml:space="preserve"> </w:t>
      </w:r>
      <w:proofErr w:type="spellStart"/>
      <w:r w:rsidRPr="00BB7A49">
        <w:rPr>
          <w:rFonts w:ascii="Arial" w:hAnsi="Arial" w:cs="Arial"/>
          <w:lang w:val="mk-MK"/>
        </w:rPr>
        <w:t>main</w:t>
      </w:r>
      <w:proofErr w:type="spellEnd"/>
      <w:r w:rsidRPr="00BB7A49">
        <w:rPr>
          <w:rFonts w:ascii="Arial" w:hAnsi="Arial" w:cs="Arial"/>
          <w:lang w:val="mk-MK"/>
        </w:rPr>
        <w:t xml:space="preserve"> </w:t>
      </w:r>
      <w:proofErr w:type="spellStart"/>
      <w:r w:rsidRPr="00BB7A49">
        <w:rPr>
          <w:rFonts w:ascii="Arial" w:hAnsi="Arial" w:cs="Arial"/>
          <w:lang w:val="mk-MK"/>
        </w:rPr>
        <w:t>business</w:t>
      </w:r>
      <w:proofErr w:type="spellEnd"/>
      <w:r w:rsidRPr="00BB7A49">
        <w:rPr>
          <w:rFonts w:ascii="Arial" w:hAnsi="Arial" w:cs="Arial"/>
          <w:lang w:val="mk-MK"/>
        </w:rPr>
        <w:t xml:space="preserve"> </w:t>
      </w:r>
      <w:proofErr w:type="spellStart"/>
      <w:r w:rsidRPr="00BB7A49">
        <w:rPr>
          <w:rFonts w:ascii="Arial" w:hAnsi="Arial" w:cs="Arial"/>
          <w:lang w:val="mk-MK"/>
        </w:rPr>
        <w:t>activities</w:t>
      </w:r>
      <w:proofErr w:type="spellEnd"/>
      <w:r w:rsidRPr="00BB7A49">
        <w:rPr>
          <w:rFonts w:ascii="Arial" w:hAnsi="Arial" w:cs="Arial"/>
          <w:lang w:val="mk-MK"/>
        </w:rPr>
        <w:t xml:space="preserve"> </w:t>
      </w:r>
      <w:proofErr w:type="spellStart"/>
      <w:r w:rsidRPr="00BB7A49">
        <w:rPr>
          <w:rFonts w:ascii="Arial" w:hAnsi="Arial" w:cs="Arial"/>
          <w:lang w:val="mk-MK"/>
        </w:rPr>
        <w:t>of</w:t>
      </w:r>
      <w:proofErr w:type="spellEnd"/>
      <w:r w:rsidRPr="00BB7A49">
        <w:rPr>
          <w:rFonts w:ascii="Arial" w:hAnsi="Arial" w:cs="Arial"/>
          <w:lang w:val="mk-MK"/>
        </w:rPr>
        <w:t xml:space="preserve"> </w:t>
      </w:r>
      <w:proofErr w:type="spellStart"/>
      <w:r w:rsidRPr="00BB7A49">
        <w:rPr>
          <w:rFonts w:ascii="Arial" w:hAnsi="Arial" w:cs="Arial"/>
          <w:lang w:val="mk-MK"/>
        </w:rPr>
        <w:t>the</w:t>
      </w:r>
      <w:proofErr w:type="spellEnd"/>
      <w:r w:rsidRPr="00BB7A49">
        <w:rPr>
          <w:rFonts w:ascii="Arial" w:hAnsi="Arial" w:cs="Arial"/>
          <w:lang w:val="mk-MK"/>
        </w:rPr>
        <w:t xml:space="preserve"> </w:t>
      </w:r>
      <w:proofErr w:type="spellStart"/>
      <w:r w:rsidRPr="00BB7A49">
        <w:rPr>
          <w:rFonts w:ascii="Arial" w:hAnsi="Arial" w:cs="Arial"/>
          <w:lang w:val="mk-MK"/>
        </w:rPr>
        <w:t>Fund</w:t>
      </w:r>
      <w:proofErr w:type="spellEnd"/>
      <w:r w:rsidRPr="00BB7A49">
        <w:rPr>
          <w:rFonts w:ascii="Arial" w:hAnsi="Arial" w:cs="Arial"/>
          <w:lang w:val="mk-MK"/>
        </w:rPr>
        <w:t xml:space="preserve"> </w:t>
      </w:r>
      <w:proofErr w:type="spellStart"/>
      <w:r w:rsidRPr="00BB7A49">
        <w:rPr>
          <w:rFonts w:ascii="Arial" w:hAnsi="Arial" w:cs="Arial"/>
          <w:lang w:val="mk-MK"/>
        </w:rPr>
        <w:t>are</w:t>
      </w:r>
      <w:proofErr w:type="spellEnd"/>
      <w:r w:rsidRPr="00BB7A49">
        <w:rPr>
          <w:rFonts w:ascii="Arial" w:hAnsi="Arial" w:cs="Arial"/>
          <w:lang w:val="mk-MK"/>
        </w:rPr>
        <w:t xml:space="preserve"> </w:t>
      </w:r>
      <w:proofErr w:type="spellStart"/>
      <w:r w:rsidRPr="00BB7A49">
        <w:rPr>
          <w:rFonts w:ascii="Arial" w:hAnsi="Arial" w:cs="Arial"/>
          <w:lang w:val="mk-MK"/>
        </w:rPr>
        <w:t>insurance</w:t>
      </w:r>
      <w:proofErr w:type="spellEnd"/>
      <w:r w:rsidRPr="00BB7A49">
        <w:rPr>
          <w:rFonts w:ascii="Arial" w:hAnsi="Arial" w:cs="Arial"/>
          <w:lang w:val="mk-MK"/>
        </w:rPr>
        <w:t xml:space="preserve"> </w:t>
      </w:r>
      <w:proofErr w:type="spellStart"/>
      <w:r w:rsidRPr="00BB7A49">
        <w:rPr>
          <w:rFonts w:ascii="Arial" w:hAnsi="Arial" w:cs="Arial"/>
          <w:lang w:val="mk-MK"/>
        </w:rPr>
        <w:t>of</w:t>
      </w:r>
      <w:proofErr w:type="spellEnd"/>
      <w:r w:rsidRPr="00BB7A49">
        <w:rPr>
          <w:rFonts w:ascii="Arial" w:hAnsi="Arial" w:cs="Arial"/>
          <w:lang w:val="mk-MK"/>
        </w:rPr>
        <w:t xml:space="preserve"> </w:t>
      </w:r>
      <w:proofErr w:type="spellStart"/>
      <w:r w:rsidRPr="00BB7A49">
        <w:rPr>
          <w:rFonts w:ascii="Arial" w:hAnsi="Arial" w:cs="Arial"/>
          <w:lang w:val="mk-MK"/>
        </w:rPr>
        <w:t>Denar</w:t>
      </w:r>
      <w:proofErr w:type="spellEnd"/>
      <w:r w:rsidRPr="00BB7A49">
        <w:rPr>
          <w:rFonts w:ascii="Arial" w:hAnsi="Arial" w:cs="Arial"/>
          <w:lang w:val="mk-MK"/>
        </w:rPr>
        <w:t xml:space="preserve"> </w:t>
      </w:r>
      <w:proofErr w:type="spellStart"/>
      <w:r w:rsidRPr="00BB7A49">
        <w:rPr>
          <w:rFonts w:ascii="Arial" w:hAnsi="Arial" w:cs="Arial"/>
          <w:lang w:val="mk-MK"/>
        </w:rPr>
        <w:t>and</w:t>
      </w:r>
      <w:proofErr w:type="spellEnd"/>
      <w:r w:rsidRPr="00BB7A49">
        <w:rPr>
          <w:rFonts w:ascii="Arial" w:hAnsi="Arial" w:cs="Arial"/>
          <w:lang w:val="mk-MK"/>
        </w:rPr>
        <w:t xml:space="preserve"> </w:t>
      </w:r>
      <w:proofErr w:type="spellStart"/>
      <w:r w:rsidRPr="00BB7A49">
        <w:rPr>
          <w:rFonts w:ascii="Arial" w:hAnsi="Arial" w:cs="Arial"/>
          <w:lang w:val="mk-MK"/>
        </w:rPr>
        <w:t>foreign</w:t>
      </w:r>
      <w:proofErr w:type="spellEnd"/>
      <w:r w:rsidRPr="00BB7A49">
        <w:rPr>
          <w:rFonts w:ascii="Arial" w:hAnsi="Arial" w:cs="Arial"/>
          <w:lang w:val="mk-MK"/>
        </w:rPr>
        <w:t xml:space="preserve"> </w:t>
      </w:r>
      <w:proofErr w:type="spellStart"/>
      <w:r w:rsidRPr="00BB7A49">
        <w:rPr>
          <w:rFonts w:ascii="Arial" w:hAnsi="Arial" w:cs="Arial"/>
          <w:lang w:val="mk-MK"/>
        </w:rPr>
        <w:t>currency</w:t>
      </w:r>
      <w:proofErr w:type="spellEnd"/>
      <w:r w:rsidRPr="00BB7A49">
        <w:rPr>
          <w:rFonts w:ascii="Arial" w:hAnsi="Arial" w:cs="Arial"/>
          <w:lang w:val="mk-MK"/>
        </w:rPr>
        <w:t xml:space="preserve"> </w:t>
      </w:r>
      <w:proofErr w:type="spellStart"/>
      <w:r w:rsidRPr="00BB7A49">
        <w:rPr>
          <w:rFonts w:ascii="Arial" w:hAnsi="Arial" w:cs="Arial"/>
          <w:lang w:val="mk-MK"/>
        </w:rPr>
        <w:t>deposits</w:t>
      </w:r>
      <w:proofErr w:type="spellEnd"/>
      <w:r w:rsidRPr="00BB7A49">
        <w:rPr>
          <w:rFonts w:ascii="Arial" w:hAnsi="Arial" w:cs="Arial"/>
          <w:lang w:val="mk-MK"/>
        </w:rPr>
        <w:t xml:space="preserve"> </w:t>
      </w:r>
      <w:proofErr w:type="spellStart"/>
      <w:r w:rsidRPr="00BB7A49">
        <w:rPr>
          <w:rFonts w:ascii="Arial" w:hAnsi="Arial" w:cs="Arial"/>
          <w:lang w:val="mk-MK"/>
        </w:rPr>
        <w:t>and</w:t>
      </w:r>
      <w:proofErr w:type="spellEnd"/>
      <w:r w:rsidRPr="00BB7A49">
        <w:rPr>
          <w:rFonts w:ascii="Arial" w:hAnsi="Arial" w:cs="Arial"/>
          <w:lang w:val="mk-MK"/>
        </w:rPr>
        <w:t xml:space="preserve"> </w:t>
      </w:r>
      <w:proofErr w:type="spellStart"/>
      <w:r w:rsidRPr="00BB7A49">
        <w:rPr>
          <w:rFonts w:ascii="Arial" w:hAnsi="Arial" w:cs="Arial"/>
          <w:lang w:val="mk-MK"/>
        </w:rPr>
        <w:t>current</w:t>
      </w:r>
      <w:proofErr w:type="spellEnd"/>
      <w:r w:rsidRPr="00BB7A49">
        <w:rPr>
          <w:rFonts w:ascii="Arial" w:hAnsi="Arial" w:cs="Arial"/>
          <w:lang w:val="mk-MK"/>
        </w:rPr>
        <w:t xml:space="preserve"> </w:t>
      </w:r>
      <w:proofErr w:type="spellStart"/>
      <w:r w:rsidRPr="00BB7A49">
        <w:rPr>
          <w:rFonts w:ascii="Arial" w:hAnsi="Arial" w:cs="Arial"/>
          <w:lang w:val="mk-MK"/>
        </w:rPr>
        <w:t>accounts</w:t>
      </w:r>
      <w:proofErr w:type="spellEnd"/>
      <w:r w:rsidRPr="00BB7A49">
        <w:rPr>
          <w:rFonts w:ascii="Arial" w:hAnsi="Arial" w:cs="Arial"/>
          <w:lang w:val="mk-MK"/>
        </w:rPr>
        <w:t xml:space="preserve"> </w:t>
      </w:r>
      <w:proofErr w:type="spellStart"/>
      <w:r w:rsidRPr="00BB7A49">
        <w:rPr>
          <w:rFonts w:ascii="Arial" w:hAnsi="Arial" w:cs="Arial"/>
          <w:lang w:val="mk-MK"/>
        </w:rPr>
        <w:t>of</w:t>
      </w:r>
      <w:proofErr w:type="spellEnd"/>
      <w:r w:rsidRPr="00BB7A49">
        <w:rPr>
          <w:rFonts w:ascii="Arial" w:hAnsi="Arial" w:cs="Arial"/>
          <w:lang w:val="mk-MK"/>
        </w:rPr>
        <w:t xml:space="preserve"> </w:t>
      </w:r>
      <w:proofErr w:type="spellStart"/>
      <w:r w:rsidRPr="00BB7A49">
        <w:rPr>
          <w:rFonts w:ascii="Arial" w:hAnsi="Arial" w:cs="Arial"/>
          <w:lang w:val="mk-MK"/>
        </w:rPr>
        <w:t>individuals</w:t>
      </w:r>
      <w:proofErr w:type="spellEnd"/>
      <w:r w:rsidR="004F415F" w:rsidRPr="00CE3053">
        <w:rPr>
          <w:rFonts w:ascii="Arial" w:hAnsi="Arial" w:cs="Arial"/>
          <w:lang w:val="mk-MK"/>
        </w:rPr>
        <w:t xml:space="preserve"> </w:t>
      </w:r>
      <w:proofErr w:type="spellStart"/>
      <w:r w:rsidR="00671BEA" w:rsidRPr="00671BEA">
        <w:rPr>
          <w:rFonts w:ascii="Arial" w:hAnsi="Arial" w:cs="Arial"/>
          <w:lang w:val="mk-MK"/>
        </w:rPr>
        <w:t>in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banks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branches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foreign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banks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and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savings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houses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Republic</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r w:rsidR="002278BC">
        <w:rPr>
          <w:rFonts w:ascii="Arial" w:hAnsi="Arial" w:cs="Arial"/>
          <w:lang w:val="en-US"/>
        </w:rPr>
        <w:t xml:space="preserve">North </w:t>
      </w:r>
      <w:proofErr w:type="spellStart"/>
      <w:r w:rsidR="00671BEA" w:rsidRPr="00671BEA">
        <w:rPr>
          <w:rFonts w:ascii="Arial" w:hAnsi="Arial" w:cs="Arial"/>
          <w:lang w:val="mk-MK"/>
        </w:rPr>
        <w:t>Macedonia</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certificates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deposit</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deposits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related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to</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cash</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cards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issued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by</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banks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branches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foreign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banks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established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Republic</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r w:rsidR="00671BEA">
        <w:rPr>
          <w:rFonts w:ascii="Arial" w:hAnsi="Arial" w:cs="Arial"/>
          <w:lang w:val="en-US"/>
        </w:rPr>
        <w:t xml:space="preserve">North </w:t>
      </w:r>
      <w:proofErr w:type="spellStart"/>
      <w:r w:rsidR="00671BEA" w:rsidRPr="00671BEA">
        <w:rPr>
          <w:rFonts w:ascii="Arial" w:hAnsi="Arial" w:cs="Arial"/>
          <w:lang w:val="mk-MK"/>
        </w:rPr>
        <w:t>Macedonia</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and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foreign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exchange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inflows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individuals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banks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Republic</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r w:rsidR="00B5375C">
        <w:rPr>
          <w:rFonts w:ascii="Arial" w:hAnsi="Arial" w:cs="Arial"/>
          <w:lang w:val="en-US"/>
        </w:rPr>
        <w:t xml:space="preserve">North </w:t>
      </w:r>
      <w:proofErr w:type="spellStart"/>
      <w:r w:rsidR="00671BEA" w:rsidRPr="00671BEA">
        <w:rPr>
          <w:rFonts w:ascii="Arial" w:hAnsi="Arial" w:cs="Arial"/>
          <w:lang w:val="mk-MK"/>
        </w:rPr>
        <w:t>Macedonia</w:t>
      </w:r>
      <w:proofErr w:type="spellEnd"/>
      <w:r w:rsidR="00671BEA">
        <w:rPr>
          <w:rFonts w:ascii="Arial" w:hAnsi="Arial" w:cs="Arial"/>
          <w:lang w:val="en-US"/>
        </w:rPr>
        <w:t>.</w:t>
      </w:r>
      <w:r w:rsidR="004F415F" w:rsidRPr="00CE3053">
        <w:rPr>
          <w:rFonts w:ascii="Arial" w:hAnsi="Arial" w:cs="Arial"/>
          <w:lang w:val="mk-MK"/>
        </w:rPr>
        <w:t xml:space="preserve"> </w:t>
      </w:r>
      <w:proofErr w:type="spellStart"/>
      <w:r w:rsidR="00671BEA" w:rsidRPr="00671BEA">
        <w:rPr>
          <w:rFonts w:ascii="Arial" w:hAnsi="Arial" w:cs="Arial"/>
          <w:lang w:val="mk-MK"/>
        </w:rPr>
        <w:t>According</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to</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Law</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Deposit</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Insurance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Fund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total</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assets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Fund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shall</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at</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least</w:t>
      </w:r>
      <w:proofErr w:type="spellEnd"/>
      <w:r w:rsidR="00671BEA" w:rsidRPr="00671BEA">
        <w:rPr>
          <w:rFonts w:ascii="Arial" w:hAnsi="Arial" w:cs="Arial"/>
          <w:lang w:val="mk-MK"/>
        </w:rPr>
        <w:t xml:space="preserve"> 4%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total</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individuals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deposits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banks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foreign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bank</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branches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and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savings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houses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Republic</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North</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Macedonia</w:t>
      </w:r>
      <w:proofErr w:type="spellEnd"/>
      <w:r w:rsidR="003E689D">
        <w:t xml:space="preserve">. </w:t>
      </w:r>
      <w:proofErr w:type="spellStart"/>
      <w:r w:rsidR="00671BEA" w:rsidRPr="00671BEA">
        <w:rPr>
          <w:rFonts w:ascii="Arial" w:hAnsi="Arial" w:cs="Arial"/>
          <w:lang w:val="mk-MK"/>
        </w:rPr>
        <w:t>When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assets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Fund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exceed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fixed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level</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Managing</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Board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Fund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can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pass</w:t>
      </w:r>
      <w:proofErr w:type="spellEnd"/>
      <w:r w:rsidR="00671BEA" w:rsidRPr="00671BEA">
        <w:rPr>
          <w:rFonts w:ascii="Arial" w:hAnsi="Arial" w:cs="Arial"/>
          <w:lang w:val="mk-MK"/>
        </w:rPr>
        <w:t xml:space="preserve"> a </w:t>
      </w:r>
      <w:proofErr w:type="spellStart"/>
      <w:r w:rsidR="00671BEA" w:rsidRPr="00671BEA">
        <w:rPr>
          <w:rFonts w:ascii="Arial" w:hAnsi="Arial" w:cs="Arial"/>
          <w:lang w:val="mk-MK"/>
        </w:rPr>
        <w:t>decision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for</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terminating</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obligation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banks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foreign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bank</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branches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and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savings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houses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to</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pay</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premium</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to</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Fund</w:t>
      </w:r>
      <w:proofErr w:type="spellEnd"/>
      <w:r w:rsidR="00671BEA" w:rsidRPr="00671BEA">
        <w:rPr>
          <w:rFonts w:ascii="Arial" w:hAnsi="Arial" w:cs="Arial"/>
          <w:lang w:val="mk-MK"/>
        </w:rPr>
        <w:t>.</w:t>
      </w:r>
      <w:r w:rsidR="00671BEA">
        <w:rPr>
          <w:rFonts w:ascii="Arial" w:hAnsi="Arial" w:cs="Arial"/>
          <w:lang w:val="en-US"/>
        </w:rPr>
        <w:t xml:space="preserve"> </w:t>
      </w:r>
      <w:proofErr w:type="spellStart"/>
      <w:r w:rsidR="00671BEA" w:rsidRPr="00671BEA">
        <w:rPr>
          <w:rFonts w:ascii="Arial" w:hAnsi="Arial" w:cs="Arial"/>
          <w:lang w:val="mk-MK"/>
        </w:rPr>
        <w:t>Fund’s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assets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are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sourced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from</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founder’s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capital</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proceeds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from</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insurance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premiums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individuals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deposits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and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revenues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from</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investments</w:t>
      </w:r>
      <w:proofErr w:type="spellEnd"/>
      <w:r w:rsidR="00671BEA" w:rsidRPr="00671BEA">
        <w:rPr>
          <w:rFonts w:ascii="Arial" w:hAnsi="Arial" w:cs="Arial"/>
          <w:lang w:val="mk-MK"/>
        </w:rPr>
        <w:t>.</w:t>
      </w:r>
      <w:r w:rsidR="00671BEA">
        <w:rPr>
          <w:rFonts w:ascii="Arial" w:hAnsi="Arial" w:cs="Arial"/>
          <w:lang w:val="en-US"/>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assets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Fund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might</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invested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securities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issued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by</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Republic</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North</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Macedonia</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and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National</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Bank</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Republic</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North</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Macedonia</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with</w:t>
      </w:r>
      <w:proofErr w:type="spellEnd"/>
      <w:r w:rsidR="00671BEA" w:rsidRPr="00671BEA">
        <w:rPr>
          <w:rFonts w:ascii="Arial" w:hAnsi="Arial" w:cs="Arial"/>
          <w:lang w:val="mk-MK"/>
        </w:rPr>
        <w:t xml:space="preserve"> a </w:t>
      </w:r>
      <w:proofErr w:type="spellStart"/>
      <w:r w:rsidR="00671BEA" w:rsidRPr="00671BEA">
        <w:rPr>
          <w:rFonts w:ascii="Arial" w:hAnsi="Arial" w:cs="Arial"/>
          <w:lang w:val="mk-MK"/>
        </w:rPr>
        <w:t>due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date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12 </w:t>
      </w:r>
      <w:proofErr w:type="spellStart"/>
      <w:r w:rsidR="00671BEA" w:rsidRPr="00671BEA">
        <w:rPr>
          <w:rFonts w:ascii="Arial" w:hAnsi="Arial" w:cs="Arial"/>
          <w:lang w:val="mk-MK"/>
        </w:rPr>
        <w:t>months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from</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moment</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Fund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has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purchased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them</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and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debentures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issued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by</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foreign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countries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central</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banks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or</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public</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international</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financial</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institutions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rated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at</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least</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two</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internationally</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acknowledged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agencies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for</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credit</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risk</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assessment</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with</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one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two</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highest</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grades</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up</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to</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the</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level</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of</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insured</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foreign</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currency</w:t>
      </w:r>
      <w:proofErr w:type="spellEnd"/>
      <w:r w:rsidR="00671BEA" w:rsidRPr="00671BEA">
        <w:rPr>
          <w:rFonts w:ascii="Arial" w:hAnsi="Arial" w:cs="Arial"/>
          <w:lang w:val="mk-MK"/>
        </w:rPr>
        <w:t xml:space="preserve"> </w:t>
      </w:r>
      <w:proofErr w:type="spellStart"/>
      <w:r w:rsidR="00671BEA" w:rsidRPr="00671BEA">
        <w:rPr>
          <w:rFonts w:ascii="Arial" w:hAnsi="Arial" w:cs="Arial"/>
          <w:lang w:val="mk-MK"/>
        </w:rPr>
        <w:t>deposits</w:t>
      </w:r>
      <w:proofErr w:type="spellEnd"/>
      <w:r w:rsidR="00671BEA" w:rsidRPr="00671BEA">
        <w:rPr>
          <w:rFonts w:ascii="Arial" w:hAnsi="Arial" w:cs="Arial"/>
          <w:lang w:val="mk-MK"/>
        </w:rPr>
        <w:t>.</w:t>
      </w:r>
    </w:p>
    <w:p w14:paraId="20946EEF" w14:textId="77777777" w:rsidR="00A46264" w:rsidRDefault="00671BEA" w:rsidP="00815E65">
      <w:pPr>
        <w:pStyle w:val="BodyText"/>
        <w:jc w:val="both"/>
        <w:rPr>
          <w:rFonts w:ascii="Arial" w:hAnsi="Arial" w:cs="Arial"/>
          <w:lang w:val="mk-MK"/>
        </w:rPr>
      </w:pPr>
      <w:proofErr w:type="spellStart"/>
      <w:r w:rsidRPr="00671BEA">
        <w:rPr>
          <w:rFonts w:ascii="Arial" w:hAnsi="Arial" w:cs="Arial"/>
          <w:lang w:val="mk-MK"/>
        </w:rPr>
        <w:t>In</w:t>
      </w:r>
      <w:proofErr w:type="spellEnd"/>
      <w:r w:rsidRPr="00671BEA">
        <w:rPr>
          <w:rFonts w:ascii="Arial" w:hAnsi="Arial" w:cs="Arial"/>
          <w:lang w:val="mk-MK"/>
        </w:rPr>
        <w:t xml:space="preserve"> a </w:t>
      </w:r>
      <w:proofErr w:type="spellStart"/>
      <w:r w:rsidRPr="00671BEA">
        <w:rPr>
          <w:rFonts w:ascii="Arial" w:hAnsi="Arial" w:cs="Arial"/>
          <w:lang w:val="mk-MK"/>
        </w:rPr>
        <w:t>case</w:t>
      </w:r>
      <w:proofErr w:type="spellEnd"/>
      <w:r w:rsidRPr="00671BEA">
        <w:rPr>
          <w:rFonts w:ascii="Arial" w:hAnsi="Arial" w:cs="Arial"/>
          <w:lang w:val="mk-MK"/>
        </w:rPr>
        <w:t xml:space="preserve"> </w:t>
      </w:r>
      <w:proofErr w:type="spellStart"/>
      <w:r w:rsidRPr="00671BEA">
        <w:rPr>
          <w:rFonts w:ascii="Arial" w:hAnsi="Arial" w:cs="Arial"/>
          <w:lang w:val="mk-MK"/>
        </w:rPr>
        <w:t>of</w:t>
      </w:r>
      <w:proofErr w:type="spellEnd"/>
      <w:r w:rsidRPr="00671BEA">
        <w:rPr>
          <w:rFonts w:ascii="Arial" w:hAnsi="Arial" w:cs="Arial"/>
          <w:lang w:val="mk-MK"/>
        </w:rPr>
        <w:t xml:space="preserve"> </w:t>
      </w:r>
      <w:proofErr w:type="spellStart"/>
      <w:r w:rsidRPr="00671BEA">
        <w:rPr>
          <w:rFonts w:ascii="Arial" w:hAnsi="Arial" w:cs="Arial"/>
          <w:lang w:val="mk-MK"/>
        </w:rPr>
        <w:t>occurrence</w:t>
      </w:r>
      <w:proofErr w:type="spellEnd"/>
      <w:r w:rsidRPr="00671BEA">
        <w:rPr>
          <w:rFonts w:ascii="Arial" w:hAnsi="Arial" w:cs="Arial"/>
          <w:lang w:val="mk-MK"/>
        </w:rPr>
        <w:t xml:space="preserve"> </w:t>
      </w:r>
      <w:proofErr w:type="spellStart"/>
      <w:r w:rsidRPr="00671BEA">
        <w:rPr>
          <w:rFonts w:ascii="Arial" w:hAnsi="Arial" w:cs="Arial"/>
          <w:lang w:val="mk-MK"/>
        </w:rPr>
        <w:t>of</w:t>
      </w:r>
      <w:proofErr w:type="spellEnd"/>
      <w:r w:rsidRPr="00671BEA">
        <w:rPr>
          <w:rFonts w:ascii="Arial" w:hAnsi="Arial" w:cs="Arial"/>
          <w:lang w:val="mk-MK"/>
        </w:rPr>
        <w:t xml:space="preserve"> a </w:t>
      </w:r>
      <w:proofErr w:type="spellStart"/>
      <w:r w:rsidRPr="00671BEA">
        <w:rPr>
          <w:rFonts w:ascii="Arial" w:hAnsi="Arial" w:cs="Arial"/>
          <w:lang w:val="mk-MK"/>
        </w:rPr>
        <w:t>risk</w:t>
      </w:r>
      <w:proofErr w:type="spellEnd"/>
      <w:r w:rsidRPr="00671BEA">
        <w:rPr>
          <w:rFonts w:ascii="Arial" w:hAnsi="Arial" w:cs="Arial"/>
          <w:lang w:val="mk-MK"/>
        </w:rPr>
        <w:t xml:space="preserve"> </w:t>
      </w:r>
      <w:proofErr w:type="spellStart"/>
      <w:r w:rsidRPr="00671BEA">
        <w:rPr>
          <w:rFonts w:ascii="Arial" w:hAnsi="Arial" w:cs="Arial"/>
          <w:lang w:val="mk-MK"/>
        </w:rPr>
        <w:t>event</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Fund</w:t>
      </w:r>
      <w:proofErr w:type="spellEnd"/>
      <w:r w:rsidRPr="00671BEA">
        <w:rPr>
          <w:rFonts w:ascii="Arial" w:hAnsi="Arial" w:cs="Arial"/>
          <w:lang w:val="mk-MK"/>
        </w:rPr>
        <w:t xml:space="preserve"> </w:t>
      </w:r>
      <w:proofErr w:type="spellStart"/>
      <w:r w:rsidRPr="00671BEA">
        <w:rPr>
          <w:rFonts w:ascii="Arial" w:hAnsi="Arial" w:cs="Arial"/>
          <w:lang w:val="mk-MK"/>
        </w:rPr>
        <w:t>shall</w:t>
      </w:r>
      <w:proofErr w:type="spellEnd"/>
      <w:r w:rsidRPr="00671BEA">
        <w:rPr>
          <w:rFonts w:ascii="Arial" w:hAnsi="Arial" w:cs="Arial"/>
          <w:lang w:val="mk-MK"/>
        </w:rPr>
        <w:t xml:space="preserve"> </w:t>
      </w:r>
      <w:proofErr w:type="spellStart"/>
      <w:r w:rsidRPr="00671BEA">
        <w:rPr>
          <w:rFonts w:ascii="Arial" w:hAnsi="Arial" w:cs="Arial"/>
          <w:lang w:val="mk-MK"/>
        </w:rPr>
        <w:t>reimburse</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insured</w:t>
      </w:r>
      <w:proofErr w:type="spellEnd"/>
      <w:r w:rsidRPr="00671BEA">
        <w:rPr>
          <w:rFonts w:ascii="Arial" w:hAnsi="Arial" w:cs="Arial"/>
          <w:lang w:val="mk-MK"/>
        </w:rPr>
        <w:t xml:space="preserve"> </w:t>
      </w:r>
      <w:proofErr w:type="spellStart"/>
      <w:r w:rsidRPr="00671BEA">
        <w:rPr>
          <w:rFonts w:ascii="Arial" w:hAnsi="Arial" w:cs="Arial"/>
          <w:lang w:val="mk-MK"/>
        </w:rPr>
        <w:t>deposits</w:t>
      </w:r>
      <w:proofErr w:type="spellEnd"/>
      <w:r w:rsidRPr="00671BEA">
        <w:rPr>
          <w:rFonts w:ascii="Arial" w:hAnsi="Arial" w:cs="Arial"/>
          <w:lang w:val="mk-MK"/>
        </w:rPr>
        <w:t xml:space="preserve"> </w:t>
      </w:r>
      <w:proofErr w:type="spellStart"/>
      <w:r w:rsidRPr="00671BEA">
        <w:rPr>
          <w:rFonts w:ascii="Arial" w:hAnsi="Arial" w:cs="Arial"/>
          <w:lang w:val="mk-MK"/>
        </w:rPr>
        <w:t>but</w:t>
      </w:r>
      <w:proofErr w:type="spellEnd"/>
      <w:r w:rsidRPr="00671BEA">
        <w:rPr>
          <w:rFonts w:ascii="Arial" w:hAnsi="Arial" w:cs="Arial"/>
          <w:lang w:val="mk-MK"/>
        </w:rPr>
        <w:t xml:space="preserve"> </w:t>
      </w:r>
      <w:proofErr w:type="spellStart"/>
      <w:r w:rsidRPr="00671BEA">
        <w:rPr>
          <w:rFonts w:ascii="Arial" w:hAnsi="Arial" w:cs="Arial"/>
          <w:lang w:val="mk-MK"/>
        </w:rPr>
        <w:t>not</w:t>
      </w:r>
      <w:proofErr w:type="spellEnd"/>
      <w:r w:rsidRPr="00671BEA">
        <w:rPr>
          <w:rFonts w:ascii="Arial" w:hAnsi="Arial" w:cs="Arial"/>
          <w:lang w:val="mk-MK"/>
        </w:rPr>
        <w:t xml:space="preserve"> </w:t>
      </w:r>
      <w:proofErr w:type="spellStart"/>
      <w:r w:rsidRPr="00671BEA">
        <w:rPr>
          <w:rFonts w:ascii="Arial" w:hAnsi="Arial" w:cs="Arial"/>
          <w:lang w:val="mk-MK"/>
        </w:rPr>
        <w:t>exceeding</w:t>
      </w:r>
      <w:proofErr w:type="spellEnd"/>
      <w:r w:rsidRPr="00671BEA">
        <w:rPr>
          <w:rFonts w:ascii="Arial" w:hAnsi="Arial" w:cs="Arial"/>
          <w:lang w:val="mk-MK"/>
        </w:rPr>
        <w:t xml:space="preserve"> 30,000 </w:t>
      </w:r>
      <w:proofErr w:type="spellStart"/>
      <w:r w:rsidRPr="00671BEA">
        <w:rPr>
          <w:rFonts w:ascii="Arial" w:hAnsi="Arial" w:cs="Arial"/>
          <w:lang w:val="mk-MK"/>
        </w:rPr>
        <w:t>Euros</w:t>
      </w:r>
      <w:proofErr w:type="spellEnd"/>
      <w:r w:rsidRPr="00671BEA">
        <w:rPr>
          <w:rFonts w:ascii="Arial" w:hAnsi="Arial" w:cs="Arial"/>
          <w:lang w:val="mk-MK"/>
        </w:rPr>
        <w:t xml:space="preserve"> </w:t>
      </w:r>
      <w:proofErr w:type="spellStart"/>
      <w:r w:rsidRPr="00671BEA">
        <w:rPr>
          <w:rFonts w:ascii="Arial" w:hAnsi="Arial" w:cs="Arial"/>
          <w:lang w:val="mk-MK"/>
        </w:rPr>
        <w:t>in</w:t>
      </w:r>
      <w:proofErr w:type="spellEnd"/>
      <w:r w:rsidRPr="00671BEA">
        <w:rPr>
          <w:rFonts w:ascii="Arial" w:hAnsi="Arial" w:cs="Arial"/>
          <w:lang w:val="mk-MK"/>
        </w:rPr>
        <w:t xml:space="preserve"> </w:t>
      </w:r>
      <w:proofErr w:type="spellStart"/>
      <w:r w:rsidRPr="00671BEA">
        <w:rPr>
          <w:rFonts w:ascii="Arial" w:hAnsi="Arial" w:cs="Arial"/>
          <w:lang w:val="mk-MK"/>
        </w:rPr>
        <w:t>Denar</w:t>
      </w:r>
      <w:proofErr w:type="spellEnd"/>
      <w:r w:rsidRPr="00671BEA">
        <w:rPr>
          <w:rFonts w:ascii="Arial" w:hAnsi="Arial" w:cs="Arial"/>
          <w:lang w:val="mk-MK"/>
        </w:rPr>
        <w:t xml:space="preserve"> </w:t>
      </w:r>
      <w:proofErr w:type="spellStart"/>
      <w:r w:rsidRPr="00671BEA">
        <w:rPr>
          <w:rFonts w:ascii="Arial" w:hAnsi="Arial" w:cs="Arial"/>
          <w:lang w:val="mk-MK"/>
        </w:rPr>
        <w:t>equivalent</w:t>
      </w:r>
      <w:proofErr w:type="spellEnd"/>
      <w:r w:rsidRPr="00671BEA">
        <w:rPr>
          <w:rFonts w:ascii="Arial" w:hAnsi="Arial" w:cs="Arial"/>
          <w:lang w:val="mk-MK"/>
        </w:rPr>
        <w:t xml:space="preserve"> </w:t>
      </w:r>
      <w:proofErr w:type="spellStart"/>
      <w:r w:rsidRPr="00671BEA">
        <w:rPr>
          <w:rFonts w:ascii="Arial" w:hAnsi="Arial" w:cs="Arial"/>
          <w:lang w:val="mk-MK"/>
        </w:rPr>
        <w:t>for</w:t>
      </w:r>
      <w:proofErr w:type="spellEnd"/>
      <w:r w:rsidRPr="00671BEA">
        <w:rPr>
          <w:rFonts w:ascii="Arial" w:hAnsi="Arial" w:cs="Arial"/>
          <w:lang w:val="mk-MK"/>
        </w:rPr>
        <w:t xml:space="preserve"> a </w:t>
      </w:r>
      <w:proofErr w:type="spellStart"/>
      <w:r w:rsidRPr="00671BEA">
        <w:rPr>
          <w:rFonts w:ascii="Arial" w:hAnsi="Arial" w:cs="Arial"/>
          <w:lang w:val="mk-MK"/>
        </w:rPr>
        <w:t>deposit</w:t>
      </w:r>
      <w:proofErr w:type="spellEnd"/>
      <w:r w:rsidRPr="00671BEA">
        <w:rPr>
          <w:rFonts w:ascii="Arial" w:hAnsi="Arial" w:cs="Arial"/>
          <w:lang w:val="mk-MK"/>
        </w:rPr>
        <w:t xml:space="preserve"> </w:t>
      </w:r>
      <w:proofErr w:type="spellStart"/>
      <w:r w:rsidRPr="00671BEA">
        <w:rPr>
          <w:rFonts w:ascii="Arial" w:hAnsi="Arial" w:cs="Arial"/>
          <w:lang w:val="mk-MK"/>
        </w:rPr>
        <w:t>in</w:t>
      </w:r>
      <w:proofErr w:type="spellEnd"/>
      <w:r w:rsidRPr="00671BEA">
        <w:rPr>
          <w:rFonts w:ascii="Arial" w:hAnsi="Arial" w:cs="Arial"/>
          <w:lang w:val="mk-MK"/>
        </w:rPr>
        <w:t xml:space="preserve"> </w:t>
      </w:r>
      <w:proofErr w:type="spellStart"/>
      <w:r w:rsidRPr="00671BEA">
        <w:rPr>
          <w:rFonts w:ascii="Arial" w:hAnsi="Arial" w:cs="Arial"/>
          <w:lang w:val="mk-MK"/>
        </w:rPr>
        <w:t>one</w:t>
      </w:r>
      <w:proofErr w:type="spellEnd"/>
      <w:r w:rsidRPr="00671BEA">
        <w:rPr>
          <w:rFonts w:ascii="Arial" w:hAnsi="Arial" w:cs="Arial"/>
          <w:lang w:val="mk-MK"/>
        </w:rPr>
        <w:t xml:space="preserve"> </w:t>
      </w:r>
      <w:proofErr w:type="spellStart"/>
      <w:r w:rsidRPr="00671BEA">
        <w:rPr>
          <w:rFonts w:ascii="Arial" w:hAnsi="Arial" w:cs="Arial"/>
          <w:lang w:val="mk-MK"/>
        </w:rPr>
        <w:t>bank</w:t>
      </w:r>
      <w:proofErr w:type="spellEnd"/>
      <w:r w:rsidRPr="00671BEA">
        <w:rPr>
          <w:rFonts w:ascii="Arial" w:hAnsi="Arial" w:cs="Arial"/>
          <w:lang w:val="mk-MK"/>
        </w:rPr>
        <w:t xml:space="preserve">, </w:t>
      </w:r>
      <w:proofErr w:type="spellStart"/>
      <w:r w:rsidRPr="00671BEA">
        <w:rPr>
          <w:rFonts w:ascii="Arial" w:hAnsi="Arial" w:cs="Arial"/>
          <w:lang w:val="mk-MK"/>
        </w:rPr>
        <w:t>foreign</w:t>
      </w:r>
      <w:proofErr w:type="spellEnd"/>
      <w:r w:rsidRPr="00671BEA">
        <w:rPr>
          <w:rFonts w:ascii="Arial" w:hAnsi="Arial" w:cs="Arial"/>
          <w:lang w:val="mk-MK"/>
        </w:rPr>
        <w:t xml:space="preserve"> </w:t>
      </w:r>
      <w:proofErr w:type="spellStart"/>
      <w:r w:rsidRPr="00671BEA">
        <w:rPr>
          <w:rFonts w:ascii="Arial" w:hAnsi="Arial" w:cs="Arial"/>
          <w:lang w:val="mk-MK"/>
        </w:rPr>
        <w:t>bank</w:t>
      </w:r>
      <w:proofErr w:type="spellEnd"/>
      <w:r w:rsidRPr="00671BEA">
        <w:rPr>
          <w:rFonts w:ascii="Arial" w:hAnsi="Arial" w:cs="Arial"/>
          <w:lang w:val="mk-MK"/>
        </w:rPr>
        <w:t xml:space="preserve"> </w:t>
      </w:r>
      <w:proofErr w:type="spellStart"/>
      <w:r w:rsidRPr="00671BEA">
        <w:rPr>
          <w:rFonts w:ascii="Arial" w:hAnsi="Arial" w:cs="Arial"/>
          <w:lang w:val="mk-MK"/>
        </w:rPr>
        <w:t>branch</w:t>
      </w:r>
      <w:proofErr w:type="spellEnd"/>
      <w:r w:rsidRPr="00671BEA">
        <w:rPr>
          <w:rFonts w:ascii="Arial" w:hAnsi="Arial" w:cs="Arial"/>
          <w:lang w:val="mk-MK"/>
        </w:rPr>
        <w:t xml:space="preserve"> </w:t>
      </w:r>
      <w:proofErr w:type="spellStart"/>
      <w:r w:rsidRPr="00671BEA">
        <w:rPr>
          <w:rFonts w:ascii="Arial" w:hAnsi="Arial" w:cs="Arial"/>
          <w:lang w:val="mk-MK"/>
        </w:rPr>
        <w:t>and</w:t>
      </w:r>
      <w:proofErr w:type="spellEnd"/>
      <w:r w:rsidRPr="00671BEA">
        <w:rPr>
          <w:rFonts w:ascii="Arial" w:hAnsi="Arial" w:cs="Arial"/>
          <w:lang w:val="mk-MK"/>
        </w:rPr>
        <w:t xml:space="preserve"> </w:t>
      </w:r>
      <w:proofErr w:type="spellStart"/>
      <w:r w:rsidRPr="00671BEA">
        <w:rPr>
          <w:rFonts w:ascii="Arial" w:hAnsi="Arial" w:cs="Arial"/>
          <w:lang w:val="mk-MK"/>
        </w:rPr>
        <w:t>savings</w:t>
      </w:r>
      <w:proofErr w:type="spellEnd"/>
      <w:r w:rsidRPr="00671BEA">
        <w:rPr>
          <w:rFonts w:ascii="Arial" w:hAnsi="Arial" w:cs="Arial"/>
          <w:lang w:val="mk-MK"/>
        </w:rPr>
        <w:t xml:space="preserve"> </w:t>
      </w:r>
      <w:proofErr w:type="spellStart"/>
      <w:r w:rsidRPr="00671BEA">
        <w:rPr>
          <w:rFonts w:ascii="Arial" w:hAnsi="Arial" w:cs="Arial"/>
          <w:lang w:val="mk-MK"/>
        </w:rPr>
        <w:t>house</w:t>
      </w:r>
      <w:proofErr w:type="spellEnd"/>
      <w:r w:rsidRPr="00671BEA">
        <w:rPr>
          <w:rFonts w:ascii="Arial" w:hAnsi="Arial" w:cs="Arial"/>
          <w:lang w:val="mk-MK"/>
        </w:rPr>
        <w:t xml:space="preserve"> </w:t>
      </w:r>
      <w:proofErr w:type="spellStart"/>
      <w:r w:rsidRPr="00671BEA">
        <w:rPr>
          <w:rFonts w:ascii="Arial" w:hAnsi="Arial" w:cs="Arial"/>
          <w:lang w:val="mk-MK"/>
        </w:rPr>
        <w:t>calculated</w:t>
      </w:r>
      <w:proofErr w:type="spellEnd"/>
      <w:r w:rsidRPr="00671BEA">
        <w:rPr>
          <w:rFonts w:ascii="Arial" w:hAnsi="Arial" w:cs="Arial"/>
          <w:lang w:val="mk-MK"/>
        </w:rPr>
        <w:t xml:space="preserve"> </w:t>
      </w:r>
      <w:proofErr w:type="spellStart"/>
      <w:r w:rsidRPr="00671BEA">
        <w:rPr>
          <w:rFonts w:ascii="Arial" w:hAnsi="Arial" w:cs="Arial"/>
          <w:lang w:val="mk-MK"/>
        </w:rPr>
        <w:t>by</w:t>
      </w:r>
      <w:proofErr w:type="spellEnd"/>
      <w:r w:rsidRPr="00671BEA">
        <w:rPr>
          <w:rFonts w:ascii="Arial" w:hAnsi="Arial" w:cs="Arial"/>
          <w:lang w:val="mk-MK"/>
        </w:rPr>
        <w:t xml:space="preserve"> </w:t>
      </w:r>
      <w:proofErr w:type="spellStart"/>
      <w:r w:rsidRPr="00671BEA">
        <w:rPr>
          <w:rFonts w:ascii="Arial" w:hAnsi="Arial" w:cs="Arial"/>
          <w:lang w:val="mk-MK"/>
        </w:rPr>
        <w:t>applying</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middle</w:t>
      </w:r>
      <w:proofErr w:type="spellEnd"/>
      <w:r w:rsidRPr="00671BEA">
        <w:rPr>
          <w:rFonts w:ascii="Arial" w:hAnsi="Arial" w:cs="Arial"/>
          <w:lang w:val="mk-MK"/>
        </w:rPr>
        <w:t xml:space="preserve"> </w:t>
      </w:r>
      <w:proofErr w:type="spellStart"/>
      <w:r w:rsidRPr="00671BEA">
        <w:rPr>
          <w:rFonts w:ascii="Arial" w:hAnsi="Arial" w:cs="Arial"/>
          <w:lang w:val="mk-MK"/>
        </w:rPr>
        <w:t>exchange</w:t>
      </w:r>
      <w:proofErr w:type="spellEnd"/>
      <w:r w:rsidRPr="00671BEA">
        <w:rPr>
          <w:rFonts w:ascii="Arial" w:hAnsi="Arial" w:cs="Arial"/>
          <w:lang w:val="mk-MK"/>
        </w:rPr>
        <w:t xml:space="preserve"> </w:t>
      </w:r>
      <w:proofErr w:type="spellStart"/>
      <w:r w:rsidRPr="00671BEA">
        <w:rPr>
          <w:rFonts w:ascii="Arial" w:hAnsi="Arial" w:cs="Arial"/>
          <w:lang w:val="mk-MK"/>
        </w:rPr>
        <w:t>rate</w:t>
      </w:r>
      <w:proofErr w:type="spellEnd"/>
      <w:r w:rsidRPr="00671BEA">
        <w:rPr>
          <w:rFonts w:ascii="Arial" w:hAnsi="Arial" w:cs="Arial"/>
          <w:lang w:val="mk-MK"/>
        </w:rPr>
        <w:t xml:space="preserve"> </w:t>
      </w:r>
      <w:proofErr w:type="spellStart"/>
      <w:r w:rsidRPr="00671BEA">
        <w:rPr>
          <w:rFonts w:ascii="Arial" w:hAnsi="Arial" w:cs="Arial"/>
          <w:lang w:val="mk-MK"/>
        </w:rPr>
        <w:t>of</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National</w:t>
      </w:r>
      <w:proofErr w:type="spellEnd"/>
      <w:r w:rsidRPr="00671BEA">
        <w:rPr>
          <w:rFonts w:ascii="Arial" w:hAnsi="Arial" w:cs="Arial"/>
          <w:lang w:val="mk-MK"/>
        </w:rPr>
        <w:t xml:space="preserve"> </w:t>
      </w:r>
      <w:proofErr w:type="spellStart"/>
      <w:r w:rsidRPr="00671BEA">
        <w:rPr>
          <w:rFonts w:ascii="Arial" w:hAnsi="Arial" w:cs="Arial"/>
          <w:lang w:val="mk-MK"/>
        </w:rPr>
        <w:t>Bank</w:t>
      </w:r>
      <w:proofErr w:type="spellEnd"/>
      <w:r w:rsidRPr="00671BEA">
        <w:rPr>
          <w:rFonts w:ascii="Arial" w:hAnsi="Arial" w:cs="Arial"/>
          <w:lang w:val="mk-MK"/>
        </w:rPr>
        <w:t xml:space="preserve"> </w:t>
      </w:r>
      <w:proofErr w:type="spellStart"/>
      <w:r w:rsidRPr="00671BEA">
        <w:rPr>
          <w:rFonts w:ascii="Arial" w:hAnsi="Arial" w:cs="Arial"/>
          <w:lang w:val="mk-MK"/>
        </w:rPr>
        <w:t>of</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Republic</w:t>
      </w:r>
      <w:proofErr w:type="spellEnd"/>
      <w:r w:rsidRPr="00671BEA">
        <w:rPr>
          <w:rFonts w:ascii="Arial" w:hAnsi="Arial" w:cs="Arial"/>
          <w:lang w:val="mk-MK"/>
        </w:rPr>
        <w:t xml:space="preserve"> </w:t>
      </w:r>
      <w:proofErr w:type="spellStart"/>
      <w:r w:rsidRPr="00671BEA">
        <w:rPr>
          <w:rFonts w:ascii="Arial" w:hAnsi="Arial" w:cs="Arial"/>
          <w:lang w:val="mk-MK"/>
        </w:rPr>
        <w:t>of</w:t>
      </w:r>
      <w:proofErr w:type="spellEnd"/>
      <w:r w:rsidRPr="00671BEA">
        <w:rPr>
          <w:rFonts w:ascii="Arial" w:hAnsi="Arial" w:cs="Arial"/>
          <w:lang w:val="mk-MK"/>
        </w:rPr>
        <w:t xml:space="preserve"> </w:t>
      </w:r>
      <w:proofErr w:type="spellStart"/>
      <w:r w:rsidRPr="00671BEA">
        <w:rPr>
          <w:rFonts w:ascii="Arial" w:hAnsi="Arial" w:cs="Arial"/>
          <w:lang w:val="mk-MK"/>
        </w:rPr>
        <w:t>North</w:t>
      </w:r>
      <w:proofErr w:type="spellEnd"/>
      <w:r w:rsidRPr="00671BEA">
        <w:rPr>
          <w:rFonts w:ascii="Arial" w:hAnsi="Arial" w:cs="Arial"/>
          <w:lang w:val="mk-MK"/>
        </w:rPr>
        <w:t xml:space="preserve"> </w:t>
      </w:r>
      <w:proofErr w:type="spellStart"/>
      <w:r w:rsidRPr="00671BEA">
        <w:rPr>
          <w:rFonts w:ascii="Arial" w:hAnsi="Arial" w:cs="Arial"/>
          <w:lang w:val="mk-MK"/>
        </w:rPr>
        <w:t>Macedonia</w:t>
      </w:r>
      <w:proofErr w:type="spellEnd"/>
      <w:r w:rsidRPr="00671BEA">
        <w:rPr>
          <w:rFonts w:ascii="Arial" w:hAnsi="Arial" w:cs="Arial"/>
          <w:lang w:val="mk-MK"/>
        </w:rPr>
        <w:t xml:space="preserve"> </w:t>
      </w:r>
      <w:proofErr w:type="spellStart"/>
      <w:r w:rsidRPr="00671BEA">
        <w:rPr>
          <w:rFonts w:ascii="Arial" w:hAnsi="Arial" w:cs="Arial"/>
          <w:lang w:val="mk-MK"/>
        </w:rPr>
        <w:t>on</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day</w:t>
      </w:r>
      <w:proofErr w:type="spellEnd"/>
      <w:r w:rsidRPr="00671BEA">
        <w:rPr>
          <w:rFonts w:ascii="Arial" w:hAnsi="Arial" w:cs="Arial"/>
          <w:lang w:val="mk-MK"/>
        </w:rPr>
        <w:t xml:space="preserve"> </w:t>
      </w:r>
      <w:proofErr w:type="spellStart"/>
      <w:r w:rsidRPr="00671BEA">
        <w:rPr>
          <w:rFonts w:ascii="Arial" w:hAnsi="Arial" w:cs="Arial"/>
          <w:lang w:val="mk-MK"/>
        </w:rPr>
        <w:t>when</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Governor</w:t>
      </w:r>
      <w:proofErr w:type="spellEnd"/>
      <w:r w:rsidRPr="00671BEA">
        <w:rPr>
          <w:rFonts w:ascii="Arial" w:hAnsi="Arial" w:cs="Arial"/>
          <w:lang w:val="mk-MK"/>
        </w:rPr>
        <w:t xml:space="preserve"> </w:t>
      </w:r>
      <w:proofErr w:type="spellStart"/>
      <w:r w:rsidRPr="00671BEA">
        <w:rPr>
          <w:rFonts w:ascii="Arial" w:hAnsi="Arial" w:cs="Arial"/>
          <w:lang w:val="mk-MK"/>
        </w:rPr>
        <w:t>of</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National</w:t>
      </w:r>
      <w:proofErr w:type="spellEnd"/>
      <w:r w:rsidRPr="00671BEA">
        <w:rPr>
          <w:rFonts w:ascii="Arial" w:hAnsi="Arial" w:cs="Arial"/>
          <w:lang w:val="mk-MK"/>
        </w:rPr>
        <w:t xml:space="preserve"> </w:t>
      </w:r>
      <w:proofErr w:type="spellStart"/>
      <w:r w:rsidRPr="00671BEA">
        <w:rPr>
          <w:rFonts w:ascii="Arial" w:hAnsi="Arial" w:cs="Arial"/>
          <w:lang w:val="mk-MK"/>
        </w:rPr>
        <w:t>Bank</w:t>
      </w:r>
      <w:proofErr w:type="spellEnd"/>
      <w:r w:rsidRPr="00671BEA">
        <w:rPr>
          <w:rFonts w:ascii="Arial" w:hAnsi="Arial" w:cs="Arial"/>
          <w:lang w:val="mk-MK"/>
        </w:rPr>
        <w:t xml:space="preserve"> </w:t>
      </w:r>
      <w:proofErr w:type="spellStart"/>
      <w:r w:rsidRPr="00671BEA">
        <w:rPr>
          <w:rFonts w:ascii="Arial" w:hAnsi="Arial" w:cs="Arial"/>
          <w:lang w:val="mk-MK"/>
        </w:rPr>
        <w:t>of</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Republic</w:t>
      </w:r>
      <w:proofErr w:type="spellEnd"/>
      <w:r w:rsidRPr="00671BEA">
        <w:rPr>
          <w:rFonts w:ascii="Arial" w:hAnsi="Arial" w:cs="Arial"/>
          <w:lang w:val="mk-MK"/>
        </w:rPr>
        <w:t xml:space="preserve"> </w:t>
      </w:r>
      <w:proofErr w:type="spellStart"/>
      <w:r w:rsidRPr="00671BEA">
        <w:rPr>
          <w:rFonts w:ascii="Arial" w:hAnsi="Arial" w:cs="Arial"/>
          <w:lang w:val="mk-MK"/>
        </w:rPr>
        <w:t>of</w:t>
      </w:r>
      <w:proofErr w:type="spellEnd"/>
      <w:r w:rsidRPr="00671BEA">
        <w:rPr>
          <w:rFonts w:ascii="Arial" w:hAnsi="Arial" w:cs="Arial"/>
          <w:lang w:val="mk-MK"/>
        </w:rPr>
        <w:t xml:space="preserve"> </w:t>
      </w:r>
      <w:proofErr w:type="spellStart"/>
      <w:r w:rsidRPr="00671BEA">
        <w:rPr>
          <w:rFonts w:ascii="Arial" w:hAnsi="Arial" w:cs="Arial"/>
          <w:lang w:val="mk-MK"/>
        </w:rPr>
        <w:t>North</w:t>
      </w:r>
      <w:proofErr w:type="spellEnd"/>
      <w:r w:rsidRPr="00671BEA">
        <w:rPr>
          <w:rFonts w:ascii="Arial" w:hAnsi="Arial" w:cs="Arial"/>
          <w:lang w:val="mk-MK"/>
        </w:rPr>
        <w:t xml:space="preserve"> </w:t>
      </w:r>
      <w:proofErr w:type="spellStart"/>
      <w:r w:rsidRPr="00671BEA">
        <w:rPr>
          <w:rFonts w:ascii="Arial" w:hAnsi="Arial" w:cs="Arial"/>
          <w:lang w:val="mk-MK"/>
        </w:rPr>
        <w:t>Macedonia</w:t>
      </w:r>
      <w:proofErr w:type="spellEnd"/>
      <w:r w:rsidRPr="00671BEA">
        <w:rPr>
          <w:rFonts w:ascii="Arial" w:hAnsi="Arial" w:cs="Arial"/>
          <w:lang w:val="mk-MK"/>
        </w:rPr>
        <w:t xml:space="preserve"> </w:t>
      </w:r>
      <w:proofErr w:type="spellStart"/>
      <w:r w:rsidRPr="00671BEA">
        <w:rPr>
          <w:rFonts w:ascii="Arial" w:hAnsi="Arial" w:cs="Arial"/>
          <w:lang w:val="mk-MK"/>
        </w:rPr>
        <w:t>shall</w:t>
      </w:r>
      <w:proofErr w:type="spellEnd"/>
      <w:r w:rsidRPr="00671BEA">
        <w:rPr>
          <w:rFonts w:ascii="Arial" w:hAnsi="Arial" w:cs="Arial"/>
          <w:lang w:val="mk-MK"/>
        </w:rPr>
        <w:t xml:space="preserve"> </w:t>
      </w:r>
      <w:proofErr w:type="spellStart"/>
      <w:r w:rsidRPr="00671BEA">
        <w:rPr>
          <w:rFonts w:ascii="Arial" w:hAnsi="Arial" w:cs="Arial"/>
          <w:lang w:val="mk-MK"/>
        </w:rPr>
        <w:t>adopt</w:t>
      </w:r>
      <w:proofErr w:type="spellEnd"/>
      <w:r w:rsidRPr="00671BEA">
        <w:rPr>
          <w:rFonts w:ascii="Arial" w:hAnsi="Arial" w:cs="Arial"/>
          <w:lang w:val="mk-MK"/>
        </w:rPr>
        <w:t xml:space="preserve"> a </w:t>
      </w:r>
      <w:proofErr w:type="spellStart"/>
      <w:r w:rsidRPr="00671BEA">
        <w:rPr>
          <w:rFonts w:ascii="Arial" w:hAnsi="Arial" w:cs="Arial"/>
          <w:lang w:val="mk-MK"/>
        </w:rPr>
        <w:t>decision</w:t>
      </w:r>
      <w:proofErr w:type="spellEnd"/>
      <w:r w:rsidRPr="00671BEA">
        <w:rPr>
          <w:rFonts w:ascii="Arial" w:hAnsi="Arial" w:cs="Arial"/>
          <w:lang w:val="mk-MK"/>
        </w:rPr>
        <w:t xml:space="preserve"> </w:t>
      </w:r>
      <w:proofErr w:type="spellStart"/>
      <w:r w:rsidRPr="00671BEA">
        <w:rPr>
          <w:rFonts w:ascii="Arial" w:hAnsi="Arial" w:cs="Arial"/>
          <w:lang w:val="mk-MK"/>
        </w:rPr>
        <w:t>on</w:t>
      </w:r>
      <w:proofErr w:type="spellEnd"/>
      <w:r w:rsidRPr="00671BEA">
        <w:rPr>
          <w:rFonts w:ascii="Arial" w:hAnsi="Arial" w:cs="Arial"/>
          <w:lang w:val="mk-MK"/>
        </w:rPr>
        <w:t xml:space="preserve"> </w:t>
      </w:r>
      <w:proofErr w:type="spellStart"/>
      <w:r w:rsidRPr="00671BEA">
        <w:rPr>
          <w:rFonts w:ascii="Arial" w:hAnsi="Arial" w:cs="Arial"/>
          <w:lang w:val="mk-MK"/>
        </w:rPr>
        <w:t>revoking</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founding</w:t>
      </w:r>
      <w:proofErr w:type="spellEnd"/>
      <w:r w:rsidRPr="00671BEA">
        <w:rPr>
          <w:rFonts w:ascii="Arial" w:hAnsi="Arial" w:cs="Arial"/>
          <w:lang w:val="mk-MK"/>
        </w:rPr>
        <w:t xml:space="preserve"> </w:t>
      </w:r>
      <w:proofErr w:type="spellStart"/>
      <w:r w:rsidRPr="00671BEA">
        <w:rPr>
          <w:rFonts w:ascii="Arial" w:hAnsi="Arial" w:cs="Arial"/>
          <w:lang w:val="mk-MK"/>
        </w:rPr>
        <w:t>and</w:t>
      </w:r>
      <w:proofErr w:type="spellEnd"/>
      <w:r w:rsidRPr="00671BEA">
        <w:rPr>
          <w:rFonts w:ascii="Arial" w:hAnsi="Arial" w:cs="Arial"/>
          <w:lang w:val="mk-MK"/>
        </w:rPr>
        <w:t xml:space="preserve"> </w:t>
      </w:r>
      <w:proofErr w:type="spellStart"/>
      <w:r w:rsidRPr="00671BEA">
        <w:rPr>
          <w:rFonts w:ascii="Arial" w:hAnsi="Arial" w:cs="Arial"/>
          <w:lang w:val="mk-MK"/>
        </w:rPr>
        <w:t>operating</w:t>
      </w:r>
      <w:proofErr w:type="spellEnd"/>
      <w:r w:rsidRPr="00671BEA">
        <w:rPr>
          <w:rFonts w:ascii="Arial" w:hAnsi="Arial" w:cs="Arial"/>
          <w:lang w:val="mk-MK"/>
        </w:rPr>
        <w:t xml:space="preserve"> </w:t>
      </w:r>
      <w:proofErr w:type="spellStart"/>
      <w:r w:rsidRPr="00671BEA">
        <w:rPr>
          <w:rFonts w:ascii="Arial" w:hAnsi="Arial" w:cs="Arial"/>
          <w:lang w:val="mk-MK"/>
        </w:rPr>
        <w:t>license</w:t>
      </w:r>
      <w:proofErr w:type="spellEnd"/>
      <w:r w:rsidRPr="00671BEA">
        <w:rPr>
          <w:rFonts w:ascii="Arial" w:hAnsi="Arial" w:cs="Arial"/>
          <w:lang w:val="mk-MK"/>
        </w:rPr>
        <w:t xml:space="preserve"> </w:t>
      </w:r>
      <w:proofErr w:type="spellStart"/>
      <w:r w:rsidRPr="00671BEA">
        <w:rPr>
          <w:rFonts w:ascii="Arial" w:hAnsi="Arial" w:cs="Arial"/>
          <w:lang w:val="mk-MK"/>
        </w:rPr>
        <w:t>of</w:t>
      </w:r>
      <w:proofErr w:type="spellEnd"/>
      <w:r w:rsidRPr="00671BEA">
        <w:rPr>
          <w:rFonts w:ascii="Arial" w:hAnsi="Arial" w:cs="Arial"/>
          <w:lang w:val="mk-MK"/>
        </w:rPr>
        <w:t xml:space="preserve"> a </w:t>
      </w:r>
      <w:proofErr w:type="spellStart"/>
      <w:r w:rsidRPr="00671BEA">
        <w:rPr>
          <w:rFonts w:ascii="Arial" w:hAnsi="Arial" w:cs="Arial"/>
          <w:lang w:val="mk-MK"/>
        </w:rPr>
        <w:t>bank</w:t>
      </w:r>
      <w:proofErr w:type="spellEnd"/>
      <w:r w:rsidRPr="00671BEA">
        <w:rPr>
          <w:rFonts w:ascii="Arial" w:hAnsi="Arial" w:cs="Arial"/>
          <w:lang w:val="mk-MK"/>
        </w:rPr>
        <w:t xml:space="preserve">, </w:t>
      </w:r>
      <w:proofErr w:type="spellStart"/>
      <w:r w:rsidRPr="00671BEA">
        <w:rPr>
          <w:rFonts w:ascii="Arial" w:hAnsi="Arial" w:cs="Arial"/>
          <w:lang w:val="mk-MK"/>
        </w:rPr>
        <w:t>foreign</w:t>
      </w:r>
      <w:proofErr w:type="spellEnd"/>
      <w:r w:rsidRPr="00671BEA">
        <w:rPr>
          <w:rFonts w:ascii="Arial" w:hAnsi="Arial" w:cs="Arial"/>
          <w:lang w:val="mk-MK"/>
        </w:rPr>
        <w:t xml:space="preserve"> </w:t>
      </w:r>
      <w:proofErr w:type="spellStart"/>
      <w:r w:rsidRPr="00671BEA">
        <w:rPr>
          <w:rFonts w:ascii="Arial" w:hAnsi="Arial" w:cs="Arial"/>
          <w:lang w:val="mk-MK"/>
        </w:rPr>
        <w:t>bank</w:t>
      </w:r>
      <w:proofErr w:type="spellEnd"/>
      <w:r w:rsidRPr="00671BEA">
        <w:rPr>
          <w:rFonts w:ascii="Arial" w:hAnsi="Arial" w:cs="Arial"/>
          <w:lang w:val="mk-MK"/>
        </w:rPr>
        <w:t xml:space="preserve"> </w:t>
      </w:r>
      <w:proofErr w:type="spellStart"/>
      <w:r w:rsidRPr="00671BEA">
        <w:rPr>
          <w:rFonts w:ascii="Arial" w:hAnsi="Arial" w:cs="Arial"/>
          <w:lang w:val="mk-MK"/>
        </w:rPr>
        <w:t>branch</w:t>
      </w:r>
      <w:proofErr w:type="spellEnd"/>
      <w:r w:rsidRPr="00671BEA">
        <w:rPr>
          <w:rFonts w:ascii="Arial" w:hAnsi="Arial" w:cs="Arial"/>
          <w:lang w:val="mk-MK"/>
        </w:rPr>
        <w:t xml:space="preserve"> </w:t>
      </w:r>
      <w:proofErr w:type="spellStart"/>
      <w:r w:rsidRPr="00671BEA">
        <w:rPr>
          <w:rFonts w:ascii="Arial" w:hAnsi="Arial" w:cs="Arial"/>
          <w:lang w:val="mk-MK"/>
        </w:rPr>
        <w:t>or</w:t>
      </w:r>
      <w:proofErr w:type="spellEnd"/>
      <w:r w:rsidRPr="00671BEA">
        <w:rPr>
          <w:rFonts w:ascii="Arial" w:hAnsi="Arial" w:cs="Arial"/>
          <w:lang w:val="mk-MK"/>
        </w:rPr>
        <w:t xml:space="preserve"> </w:t>
      </w:r>
      <w:proofErr w:type="spellStart"/>
      <w:r w:rsidRPr="00671BEA">
        <w:rPr>
          <w:rFonts w:ascii="Arial" w:hAnsi="Arial" w:cs="Arial"/>
          <w:lang w:val="mk-MK"/>
        </w:rPr>
        <w:t>saving</w:t>
      </w:r>
      <w:proofErr w:type="spellEnd"/>
      <w:r w:rsidRPr="00671BEA">
        <w:rPr>
          <w:rFonts w:ascii="Arial" w:hAnsi="Arial" w:cs="Arial"/>
          <w:lang w:val="mk-MK"/>
        </w:rPr>
        <w:t xml:space="preserve"> </w:t>
      </w:r>
      <w:proofErr w:type="spellStart"/>
      <w:r w:rsidRPr="00671BEA">
        <w:rPr>
          <w:rFonts w:ascii="Arial" w:hAnsi="Arial" w:cs="Arial"/>
          <w:lang w:val="mk-MK"/>
        </w:rPr>
        <w:t>house</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amount</w:t>
      </w:r>
      <w:proofErr w:type="spellEnd"/>
      <w:r w:rsidRPr="00671BEA">
        <w:rPr>
          <w:rFonts w:ascii="Arial" w:hAnsi="Arial" w:cs="Arial"/>
          <w:lang w:val="mk-MK"/>
        </w:rPr>
        <w:t xml:space="preserve"> </w:t>
      </w:r>
      <w:proofErr w:type="spellStart"/>
      <w:r w:rsidRPr="00671BEA">
        <w:rPr>
          <w:rFonts w:ascii="Arial" w:hAnsi="Arial" w:cs="Arial"/>
          <w:lang w:val="mk-MK"/>
        </w:rPr>
        <w:t>shall</w:t>
      </w:r>
      <w:proofErr w:type="spellEnd"/>
      <w:r w:rsidRPr="00671BEA">
        <w:rPr>
          <w:rFonts w:ascii="Arial" w:hAnsi="Arial" w:cs="Arial"/>
          <w:lang w:val="mk-MK"/>
        </w:rPr>
        <w:t xml:space="preserve"> </w:t>
      </w:r>
      <w:proofErr w:type="spellStart"/>
      <w:r w:rsidRPr="00671BEA">
        <w:rPr>
          <w:rFonts w:ascii="Arial" w:hAnsi="Arial" w:cs="Arial"/>
          <w:lang w:val="mk-MK"/>
        </w:rPr>
        <w:t>comprise</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principal</w:t>
      </w:r>
      <w:proofErr w:type="spellEnd"/>
      <w:r w:rsidRPr="00671BEA">
        <w:rPr>
          <w:rFonts w:ascii="Arial" w:hAnsi="Arial" w:cs="Arial"/>
          <w:lang w:val="mk-MK"/>
        </w:rPr>
        <w:t xml:space="preserve"> </w:t>
      </w:r>
      <w:proofErr w:type="spellStart"/>
      <w:r w:rsidRPr="00671BEA">
        <w:rPr>
          <w:rFonts w:ascii="Arial" w:hAnsi="Arial" w:cs="Arial"/>
          <w:lang w:val="mk-MK"/>
        </w:rPr>
        <w:t>of</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deposit</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calculated</w:t>
      </w:r>
      <w:proofErr w:type="spellEnd"/>
      <w:r w:rsidRPr="00671BEA">
        <w:rPr>
          <w:rFonts w:ascii="Arial" w:hAnsi="Arial" w:cs="Arial"/>
          <w:lang w:val="mk-MK"/>
        </w:rPr>
        <w:t xml:space="preserve"> </w:t>
      </w:r>
      <w:proofErr w:type="spellStart"/>
      <w:r w:rsidRPr="00671BEA">
        <w:rPr>
          <w:rFonts w:ascii="Arial" w:hAnsi="Arial" w:cs="Arial"/>
          <w:lang w:val="mk-MK"/>
        </w:rPr>
        <w:t>agreed</w:t>
      </w:r>
      <w:proofErr w:type="spellEnd"/>
      <w:r w:rsidRPr="00671BEA">
        <w:rPr>
          <w:rFonts w:ascii="Arial" w:hAnsi="Arial" w:cs="Arial"/>
          <w:lang w:val="mk-MK"/>
        </w:rPr>
        <w:t xml:space="preserve"> </w:t>
      </w:r>
      <w:proofErr w:type="spellStart"/>
      <w:r w:rsidRPr="00671BEA">
        <w:rPr>
          <w:rFonts w:ascii="Arial" w:hAnsi="Arial" w:cs="Arial"/>
          <w:lang w:val="mk-MK"/>
        </w:rPr>
        <w:t>and</w:t>
      </w:r>
      <w:proofErr w:type="spellEnd"/>
      <w:r w:rsidRPr="00671BEA">
        <w:rPr>
          <w:rFonts w:ascii="Arial" w:hAnsi="Arial" w:cs="Arial"/>
          <w:lang w:val="mk-MK"/>
        </w:rPr>
        <w:t xml:space="preserve"> </w:t>
      </w:r>
      <w:proofErr w:type="spellStart"/>
      <w:r w:rsidRPr="00671BEA">
        <w:rPr>
          <w:rFonts w:ascii="Arial" w:hAnsi="Arial" w:cs="Arial"/>
          <w:lang w:val="mk-MK"/>
        </w:rPr>
        <w:t>ascribed</w:t>
      </w:r>
      <w:proofErr w:type="spellEnd"/>
      <w:r w:rsidRPr="00671BEA">
        <w:rPr>
          <w:rFonts w:ascii="Arial" w:hAnsi="Arial" w:cs="Arial"/>
          <w:lang w:val="mk-MK"/>
        </w:rPr>
        <w:t xml:space="preserve"> </w:t>
      </w:r>
      <w:proofErr w:type="spellStart"/>
      <w:r w:rsidRPr="00671BEA">
        <w:rPr>
          <w:rFonts w:ascii="Arial" w:hAnsi="Arial" w:cs="Arial"/>
          <w:lang w:val="mk-MK"/>
        </w:rPr>
        <w:t>interest</w:t>
      </w:r>
      <w:proofErr w:type="spellEnd"/>
      <w:r w:rsidRPr="00671BEA">
        <w:rPr>
          <w:rFonts w:ascii="Arial" w:hAnsi="Arial" w:cs="Arial"/>
          <w:lang w:val="mk-MK"/>
        </w:rPr>
        <w:t xml:space="preserve"> </w:t>
      </w:r>
      <w:proofErr w:type="spellStart"/>
      <w:r w:rsidRPr="00671BEA">
        <w:rPr>
          <w:rFonts w:ascii="Arial" w:hAnsi="Arial" w:cs="Arial"/>
          <w:lang w:val="mk-MK"/>
        </w:rPr>
        <w:t>and</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undue</w:t>
      </w:r>
      <w:proofErr w:type="spellEnd"/>
      <w:r w:rsidRPr="00671BEA">
        <w:rPr>
          <w:rFonts w:ascii="Arial" w:hAnsi="Arial" w:cs="Arial"/>
          <w:lang w:val="mk-MK"/>
        </w:rPr>
        <w:t xml:space="preserve"> </w:t>
      </w:r>
      <w:proofErr w:type="spellStart"/>
      <w:r w:rsidRPr="00671BEA">
        <w:rPr>
          <w:rFonts w:ascii="Arial" w:hAnsi="Arial" w:cs="Arial"/>
          <w:lang w:val="mk-MK"/>
        </w:rPr>
        <w:t>interest</w:t>
      </w:r>
      <w:proofErr w:type="spellEnd"/>
      <w:r w:rsidRPr="00671BEA">
        <w:rPr>
          <w:rFonts w:ascii="Arial" w:hAnsi="Arial" w:cs="Arial"/>
          <w:lang w:val="mk-MK"/>
        </w:rPr>
        <w:t xml:space="preserve"> </w:t>
      </w:r>
      <w:proofErr w:type="spellStart"/>
      <w:r w:rsidRPr="00671BEA">
        <w:rPr>
          <w:rFonts w:ascii="Arial" w:hAnsi="Arial" w:cs="Arial"/>
          <w:lang w:val="mk-MK"/>
        </w:rPr>
        <w:t>up</w:t>
      </w:r>
      <w:proofErr w:type="spellEnd"/>
      <w:r w:rsidRPr="00671BEA">
        <w:rPr>
          <w:rFonts w:ascii="Arial" w:hAnsi="Arial" w:cs="Arial"/>
          <w:lang w:val="mk-MK"/>
        </w:rPr>
        <w:t xml:space="preserve"> </w:t>
      </w:r>
      <w:proofErr w:type="spellStart"/>
      <w:r w:rsidRPr="00671BEA">
        <w:rPr>
          <w:rFonts w:ascii="Arial" w:hAnsi="Arial" w:cs="Arial"/>
          <w:lang w:val="mk-MK"/>
        </w:rPr>
        <w:t>to</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day</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decision</w:t>
      </w:r>
      <w:proofErr w:type="spellEnd"/>
      <w:r w:rsidRPr="00671BEA">
        <w:rPr>
          <w:rFonts w:ascii="Arial" w:hAnsi="Arial" w:cs="Arial"/>
          <w:lang w:val="mk-MK"/>
        </w:rPr>
        <w:t xml:space="preserve"> </w:t>
      </w:r>
      <w:proofErr w:type="spellStart"/>
      <w:r w:rsidRPr="00671BEA">
        <w:rPr>
          <w:rFonts w:ascii="Arial" w:hAnsi="Arial" w:cs="Arial"/>
          <w:lang w:val="mk-MK"/>
        </w:rPr>
        <w:t>on</w:t>
      </w:r>
      <w:proofErr w:type="spellEnd"/>
      <w:r w:rsidRPr="00671BEA">
        <w:rPr>
          <w:rFonts w:ascii="Arial" w:hAnsi="Arial" w:cs="Arial"/>
          <w:lang w:val="mk-MK"/>
        </w:rPr>
        <w:t xml:space="preserve"> </w:t>
      </w:r>
      <w:proofErr w:type="spellStart"/>
      <w:r w:rsidRPr="00671BEA">
        <w:rPr>
          <w:rFonts w:ascii="Arial" w:hAnsi="Arial" w:cs="Arial"/>
          <w:lang w:val="mk-MK"/>
        </w:rPr>
        <w:t>revoking</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founding</w:t>
      </w:r>
      <w:proofErr w:type="spellEnd"/>
      <w:r w:rsidRPr="00671BEA">
        <w:rPr>
          <w:rFonts w:ascii="Arial" w:hAnsi="Arial" w:cs="Arial"/>
          <w:lang w:val="mk-MK"/>
        </w:rPr>
        <w:t xml:space="preserve"> </w:t>
      </w:r>
      <w:proofErr w:type="spellStart"/>
      <w:r w:rsidRPr="00671BEA">
        <w:rPr>
          <w:rFonts w:ascii="Arial" w:hAnsi="Arial" w:cs="Arial"/>
          <w:lang w:val="mk-MK"/>
        </w:rPr>
        <w:t>and</w:t>
      </w:r>
      <w:proofErr w:type="spellEnd"/>
      <w:r w:rsidRPr="00671BEA">
        <w:rPr>
          <w:rFonts w:ascii="Arial" w:hAnsi="Arial" w:cs="Arial"/>
          <w:lang w:val="mk-MK"/>
        </w:rPr>
        <w:t xml:space="preserve"> </w:t>
      </w:r>
      <w:proofErr w:type="spellStart"/>
      <w:r w:rsidRPr="00671BEA">
        <w:rPr>
          <w:rFonts w:ascii="Arial" w:hAnsi="Arial" w:cs="Arial"/>
          <w:lang w:val="mk-MK"/>
        </w:rPr>
        <w:t>operating</w:t>
      </w:r>
      <w:proofErr w:type="spellEnd"/>
      <w:r w:rsidRPr="00671BEA">
        <w:rPr>
          <w:rFonts w:ascii="Arial" w:hAnsi="Arial" w:cs="Arial"/>
          <w:lang w:val="mk-MK"/>
        </w:rPr>
        <w:t xml:space="preserve"> </w:t>
      </w:r>
      <w:proofErr w:type="spellStart"/>
      <w:r w:rsidRPr="00671BEA">
        <w:rPr>
          <w:rFonts w:ascii="Arial" w:hAnsi="Arial" w:cs="Arial"/>
          <w:lang w:val="mk-MK"/>
        </w:rPr>
        <w:t>license</w:t>
      </w:r>
      <w:proofErr w:type="spellEnd"/>
      <w:r w:rsidRPr="00671BEA">
        <w:rPr>
          <w:rFonts w:ascii="Arial" w:hAnsi="Arial" w:cs="Arial"/>
          <w:lang w:val="mk-MK"/>
        </w:rPr>
        <w:t xml:space="preserve"> </w:t>
      </w:r>
      <w:proofErr w:type="spellStart"/>
      <w:r w:rsidRPr="00671BEA">
        <w:rPr>
          <w:rFonts w:ascii="Arial" w:hAnsi="Arial" w:cs="Arial"/>
          <w:lang w:val="mk-MK"/>
        </w:rPr>
        <w:t>of</w:t>
      </w:r>
      <w:proofErr w:type="spellEnd"/>
      <w:r w:rsidRPr="00671BEA">
        <w:rPr>
          <w:rFonts w:ascii="Arial" w:hAnsi="Arial" w:cs="Arial"/>
          <w:lang w:val="mk-MK"/>
        </w:rPr>
        <w:t xml:space="preserve"> a </w:t>
      </w:r>
      <w:proofErr w:type="spellStart"/>
      <w:r w:rsidRPr="00671BEA">
        <w:rPr>
          <w:rFonts w:ascii="Arial" w:hAnsi="Arial" w:cs="Arial"/>
          <w:lang w:val="mk-MK"/>
        </w:rPr>
        <w:t>bank</w:t>
      </w:r>
      <w:proofErr w:type="spellEnd"/>
      <w:r w:rsidRPr="00671BEA">
        <w:rPr>
          <w:rFonts w:ascii="Arial" w:hAnsi="Arial" w:cs="Arial"/>
          <w:lang w:val="mk-MK"/>
        </w:rPr>
        <w:t xml:space="preserve">, </w:t>
      </w:r>
      <w:proofErr w:type="spellStart"/>
      <w:r w:rsidRPr="00671BEA">
        <w:rPr>
          <w:rFonts w:ascii="Arial" w:hAnsi="Arial" w:cs="Arial"/>
          <w:lang w:val="mk-MK"/>
        </w:rPr>
        <w:t>foreign</w:t>
      </w:r>
      <w:proofErr w:type="spellEnd"/>
      <w:r w:rsidRPr="00671BEA">
        <w:rPr>
          <w:rFonts w:ascii="Arial" w:hAnsi="Arial" w:cs="Arial"/>
          <w:lang w:val="mk-MK"/>
        </w:rPr>
        <w:t xml:space="preserve"> </w:t>
      </w:r>
      <w:proofErr w:type="spellStart"/>
      <w:r w:rsidRPr="00671BEA">
        <w:rPr>
          <w:rFonts w:ascii="Arial" w:hAnsi="Arial" w:cs="Arial"/>
          <w:lang w:val="mk-MK"/>
        </w:rPr>
        <w:t>bank</w:t>
      </w:r>
      <w:proofErr w:type="spellEnd"/>
      <w:r w:rsidRPr="00671BEA">
        <w:rPr>
          <w:rFonts w:ascii="Arial" w:hAnsi="Arial" w:cs="Arial"/>
          <w:lang w:val="mk-MK"/>
        </w:rPr>
        <w:t xml:space="preserve"> </w:t>
      </w:r>
      <w:proofErr w:type="spellStart"/>
      <w:r w:rsidRPr="00671BEA">
        <w:rPr>
          <w:rFonts w:ascii="Arial" w:hAnsi="Arial" w:cs="Arial"/>
          <w:lang w:val="mk-MK"/>
        </w:rPr>
        <w:t>branch</w:t>
      </w:r>
      <w:proofErr w:type="spellEnd"/>
      <w:r w:rsidRPr="00671BEA">
        <w:rPr>
          <w:rFonts w:ascii="Arial" w:hAnsi="Arial" w:cs="Arial"/>
          <w:lang w:val="mk-MK"/>
        </w:rPr>
        <w:t xml:space="preserve"> </w:t>
      </w:r>
      <w:proofErr w:type="spellStart"/>
      <w:r w:rsidRPr="00671BEA">
        <w:rPr>
          <w:rFonts w:ascii="Arial" w:hAnsi="Arial" w:cs="Arial"/>
          <w:lang w:val="mk-MK"/>
        </w:rPr>
        <w:t>or</w:t>
      </w:r>
      <w:proofErr w:type="spellEnd"/>
      <w:r w:rsidRPr="00671BEA">
        <w:rPr>
          <w:rFonts w:ascii="Arial" w:hAnsi="Arial" w:cs="Arial"/>
          <w:lang w:val="mk-MK"/>
        </w:rPr>
        <w:t xml:space="preserve"> </w:t>
      </w:r>
      <w:proofErr w:type="spellStart"/>
      <w:r w:rsidRPr="00671BEA">
        <w:rPr>
          <w:rFonts w:ascii="Arial" w:hAnsi="Arial" w:cs="Arial"/>
          <w:lang w:val="mk-MK"/>
        </w:rPr>
        <w:t>saving</w:t>
      </w:r>
      <w:proofErr w:type="spellEnd"/>
      <w:r w:rsidRPr="00671BEA">
        <w:rPr>
          <w:rFonts w:ascii="Arial" w:hAnsi="Arial" w:cs="Arial"/>
          <w:lang w:val="mk-MK"/>
        </w:rPr>
        <w:t xml:space="preserve"> </w:t>
      </w:r>
      <w:proofErr w:type="spellStart"/>
      <w:r w:rsidRPr="00671BEA">
        <w:rPr>
          <w:rFonts w:ascii="Arial" w:hAnsi="Arial" w:cs="Arial"/>
          <w:lang w:val="mk-MK"/>
        </w:rPr>
        <w:t>house</w:t>
      </w:r>
      <w:proofErr w:type="spellEnd"/>
      <w:r w:rsidRPr="00671BEA">
        <w:rPr>
          <w:rFonts w:ascii="Arial" w:hAnsi="Arial" w:cs="Arial"/>
          <w:lang w:val="mk-MK"/>
        </w:rPr>
        <w:t xml:space="preserve"> </w:t>
      </w:r>
      <w:proofErr w:type="spellStart"/>
      <w:r w:rsidRPr="00671BEA">
        <w:rPr>
          <w:rFonts w:ascii="Arial" w:hAnsi="Arial" w:cs="Arial"/>
          <w:lang w:val="mk-MK"/>
        </w:rPr>
        <w:t>becomes</w:t>
      </w:r>
      <w:proofErr w:type="spellEnd"/>
      <w:r w:rsidRPr="00671BEA">
        <w:rPr>
          <w:rFonts w:ascii="Arial" w:hAnsi="Arial" w:cs="Arial"/>
          <w:lang w:val="mk-MK"/>
        </w:rPr>
        <w:t xml:space="preserve"> </w:t>
      </w:r>
      <w:proofErr w:type="spellStart"/>
      <w:r w:rsidRPr="00671BEA">
        <w:rPr>
          <w:rFonts w:ascii="Arial" w:hAnsi="Arial" w:cs="Arial"/>
          <w:lang w:val="mk-MK"/>
        </w:rPr>
        <w:t>final</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deposits</w:t>
      </w:r>
      <w:proofErr w:type="spellEnd"/>
      <w:r w:rsidRPr="00671BEA">
        <w:rPr>
          <w:rFonts w:ascii="Arial" w:hAnsi="Arial" w:cs="Arial"/>
          <w:lang w:val="mk-MK"/>
        </w:rPr>
        <w:t xml:space="preserve"> </w:t>
      </w:r>
      <w:proofErr w:type="spellStart"/>
      <w:r w:rsidRPr="00671BEA">
        <w:rPr>
          <w:rFonts w:ascii="Arial" w:hAnsi="Arial" w:cs="Arial"/>
          <w:lang w:val="mk-MK"/>
        </w:rPr>
        <w:t>deposited</w:t>
      </w:r>
      <w:proofErr w:type="spellEnd"/>
      <w:r w:rsidRPr="00671BEA">
        <w:rPr>
          <w:rFonts w:ascii="Arial" w:hAnsi="Arial" w:cs="Arial"/>
          <w:lang w:val="mk-MK"/>
        </w:rPr>
        <w:t xml:space="preserve"> </w:t>
      </w:r>
      <w:proofErr w:type="spellStart"/>
      <w:r w:rsidRPr="00671BEA">
        <w:rPr>
          <w:rFonts w:ascii="Arial" w:hAnsi="Arial" w:cs="Arial"/>
          <w:lang w:val="mk-MK"/>
        </w:rPr>
        <w:t>in</w:t>
      </w:r>
      <w:proofErr w:type="spellEnd"/>
      <w:r w:rsidRPr="00671BEA">
        <w:rPr>
          <w:rFonts w:ascii="Arial" w:hAnsi="Arial" w:cs="Arial"/>
          <w:lang w:val="mk-MK"/>
        </w:rPr>
        <w:t xml:space="preserve"> </w:t>
      </w:r>
      <w:proofErr w:type="spellStart"/>
      <w:r w:rsidRPr="00671BEA">
        <w:rPr>
          <w:rFonts w:ascii="Arial" w:hAnsi="Arial" w:cs="Arial"/>
          <w:lang w:val="mk-MK"/>
        </w:rPr>
        <w:t>foreign</w:t>
      </w:r>
      <w:proofErr w:type="spellEnd"/>
      <w:r w:rsidRPr="00671BEA">
        <w:rPr>
          <w:rFonts w:ascii="Arial" w:hAnsi="Arial" w:cs="Arial"/>
          <w:lang w:val="mk-MK"/>
        </w:rPr>
        <w:t xml:space="preserve"> </w:t>
      </w:r>
      <w:proofErr w:type="spellStart"/>
      <w:r w:rsidRPr="00671BEA">
        <w:rPr>
          <w:rFonts w:ascii="Arial" w:hAnsi="Arial" w:cs="Arial"/>
          <w:lang w:val="mk-MK"/>
        </w:rPr>
        <w:t>currency</w:t>
      </w:r>
      <w:proofErr w:type="spellEnd"/>
      <w:r w:rsidRPr="00671BEA">
        <w:rPr>
          <w:rFonts w:ascii="Arial" w:hAnsi="Arial" w:cs="Arial"/>
          <w:lang w:val="mk-MK"/>
        </w:rPr>
        <w:t xml:space="preserve"> </w:t>
      </w:r>
      <w:proofErr w:type="spellStart"/>
      <w:r w:rsidRPr="00671BEA">
        <w:rPr>
          <w:rFonts w:ascii="Arial" w:hAnsi="Arial" w:cs="Arial"/>
          <w:lang w:val="mk-MK"/>
        </w:rPr>
        <w:t>shall</w:t>
      </w:r>
      <w:proofErr w:type="spellEnd"/>
      <w:r w:rsidRPr="00671BEA">
        <w:rPr>
          <w:rFonts w:ascii="Arial" w:hAnsi="Arial" w:cs="Arial"/>
          <w:lang w:val="mk-MK"/>
        </w:rPr>
        <w:t xml:space="preserve"> </w:t>
      </w:r>
      <w:proofErr w:type="spellStart"/>
      <w:r w:rsidRPr="00671BEA">
        <w:rPr>
          <w:rFonts w:ascii="Arial" w:hAnsi="Arial" w:cs="Arial"/>
          <w:lang w:val="mk-MK"/>
        </w:rPr>
        <w:t>be</w:t>
      </w:r>
      <w:proofErr w:type="spellEnd"/>
      <w:r w:rsidRPr="00671BEA">
        <w:rPr>
          <w:rFonts w:ascii="Arial" w:hAnsi="Arial" w:cs="Arial"/>
          <w:lang w:val="mk-MK"/>
        </w:rPr>
        <w:t xml:space="preserve"> </w:t>
      </w:r>
      <w:proofErr w:type="spellStart"/>
      <w:r w:rsidRPr="00671BEA">
        <w:rPr>
          <w:rFonts w:ascii="Arial" w:hAnsi="Arial" w:cs="Arial"/>
          <w:lang w:val="mk-MK"/>
        </w:rPr>
        <w:t>converted</w:t>
      </w:r>
      <w:proofErr w:type="spellEnd"/>
      <w:r w:rsidRPr="00671BEA">
        <w:rPr>
          <w:rFonts w:ascii="Arial" w:hAnsi="Arial" w:cs="Arial"/>
          <w:lang w:val="mk-MK"/>
        </w:rPr>
        <w:t xml:space="preserve"> </w:t>
      </w:r>
      <w:proofErr w:type="spellStart"/>
      <w:r w:rsidRPr="00671BEA">
        <w:rPr>
          <w:rFonts w:ascii="Arial" w:hAnsi="Arial" w:cs="Arial"/>
          <w:lang w:val="mk-MK"/>
        </w:rPr>
        <w:t>in</w:t>
      </w:r>
      <w:proofErr w:type="spellEnd"/>
      <w:r w:rsidRPr="00671BEA">
        <w:rPr>
          <w:rFonts w:ascii="Arial" w:hAnsi="Arial" w:cs="Arial"/>
          <w:lang w:val="mk-MK"/>
        </w:rPr>
        <w:t xml:space="preserve"> </w:t>
      </w:r>
      <w:proofErr w:type="spellStart"/>
      <w:r w:rsidRPr="00671BEA">
        <w:rPr>
          <w:rFonts w:ascii="Arial" w:hAnsi="Arial" w:cs="Arial"/>
          <w:lang w:val="mk-MK"/>
        </w:rPr>
        <w:t>Denars</w:t>
      </w:r>
      <w:proofErr w:type="spellEnd"/>
      <w:r w:rsidRPr="00671BEA">
        <w:rPr>
          <w:rFonts w:ascii="Arial" w:hAnsi="Arial" w:cs="Arial"/>
          <w:lang w:val="mk-MK"/>
        </w:rPr>
        <w:t xml:space="preserve"> </w:t>
      </w:r>
      <w:proofErr w:type="spellStart"/>
      <w:r w:rsidRPr="00671BEA">
        <w:rPr>
          <w:rFonts w:ascii="Arial" w:hAnsi="Arial" w:cs="Arial"/>
          <w:lang w:val="mk-MK"/>
        </w:rPr>
        <w:t>by</w:t>
      </w:r>
      <w:proofErr w:type="spellEnd"/>
      <w:r w:rsidRPr="00671BEA">
        <w:rPr>
          <w:rFonts w:ascii="Arial" w:hAnsi="Arial" w:cs="Arial"/>
          <w:lang w:val="mk-MK"/>
        </w:rPr>
        <w:t xml:space="preserve"> </w:t>
      </w:r>
      <w:proofErr w:type="spellStart"/>
      <w:r w:rsidRPr="00671BEA">
        <w:rPr>
          <w:rFonts w:ascii="Arial" w:hAnsi="Arial" w:cs="Arial"/>
          <w:lang w:val="mk-MK"/>
        </w:rPr>
        <w:t>applying</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middle</w:t>
      </w:r>
      <w:proofErr w:type="spellEnd"/>
      <w:r w:rsidRPr="00671BEA">
        <w:rPr>
          <w:rFonts w:ascii="Arial" w:hAnsi="Arial" w:cs="Arial"/>
          <w:lang w:val="mk-MK"/>
        </w:rPr>
        <w:t xml:space="preserve"> </w:t>
      </w:r>
      <w:proofErr w:type="spellStart"/>
      <w:r w:rsidRPr="00671BEA">
        <w:rPr>
          <w:rFonts w:ascii="Arial" w:hAnsi="Arial" w:cs="Arial"/>
          <w:lang w:val="mk-MK"/>
        </w:rPr>
        <w:t>exchange</w:t>
      </w:r>
      <w:proofErr w:type="spellEnd"/>
      <w:r w:rsidRPr="00671BEA">
        <w:rPr>
          <w:rFonts w:ascii="Arial" w:hAnsi="Arial" w:cs="Arial"/>
          <w:lang w:val="mk-MK"/>
        </w:rPr>
        <w:t xml:space="preserve"> </w:t>
      </w:r>
      <w:proofErr w:type="spellStart"/>
      <w:r w:rsidRPr="00671BEA">
        <w:rPr>
          <w:rFonts w:ascii="Arial" w:hAnsi="Arial" w:cs="Arial"/>
          <w:lang w:val="mk-MK"/>
        </w:rPr>
        <w:t>rate</w:t>
      </w:r>
      <w:proofErr w:type="spellEnd"/>
      <w:r w:rsidRPr="00671BEA">
        <w:rPr>
          <w:rFonts w:ascii="Arial" w:hAnsi="Arial" w:cs="Arial"/>
          <w:lang w:val="mk-MK"/>
        </w:rPr>
        <w:t xml:space="preserve"> </w:t>
      </w:r>
      <w:proofErr w:type="spellStart"/>
      <w:r w:rsidRPr="00671BEA">
        <w:rPr>
          <w:rFonts w:ascii="Arial" w:hAnsi="Arial" w:cs="Arial"/>
          <w:lang w:val="mk-MK"/>
        </w:rPr>
        <w:t>of</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National</w:t>
      </w:r>
      <w:proofErr w:type="spellEnd"/>
      <w:r w:rsidRPr="00671BEA">
        <w:rPr>
          <w:rFonts w:ascii="Arial" w:hAnsi="Arial" w:cs="Arial"/>
          <w:lang w:val="mk-MK"/>
        </w:rPr>
        <w:t xml:space="preserve"> </w:t>
      </w:r>
      <w:proofErr w:type="spellStart"/>
      <w:r w:rsidRPr="00671BEA">
        <w:rPr>
          <w:rFonts w:ascii="Arial" w:hAnsi="Arial" w:cs="Arial"/>
          <w:lang w:val="mk-MK"/>
        </w:rPr>
        <w:t>Bank</w:t>
      </w:r>
      <w:proofErr w:type="spellEnd"/>
      <w:r w:rsidRPr="00671BEA">
        <w:rPr>
          <w:rFonts w:ascii="Arial" w:hAnsi="Arial" w:cs="Arial"/>
          <w:lang w:val="mk-MK"/>
        </w:rPr>
        <w:t xml:space="preserve"> </w:t>
      </w:r>
      <w:proofErr w:type="spellStart"/>
      <w:r w:rsidRPr="00671BEA">
        <w:rPr>
          <w:rFonts w:ascii="Arial" w:hAnsi="Arial" w:cs="Arial"/>
          <w:lang w:val="mk-MK"/>
        </w:rPr>
        <w:t>of</w:t>
      </w:r>
      <w:proofErr w:type="spellEnd"/>
      <w:r w:rsidRPr="00671BEA">
        <w:rPr>
          <w:rFonts w:ascii="Arial" w:hAnsi="Arial" w:cs="Arial"/>
          <w:lang w:val="mk-MK"/>
        </w:rPr>
        <w:t xml:space="preserve"> </w:t>
      </w:r>
      <w:proofErr w:type="spellStart"/>
      <w:r w:rsidRPr="00671BEA">
        <w:rPr>
          <w:rFonts w:ascii="Arial" w:hAnsi="Arial" w:cs="Arial"/>
          <w:lang w:val="mk-MK"/>
        </w:rPr>
        <w:t>the</w:t>
      </w:r>
      <w:proofErr w:type="spellEnd"/>
      <w:r w:rsidRPr="00671BEA">
        <w:rPr>
          <w:rFonts w:ascii="Arial" w:hAnsi="Arial" w:cs="Arial"/>
          <w:lang w:val="mk-MK"/>
        </w:rPr>
        <w:t xml:space="preserve"> </w:t>
      </w:r>
      <w:proofErr w:type="spellStart"/>
      <w:r w:rsidRPr="00671BEA">
        <w:rPr>
          <w:rFonts w:ascii="Arial" w:hAnsi="Arial" w:cs="Arial"/>
          <w:lang w:val="mk-MK"/>
        </w:rPr>
        <w:t>Republic</w:t>
      </w:r>
      <w:proofErr w:type="spellEnd"/>
      <w:r w:rsidRPr="00671BEA">
        <w:rPr>
          <w:rFonts w:ascii="Arial" w:hAnsi="Arial" w:cs="Arial"/>
          <w:lang w:val="mk-MK"/>
        </w:rPr>
        <w:t xml:space="preserve"> </w:t>
      </w:r>
      <w:proofErr w:type="spellStart"/>
      <w:r w:rsidRPr="00671BEA">
        <w:rPr>
          <w:rFonts w:ascii="Arial" w:hAnsi="Arial" w:cs="Arial"/>
          <w:lang w:val="mk-MK"/>
        </w:rPr>
        <w:t>of</w:t>
      </w:r>
      <w:proofErr w:type="spellEnd"/>
      <w:r w:rsidRPr="00671BEA">
        <w:rPr>
          <w:rFonts w:ascii="Arial" w:hAnsi="Arial" w:cs="Arial"/>
          <w:lang w:val="mk-MK"/>
        </w:rPr>
        <w:t xml:space="preserve"> </w:t>
      </w:r>
      <w:proofErr w:type="spellStart"/>
      <w:r w:rsidRPr="00671BEA">
        <w:rPr>
          <w:rFonts w:ascii="Arial" w:hAnsi="Arial" w:cs="Arial"/>
          <w:lang w:val="mk-MK"/>
        </w:rPr>
        <w:t>North</w:t>
      </w:r>
      <w:proofErr w:type="spellEnd"/>
      <w:r w:rsidRPr="00671BEA">
        <w:rPr>
          <w:rFonts w:ascii="Arial" w:hAnsi="Arial" w:cs="Arial"/>
          <w:lang w:val="mk-MK"/>
        </w:rPr>
        <w:t xml:space="preserve"> </w:t>
      </w:r>
      <w:proofErr w:type="spellStart"/>
      <w:r w:rsidRPr="00671BEA">
        <w:rPr>
          <w:rFonts w:ascii="Arial" w:hAnsi="Arial" w:cs="Arial"/>
          <w:lang w:val="mk-MK"/>
        </w:rPr>
        <w:t>Macedonia</w:t>
      </w:r>
      <w:proofErr w:type="spellEnd"/>
      <w:r w:rsidRPr="00671BEA">
        <w:rPr>
          <w:rFonts w:ascii="Arial" w:hAnsi="Arial" w:cs="Arial"/>
          <w:lang w:val="mk-MK"/>
        </w:rPr>
        <w:t>.</w:t>
      </w:r>
    </w:p>
    <w:p w14:paraId="0745CAD9" w14:textId="77777777" w:rsidR="00A46264" w:rsidRDefault="00A46264" w:rsidP="00815E65">
      <w:pPr>
        <w:pStyle w:val="BodyText"/>
        <w:jc w:val="both"/>
        <w:rPr>
          <w:rFonts w:ascii="Arial" w:hAnsi="Arial" w:cs="Arial"/>
          <w:lang w:val="en-US"/>
        </w:rPr>
      </w:pPr>
      <w:proofErr w:type="spellStart"/>
      <w:r w:rsidRPr="00A46264">
        <w:rPr>
          <w:rFonts w:ascii="Arial" w:hAnsi="Arial" w:cs="Arial"/>
          <w:lang w:val="mk-MK"/>
        </w:rPr>
        <w:t>Deposit</w:t>
      </w:r>
      <w:proofErr w:type="spellEnd"/>
      <w:r w:rsidRPr="00A46264">
        <w:rPr>
          <w:rFonts w:ascii="Arial" w:hAnsi="Arial" w:cs="Arial"/>
          <w:lang w:val="mk-MK"/>
        </w:rPr>
        <w:t xml:space="preserve"> </w:t>
      </w:r>
      <w:proofErr w:type="spellStart"/>
      <w:r w:rsidRPr="00A46264">
        <w:rPr>
          <w:rFonts w:ascii="Arial" w:hAnsi="Arial" w:cs="Arial"/>
          <w:lang w:val="mk-MK"/>
        </w:rPr>
        <w:t>of</w:t>
      </w:r>
      <w:proofErr w:type="spellEnd"/>
      <w:r w:rsidRPr="00A46264">
        <w:rPr>
          <w:rFonts w:ascii="Arial" w:hAnsi="Arial" w:cs="Arial"/>
          <w:lang w:val="mk-MK"/>
        </w:rPr>
        <w:t xml:space="preserve"> </w:t>
      </w:r>
      <w:proofErr w:type="spellStart"/>
      <w:r w:rsidRPr="00A46264">
        <w:rPr>
          <w:rFonts w:ascii="Arial" w:hAnsi="Arial" w:cs="Arial"/>
          <w:lang w:val="mk-MK"/>
        </w:rPr>
        <w:t>an</w:t>
      </w:r>
      <w:proofErr w:type="spellEnd"/>
      <w:r w:rsidRPr="00A46264">
        <w:rPr>
          <w:rFonts w:ascii="Arial" w:hAnsi="Arial" w:cs="Arial"/>
          <w:lang w:val="mk-MK"/>
        </w:rPr>
        <w:t xml:space="preserve"> </w:t>
      </w:r>
      <w:proofErr w:type="spellStart"/>
      <w:r w:rsidRPr="00A46264">
        <w:rPr>
          <w:rFonts w:ascii="Arial" w:hAnsi="Arial" w:cs="Arial"/>
          <w:lang w:val="mk-MK"/>
        </w:rPr>
        <w:t>individual</w:t>
      </w:r>
      <w:proofErr w:type="spellEnd"/>
      <w:r w:rsidRPr="00A46264">
        <w:rPr>
          <w:rFonts w:ascii="Arial" w:hAnsi="Arial" w:cs="Arial"/>
          <w:lang w:val="mk-MK"/>
        </w:rPr>
        <w:t xml:space="preserve"> </w:t>
      </w:r>
      <w:proofErr w:type="spellStart"/>
      <w:r w:rsidRPr="00A46264">
        <w:rPr>
          <w:rFonts w:ascii="Arial" w:hAnsi="Arial" w:cs="Arial"/>
          <w:lang w:val="mk-MK"/>
        </w:rPr>
        <w:t>implies</w:t>
      </w:r>
      <w:proofErr w:type="spellEnd"/>
      <w:r w:rsidRPr="00A46264">
        <w:rPr>
          <w:rFonts w:ascii="Arial" w:hAnsi="Arial" w:cs="Arial"/>
          <w:lang w:val="mk-MK"/>
        </w:rPr>
        <w:t xml:space="preserve"> </w:t>
      </w:r>
      <w:proofErr w:type="spellStart"/>
      <w:r w:rsidRPr="00A46264">
        <w:rPr>
          <w:rFonts w:ascii="Arial" w:hAnsi="Arial" w:cs="Arial"/>
          <w:lang w:val="mk-MK"/>
        </w:rPr>
        <w:t>the</w:t>
      </w:r>
      <w:proofErr w:type="spellEnd"/>
      <w:r w:rsidRPr="00A46264">
        <w:rPr>
          <w:rFonts w:ascii="Arial" w:hAnsi="Arial" w:cs="Arial"/>
          <w:lang w:val="mk-MK"/>
        </w:rPr>
        <w:t xml:space="preserve"> </w:t>
      </w:r>
      <w:proofErr w:type="spellStart"/>
      <w:r w:rsidRPr="00A46264">
        <w:rPr>
          <w:rFonts w:ascii="Arial" w:hAnsi="Arial" w:cs="Arial"/>
          <w:lang w:val="mk-MK"/>
        </w:rPr>
        <w:t>total</w:t>
      </w:r>
      <w:proofErr w:type="spellEnd"/>
      <w:r w:rsidRPr="00A46264">
        <w:rPr>
          <w:rFonts w:ascii="Arial" w:hAnsi="Arial" w:cs="Arial"/>
          <w:lang w:val="mk-MK"/>
        </w:rPr>
        <w:t xml:space="preserve"> </w:t>
      </w:r>
      <w:proofErr w:type="spellStart"/>
      <w:r w:rsidRPr="00A46264">
        <w:rPr>
          <w:rFonts w:ascii="Arial" w:hAnsi="Arial" w:cs="Arial"/>
          <w:lang w:val="mk-MK"/>
        </w:rPr>
        <w:t>deposits</w:t>
      </w:r>
      <w:proofErr w:type="spellEnd"/>
      <w:r w:rsidRPr="00A46264">
        <w:rPr>
          <w:rFonts w:ascii="Arial" w:hAnsi="Arial" w:cs="Arial"/>
          <w:lang w:val="mk-MK"/>
        </w:rPr>
        <w:t xml:space="preserve"> (</w:t>
      </w:r>
      <w:proofErr w:type="spellStart"/>
      <w:r w:rsidRPr="00A46264">
        <w:rPr>
          <w:rFonts w:ascii="Arial" w:hAnsi="Arial" w:cs="Arial"/>
          <w:lang w:val="mk-MK"/>
        </w:rPr>
        <w:t>domestic</w:t>
      </w:r>
      <w:proofErr w:type="spellEnd"/>
      <w:r w:rsidRPr="00A46264">
        <w:rPr>
          <w:rFonts w:ascii="Arial" w:hAnsi="Arial" w:cs="Arial"/>
          <w:lang w:val="mk-MK"/>
        </w:rPr>
        <w:t xml:space="preserve"> </w:t>
      </w:r>
      <w:proofErr w:type="spellStart"/>
      <w:r w:rsidRPr="00A46264">
        <w:rPr>
          <w:rFonts w:ascii="Arial" w:hAnsi="Arial" w:cs="Arial"/>
          <w:lang w:val="mk-MK"/>
        </w:rPr>
        <w:t>and</w:t>
      </w:r>
      <w:proofErr w:type="spellEnd"/>
      <w:r w:rsidRPr="00A46264">
        <w:rPr>
          <w:rFonts w:ascii="Arial" w:hAnsi="Arial" w:cs="Arial"/>
          <w:lang w:val="mk-MK"/>
        </w:rPr>
        <w:t xml:space="preserve"> </w:t>
      </w:r>
      <w:proofErr w:type="spellStart"/>
      <w:r w:rsidRPr="00A46264">
        <w:rPr>
          <w:rFonts w:ascii="Arial" w:hAnsi="Arial" w:cs="Arial"/>
          <w:lang w:val="mk-MK"/>
        </w:rPr>
        <w:t>foreign</w:t>
      </w:r>
      <w:proofErr w:type="spellEnd"/>
      <w:r w:rsidRPr="00A46264">
        <w:rPr>
          <w:rFonts w:ascii="Arial" w:hAnsi="Arial" w:cs="Arial"/>
          <w:lang w:val="mk-MK"/>
        </w:rPr>
        <w:t xml:space="preserve"> </w:t>
      </w:r>
      <w:proofErr w:type="spellStart"/>
      <w:r w:rsidRPr="00A46264">
        <w:rPr>
          <w:rFonts w:ascii="Arial" w:hAnsi="Arial" w:cs="Arial"/>
          <w:lang w:val="mk-MK"/>
        </w:rPr>
        <w:t>currency</w:t>
      </w:r>
      <w:proofErr w:type="spellEnd"/>
      <w:r w:rsidRPr="00A46264">
        <w:rPr>
          <w:rFonts w:ascii="Arial" w:hAnsi="Arial" w:cs="Arial"/>
          <w:lang w:val="mk-MK"/>
        </w:rPr>
        <w:t xml:space="preserve"> </w:t>
      </w:r>
      <w:proofErr w:type="spellStart"/>
      <w:r w:rsidRPr="00A46264">
        <w:rPr>
          <w:rFonts w:ascii="Arial" w:hAnsi="Arial" w:cs="Arial"/>
          <w:lang w:val="mk-MK"/>
        </w:rPr>
        <w:t>deposits</w:t>
      </w:r>
      <w:proofErr w:type="spellEnd"/>
      <w:r w:rsidRPr="00A46264">
        <w:rPr>
          <w:rFonts w:ascii="Arial" w:hAnsi="Arial" w:cs="Arial"/>
          <w:lang w:val="mk-MK"/>
        </w:rPr>
        <w:t xml:space="preserve">, </w:t>
      </w:r>
      <w:proofErr w:type="spellStart"/>
      <w:r w:rsidRPr="00A46264">
        <w:rPr>
          <w:rFonts w:ascii="Arial" w:hAnsi="Arial" w:cs="Arial"/>
          <w:lang w:val="mk-MK"/>
        </w:rPr>
        <w:t>transaction</w:t>
      </w:r>
      <w:proofErr w:type="spellEnd"/>
      <w:r w:rsidRPr="00A46264">
        <w:rPr>
          <w:rFonts w:ascii="Arial" w:hAnsi="Arial" w:cs="Arial"/>
          <w:lang w:val="mk-MK"/>
        </w:rPr>
        <w:t xml:space="preserve"> </w:t>
      </w:r>
      <w:proofErr w:type="spellStart"/>
      <w:r w:rsidRPr="00A46264">
        <w:rPr>
          <w:rFonts w:ascii="Arial" w:hAnsi="Arial" w:cs="Arial"/>
          <w:lang w:val="mk-MK"/>
        </w:rPr>
        <w:t>accounts</w:t>
      </w:r>
      <w:proofErr w:type="spellEnd"/>
      <w:r w:rsidRPr="00A46264">
        <w:rPr>
          <w:rFonts w:ascii="Arial" w:hAnsi="Arial" w:cs="Arial"/>
          <w:lang w:val="mk-MK"/>
        </w:rPr>
        <w:t xml:space="preserve">, </w:t>
      </w:r>
      <w:proofErr w:type="spellStart"/>
      <w:r w:rsidRPr="00A46264">
        <w:rPr>
          <w:rFonts w:ascii="Arial" w:hAnsi="Arial" w:cs="Arial"/>
          <w:lang w:val="mk-MK"/>
        </w:rPr>
        <w:t>deposits</w:t>
      </w:r>
      <w:proofErr w:type="spellEnd"/>
      <w:r w:rsidRPr="00A46264">
        <w:rPr>
          <w:rFonts w:ascii="Arial" w:hAnsi="Arial" w:cs="Arial"/>
          <w:lang w:val="mk-MK"/>
        </w:rPr>
        <w:t xml:space="preserve"> </w:t>
      </w:r>
      <w:proofErr w:type="spellStart"/>
      <w:r w:rsidRPr="00A46264">
        <w:rPr>
          <w:rFonts w:ascii="Arial" w:hAnsi="Arial" w:cs="Arial"/>
          <w:lang w:val="mk-MK"/>
        </w:rPr>
        <w:t>related</w:t>
      </w:r>
      <w:proofErr w:type="spellEnd"/>
      <w:r w:rsidRPr="00A46264">
        <w:rPr>
          <w:rFonts w:ascii="Arial" w:hAnsi="Arial" w:cs="Arial"/>
          <w:lang w:val="mk-MK"/>
        </w:rPr>
        <w:t xml:space="preserve"> </w:t>
      </w:r>
      <w:proofErr w:type="spellStart"/>
      <w:r w:rsidRPr="00A46264">
        <w:rPr>
          <w:rFonts w:ascii="Arial" w:hAnsi="Arial" w:cs="Arial"/>
          <w:lang w:val="mk-MK"/>
        </w:rPr>
        <w:t>to</w:t>
      </w:r>
      <w:proofErr w:type="spellEnd"/>
      <w:r w:rsidRPr="00A46264">
        <w:rPr>
          <w:rFonts w:ascii="Arial" w:hAnsi="Arial" w:cs="Arial"/>
          <w:lang w:val="mk-MK"/>
        </w:rPr>
        <w:t xml:space="preserve"> </w:t>
      </w:r>
      <w:proofErr w:type="spellStart"/>
      <w:r w:rsidRPr="00A46264">
        <w:rPr>
          <w:rFonts w:ascii="Arial" w:hAnsi="Arial" w:cs="Arial"/>
          <w:lang w:val="mk-MK"/>
        </w:rPr>
        <w:t>payment</w:t>
      </w:r>
      <w:proofErr w:type="spellEnd"/>
      <w:r w:rsidRPr="00A46264">
        <w:rPr>
          <w:rFonts w:ascii="Arial" w:hAnsi="Arial" w:cs="Arial"/>
          <w:lang w:val="mk-MK"/>
        </w:rPr>
        <w:t xml:space="preserve"> </w:t>
      </w:r>
      <w:proofErr w:type="spellStart"/>
      <w:r w:rsidRPr="00A46264">
        <w:rPr>
          <w:rFonts w:ascii="Arial" w:hAnsi="Arial" w:cs="Arial"/>
          <w:lang w:val="mk-MK"/>
        </w:rPr>
        <w:t>cards</w:t>
      </w:r>
      <w:proofErr w:type="spellEnd"/>
      <w:r w:rsidRPr="00A46264">
        <w:rPr>
          <w:rFonts w:ascii="Arial" w:hAnsi="Arial" w:cs="Arial"/>
          <w:lang w:val="mk-MK"/>
        </w:rPr>
        <w:t xml:space="preserve"> </w:t>
      </w:r>
      <w:proofErr w:type="spellStart"/>
      <w:r w:rsidRPr="00A46264">
        <w:rPr>
          <w:rFonts w:ascii="Arial" w:hAnsi="Arial" w:cs="Arial"/>
          <w:lang w:val="mk-MK"/>
        </w:rPr>
        <w:t>and</w:t>
      </w:r>
      <w:proofErr w:type="spellEnd"/>
      <w:r w:rsidRPr="00A46264">
        <w:rPr>
          <w:rFonts w:ascii="Arial" w:hAnsi="Arial" w:cs="Arial"/>
          <w:lang w:val="mk-MK"/>
        </w:rPr>
        <w:t xml:space="preserve"> </w:t>
      </w:r>
      <w:proofErr w:type="spellStart"/>
      <w:r w:rsidRPr="00A46264">
        <w:rPr>
          <w:rFonts w:ascii="Arial" w:hAnsi="Arial" w:cs="Arial"/>
          <w:lang w:val="mk-MK"/>
        </w:rPr>
        <w:t>foreign</w:t>
      </w:r>
      <w:proofErr w:type="spellEnd"/>
      <w:r w:rsidRPr="00A46264">
        <w:rPr>
          <w:rFonts w:ascii="Arial" w:hAnsi="Arial" w:cs="Arial"/>
          <w:lang w:val="mk-MK"/>
        </w:rPr>
        <w:t xml:space="preserve"> </w:t>
      </w:r>
      <w:proofErr w:type="spellStart"/>
      <w:r w:rsidRPr="00A46264">
        <w:rPr>
          <w:rFonts w:ascii="Arial" w:hAnsi="Arial" w:cs="Arial"/>
          <w:lang w:val="mk-MK"/>
        </w:rPr>
        <w:t>currency</w:t>
      </w:r>
      <w:proofErr w:type="spellEnd"/>
      <w:r w:rsidRPr="00A46264">
        <w:rPr>
          <w:rFonts w:ascii="Arial" w:hAnsi="Arial" w:cs="Arial"/>
          <w:lang w:val="mk-MK"/>
        </w:rPr>
        <w:t xml:space="preserve"> </w:t>
      </w:r>
      <w:proofErr w:type="spellStart"/>
      <w:r w:rsidRPr="00A46264">
        <w:rPr>
          <w:rFonts w:ascii="Arial" w:hAnsi="Arial" w:cs="Arial"/>
          <w:lang w:val="mk-MK"/>
        </w:rPr>
        <w:t>inflows</w:t>
      </w:r>
      <w:proofErr w:type="spellEnd"/>
      <w:r w:rsidRPr="00A46264">
        <w:rPr>
          <w:rFonts w:ascii="Arial" w:hAnsi="Arial" w:cs="Arial"/>
          <w:lang w:val="mk-MK"/>
        </w:rPr>
        <w:t xml:space="preserve">) </w:t>
      </w:r>
      <w:proofErr w:type="spellStart"/>
      <w:r w:rsidRPr="00A46264">
        <w:rPr>
          <w:rFonts w:ascii="Arial" w:hAnsi="Arial" w:cs="Arial"/>
          <w:lang w:val="mk-MK"/>
        </w:rPr>
        <w:t>that</w:t>
      </w:r>
      <w:proofErr w:type="spellEnd"/>
      <w:r w:rsidRPr="00A46264">
        <w:rPr>
          <w:rFonts w:ascii="Arial" w:hAnsi="Arial" w:cs="Arial"/>
          <w:lang w:val="mk-MK"/>
        </w:rPr>
        <w:t xml:space="preserve"> </w:t>
      </w:r>
      <w:proofErr w:type="spellStart"/>
      <w:r w:rsidRPr="00A46264">
        <w:rPr>
          <w:rFonts w:ascii="Arial" w:hAnsi="Arial" w:cs="Arial"/>
          <w:lang w:val="mk-MK"/>
        </w:rPr>
        <w:t>an</w:t>
      </w:r>
      <w:proofErr w:type="spellEnd"/>
      <w:r w:rsidRPr="00A46264">
        <w:rPr>
          <w:rFonts w:ascii="Arial" w:hAnsi="Arial" w:cs="Arial"/>
          <w:lang w:val="mk-MK"/>
        </w:rPr>
        <w:t xml:space="preserve"> </w:t>
      </w:r>
      <w:proofErr w:type="spellStart"/>
      <w:r w:rsidRPr="00A46264">
        <w:rPr>
          <w:rFonts w:ascii="Arial" w:hAnsi="Arial" w:cs="Arial"/>
          <w:lang w:val="mk-MK"/>
        </w:rPr>
        <w:t>individual</w:t>
      </w:r>
      <w:proofErr w:type="spellEnd"/>
      <w:r w:rsidRPr="00A46264">
        <w:rPr>
          <w:rFonts w:ascii="Arial" w:hAnsi="Arial" w:cs="Arial"/>
          <w:lang w:val="mk-MK"/>
        </w:rPr>
        <w:t xml:space="preserve"> </w:t>
      </w:r>
      <w:proofErr w:type="spellStart"/>
      <w:r w:rsidRPr="00A46264">
        <w:rPr>
          <w:rFonts w:ascii="Arial" w:hAnsi="Arial" w:cs="Arial"/>
          <w:lang w:val="mk-MK"/>
        </w:rPr>
        <w:t>has</w:t>
      </w:r>
      <w:proofErr w:type="spellEnd"/>
      <w:r w:rsidRPr="00A46264">
        <w:rPr>
          <w:rFonts w:ascii="Arial" w:hAnsi="Arial" w:cs="Arial"/>
          <w:lang w:val="mk-MK"/>
        </w:rPr>
        <w:t xml:space="preserve"> </w:t>
      </w:r>
      <w:proofErr w:type="spellStart"/>
      <w:r w:rsidRPr="00A46264">
        <w:rPr>
          <w:rFonts w:ascii="Arial" w:hAnsi="Arial" w:cs="Arial"/>
          <w:lang w:val="mk-MK"/>
        </w:rPr>
        <w:t>in</w:t>
      </w:r>
      <w:proofErr w:type="spellEnd"/>
      <w:r w:rsidRPr="00A46264">
        <w:rPr>
          <w:rFonts w:ascii="Arial" w:hAnsi="Arial" w:cs="Arial"/>
          <w:lang w:val="mk-MK"/>
        </w:rPr>
        <w:t xml:space="preserve"> </w:t>
      </w:r>
      <w:proofErr w:type="spellStart"/>
      <w:r w:rsidRPr="00A46264">
        <w:rPr>
          <w:rFonts w:ascii="Arial" w:hAnsi="Arial" w:cs="Arial"/>
          <w:lang w:val="mk-MK"/>
        </w:rPr>
        <w:t>one</w:t>
      </w:r>
      <w:proofErr w:type="spellEnd"/>
      <w:r w:rsidRPr="00A46264">
        <w:rPr>
          <w:rFonts w:ascii="Arial" w:hAnsi="Arial" w:cs="Arial"/>
          <w:lang w:val="mk-MK"/>
        </w:rPr>
        <w:t xml:space="preserve"> </w:t>
      </w:r>
      <w:proofErr w:type="spellStart"/>
      <w:r w:rsidRPr="00A46264">
        <w:rPr>
          <w:rFonts w:ascii="Arial" w:hAnsi="Arial" w:cs="Arial"/>
          <w:lang w:val="mk-MK"/>
        </w:rPr>
        <w:t>bank</w:t>
      </w:r>
      <w:proofErr w:type="spellEnd"/>
      <w:r w:rsidRPr="00A46264">
        <w:rPr>
          <w:rFonts w:ascii="Arial" w:hAnsi="Arial" w:cs="Arial"/>
          <w:lang w:val="mk-MK"/>
        </w:rPr>
        <w:t xml:space="preserve">, </w:t>
      </w:r>
      <w:proofErr w:type="spellStart"/>
      <w:r w:rsidRPr="00A46264">
        <w:rPr>
          <w:rFonts w:ascii="Arial" w:hAnsi="Arial" w:cs="Arial"/>
          <w:lang w:val="mk-MK"/>
        </w:rPr>
        <w:t>foreign</w:t>
      </w:r>
      <w:proofErr w:type="spellEnd"/>
      <w:r w:rsidRPr="00A46264">
        <w:rPr>
          <w:rFonts w:ascii="Arial" w:hAnsi="Arial" w:cs="Arial"/>
          <w:lang w:val="mk-MK"/>
        </w:rPr>
        <w:t xml:space="preserve"> </w:t>
      </w:r>
      <w:proofErr w:type="spellStart"/>
      <w:r w:rsidRPr="00A46264">
        <w:rPr>
          <w:rFonts w:ascii="Arial" w:hAnsi="Arial" w:cs="Arial"/>
          <w:lang w:val="mk-MK"/>
        </w:rPr>
        <w:t>bank</w:t>
      </w:r>
      <w:proofErr w:type="spellEnd"/>
      <w:r w:rsidRPr="00A46264">
        <w:rPr>
          <w:rFonts w:ascii="Arial" w:hAnsi="Arial" w:cs="Arial"/>
          <w:lang w:val="mk-MK"/>
        </w:rPr>
        <w:t xml:space="preserve"> </w:t>
      </w:r>
      <w:proofErr w:type="spellStart"/>
      <w:r w:rsidRPr="00A46264">
        <w:rPr>
          <w:rFonts w:ascii="Arial" w:hAnsi="Arial" w:cs="Arial"/>
          <w:lang w:val="mk-MK"/>
        </w:rPr>
        <w:t>branch</w:t>
      </w:r>
      <w:proofErr w:type="spellEnd"/>
      <w:r w:rsidRPr="00A46264">
        <w:rPr>
          <w:rFonts w:ascii="Arial" w:hAnsi="Arial" w:cs="Arial"/>
          <w:lang w:val="mk-MK"/>
        </w:rPr>
        <w:t xml:space="preserve"> </w:t>
      </w:r>
      <w:proofErr w:type="spellStart"/>
      <w:r w:rsidRPr="00A46264">
        <w:rPr>
          <w:rFonts w:ascii="Arial" w:hAnsi="Arial" w:cs="Arial"/>
          <w:lang w:val="mk-MK"/>
        </w:rPr>
        <w:t>or</w:t>
      </w:r>
      <w:proofErr w:type="spellEnd"/>
      <w:r w:rsidRPr="00A46264">
        <w:rPr>
          <w:rFonts w:ascii="Arial" w:hAnsi="Arial" w:cs="Arial"/>
          <w:lang w:val="mk-MK"/>
        </w:rPr>
        <w:t xml:space="preserve"> </w:t>
      </w:r>
      <w:proofErr w:type="spellStart"/>
      <w:r w:rsidRPr="00A46264">
        <w:rPr>
          <w:rFonts w:ascii="Arial" w:hAnsi="Arial" w:cs="Arial"/>
          <w:lang w:val="mk-MK"/>
        </w:rPr>
        <w:t>saving</w:t>
      </w:r>
      <w:proofErr w:type="spellEnd"/>
      <w:r w:rsidRPr="00A46264">
        <w:rPr>
          <w:rFonts w:ascii="Arial" w:hAnsi="Arial" w:cs="Arial"/>
          <w:lang w:val="mk-MK"/>
        </w:rPr>
        <w:t xml:space="preserve"> </w:t>
      </w:r>
      <w:proofErr w:type="spellStart"/>
      <w:r w:rsidRPr="00A46264">
        <w:rPr>
          <w:rFonts w:ascii="Arial" w:hAnsi="Arial" w:cs="Arial"/>
          <w:lang w:val="mk-MK"/>
        </w:rPr>
        <w:t>house</w:t>
      </w:r>
      <w:proofErr w:type="spellEnd"/>
      <w:r>
        <w:rPr>
          <w:rFonts w:ascii="Arial" w:hAnsi="Arial" w:cs="Arial"/>
          <w:lang w:val="en-US"/>
        </w:rPr>
        <w:t>.</w:t>
      </w:r>
    </w:p>
    <w:p w14:paraId="19EE8F6A" w14:textId="74E0461E" w:rsidR="00815E65" w:rsidRPr="00CE3053" w:rsidRDefault="00A46264" w:rsidP="00815E65">
      <w:pPr>
        <w:pStyle w:val="BodyText"/>
        <w:jc w:val="both"/>
        <w:rPr>
          <w:rFonts w:ascii="Arial" w:hAnsi="Arial" w:cs="Arial"/>
          <w:lang w:val="mk-MK"/>
        </w:rPr>
      </w:pPr>
      <w:proofErr w:type="spellStart"/>
      <w:r w:rsidRPr="00A46264">
        <w:rPr>
          <w:rFonts w:ascii="Arial" w:hAnsi="Arial" w:cs="Arial"/>
          <w:lang w:val="mk-MK"/>
        </w:rPr>
        <w:t>If</w:t>
      </w:r>
      <w:proofErr w:type="spellEnd"/>
      <w:r w:rsidRPr="00A46264">
        <w:rPr>
          <w:rFonts w:ascii="Arial" w:hAnsi="Arial" w:cs="Arial"/>
          <w:lang w:val="mk-MK"/>
        </w:rPr>
        <w:t xml:space="preserve"> </w:t>
      </w:r>
      <w:proofErr w:type="spellStart"/>
      <w:r w:rsidRPr="00A46264">
        <w:rPr>
          <w:rFonts w:ascii="Arial" w:hAnsi="Arial" w:cs="Arial"/>
          <w:lang w:val="mk-MK"/>
        </w:rPr>
        <w:t>the</w:t>
      </w:r>
      <w:proofErr w:type="spellEnd"/>
      <w:r w:rsidRPr="00A46264">
        <w:rPr>
          <w:rFonts w:ascii="Arial" w:hAnsi="Arial" w:cs="Arial"/>
          <w:lang w:val="mk-MK"/>
        </w:rPr>
        <w:t xml:space="preserve"> </w:t>
      </w:r>
      <w:proofErr w:type="spellStart"/>
      <w:r w:rsidRPr="00A46264">
        <w:rPr>
          <w:rFonts w:ascii="Arial" w:hAnsi="Arial" w:cs="Arial"/>
          <w:lang w:val="mk-MK"/>
        </w:rPr>
        <w:t>Fund</w:t>
      </w:r>
      <w:proofErr w:type="spellEnd"/>
      <w:r w:rsidRPr="00A46264">
        <w:rPr>
          <w:rFonts w:ascii="Arial" w:hAnsi="Arial" w:cs="Arial"/>
          <w:lang w:val="mk-MK"/>
        </w:rPr>
        <w:t xml:space="preserve"> </w:t>
      </w:r>
      <w:proofErr w:type="spellStart"/>
      <w:r w:rsidRPr="00A46264">
        <w:rPr>
          <w:rFonts w:ascii="Arial" w:hAnsi="Arial" w:cs="Arial"/>
          <w:lang w:val="mk-MK"/>
        </w:rPr>
        <w:t>does</w:t>
      </w:r>
      <w:proofErr w:type="spellEnd"/>
      <w:r w:rsidRPr="00A46264">
        <w:rPr>
          <w:rFonts w:ascii="Arial" w:hAnsi="Arial" w:cs="Arial"/>
          <w:lang w:val="mk-MK"/>
        </w:rPr>
        <w:t xml:space="preserve"> </w:t>
      </w:r>
      <w:proofErr w:type="spellStart"/>
      <w:r w:rsidRPr="00A46264">
        <w:rPr>
          <w:rFonts w:ascii="Arial" w:hAnsi="Arial" w:cs="Arial"/>
          <w:lang w:val="mk-MK"/>
        </w:rPr>
        <w:t>not</w:t>
      </w:r>
      <w:proofErr w:type="spellEnd"/>
      <w:r w:rsidRPr="00A46264">
        <w:rPr>
          <w:rFonts w:ascii="Arial" w:hAnsi="Arial" w:cs="Arial"/>
          <w:lang w:val="mk-MK"/>
        </w:rPr>
        <w:t xml:space="preserve"> </w:t>
      </w:r>
      <w:proofErr w:type="spellStart"/>
      <w:r w:rsidRPr="00A46264">
        <w:rPr>
          <w:rFonts w:ascii="Arial" w:hAnsi="Arial" w:cs="Arial"/>
          <w:lang w:val="mk-MK"/>
        </w:rPr>
        <w:t>have</w:t>
      </w:r>
      <w:proofErr w:type="spellEnd"/>
      <w:r w:rsidRPr="00A46264">
        <w:rPr>
          <w:rFonts w:ascii="Arial" w:hAnsi="Arial" w:cs="Arial"/>
          <w:lang w:val="mk-MK"/>
        </w:rPr>
        <w:t xml:space="preserve"> </w:t>
      </w:r>
      <w:proofErr w:type="spellStart"/>
      <w:r w:rsidRPr="00A46264">
        <w:rPr>
          <w:rFonts w:ascii="Arial" w:hAnsi="Arial" w:cs="Arial"/>
          <w:lang w:val="mk-MK"/>
        </w:rPr>
        <w:t>enough</w:t>
      </w:r>
      <w:proofErr w:type="spellEnd"/>
      <w:r w:rsidRPr="00A46264">
        <w:rPr>
          <w:rFonts w:ascii="Arial" w:hAnsi="Arial" w:cs="Arial"/>
          <w:lang w:val="mk-MK"/>
        </w:rPr>
        <w:t xml:space="preserve"> </w:t>
      </w:r>
      <w:proofErr w:type="spellStart"/>
      <w:r w:rsidRPr="00A46264">
        <w:rPr>
          <w:rFonts w:ascii="Arial" w:hAnsi="Arial" w:cs="Arial"/>
          <w:lang w:val="mk-MK"/>
        </w:rPr>
        <w:t>assets</w:t>
      </w:r>
      <w:proofErr w:type="spellEnd"/>
      <w:r w:rsidRPr="00A46264">
        <w:rPr>
          <w:rFonts w:ascii="Arial" w:hAnsi="Arial" w:cs="Arial"/>
          <w:lang w:val="mk-MK"/>
        </w:rPr>
        <w:t xml:space="preserve"> </w:t>
      </w:r>
      <w:proofErr w:type="spellStart"/>
      <w:r w:rsidRPr="00A46264">
        <w:rPr>
          <w:rFonts w:ascii="Arial" w:hAnsi="Arial" w:cs="Arial"/>
          <w:lang w:val="mk-MK"/>
        </w:rPr>
        <w:t>to</w:t>
      </w:r>
      <w:proofErr w:type="spellEnd"/>
      <w:r w:rsidRPr="00A46264">
        <w:rPr>
          <w:rFonts w:ascii="Arial" w:hAnsi="Arial" w:cs="Arial"/>
          <w:lang w:val="mk-MK"/>
        </w:rPr>
        <w:t xml:space="preserve"> </w:t>
      </w:r>
      <w:proofErr w:type="spellStart"/>
      <w:r w:rsidRPr="00A46264">
        <w:rPr>
          <w:rFonts w:ascii="Arial" w:hAnsi="Arial" w:cs="Arial"/>
          <w:lang w:val="mk-MK"/>
        </w:rPr>
        <w:t>repay</w:t>
      </w:r>
      <w:proofErr w:type="spellEnd"/>
      <w:r w:rsidRPr="00A46264">
        <w:rPr>
          <w:rFonts w:ascii="Arial" w:hAnsi="Arial" w:cs="Arial"/>
          <w:lang w:val="mk-MK"/>
        </w:rPr>
        <w:t xml:space="preserve"> </w:t>
      </w:r>
      <w:proofErr w:type="spellStart"/>
      <w:r w:rsidRPr="00A46264">
        <w:rPr>
          <w:rFonts w:ascii="Arial" w:hAnsi="Arial" w:cs="Arial"/>
          <w:lang w:val="mk-MK"/>
        </w:rPr>
        <w:t>the</w:t>
      </w:r>
      <w:proofErr w:type="spellEnd"/>
      <w:r w:rsidRPr="00A46264">
        <w:rPr>
          <w:rFonts w:ascii="Arial" w:hAnsi="Arial" w:cs="Arial"/>
          <w:lang w:val="mk-MK"/>
        </w:rPr>
        <w:t xml:space="preserve"> </w:t>
      </w:r>
      <w:proofErr w:type="spellStart"/>
      <w:r w:rsidRPr="00A46264">
        <w:rPr>
          <w:rFonts w:ascii="Arial" w:hAnsi="Arial" w:cs="Arial"/>
          <w:lang w:val="mk-MK"/>
        </w:rPr>
        <w:t>insured</w:t>
      </w:r>
      <w:proofErr w:type="spellEnd"/>
      <w:r w:rsidRPr="00A46264">
        <w:rPr>
          <w:rFonts w:ascii="Arial" w:hAnsi="Arial" w:cs="Arial"/>
          <w:lang w:val="mk-MK"/>
        </w:rPr>
        <w:t xml:space="preserve"> </w:t>
      </w:r>
      <w:proofErr w:type="spellStart"/>
      <w:r w:rsidRPr="00A46264">
        <w:rPr>
          <w:rFonts w:ascii="Arial" w:hAnsi="Arial" w:cs="Arial"/>
          <w:lang w:val="mk-MK"/>
        </w:rPr>
        <w:t>deposits</w:t>
      </w:r>
      <w:proofErr w:type="spellEnd"/>
      <w:r w:rsidRPr="00A46264">
        <w:rPr>
          <w:rFonts w:ascii="Arial" w:hAnsi="Arial" w:cs="Arial"/>
          <w:lang w:val="mk-MK"/>
        </w:rPr>
        <w:t xml:space="preserve">, </w:t>
      </w:r>
      <w:proofErr w:type="spellStart"/>
      <w:r w:rsidRPr="00A46264">
        <w:rPr>
          <w:rFonts w:ascii="Arial" w:hAnsi="Arial" w:cs="Arial"/>
          <w:lang w:val="mk-MK"/>
        </w:rPr>
        <w:t>the</w:t>
      </w:r>
      <w:proofErr w:type="spellEnd"/>
      <w:r w:rsidRPr="00A46264">
        <w:rPr>
          <w:rFonts w:ascii="Arial" w:hAnsi="Arial" w:cs="Arial"/>
          <w:lang w:val="mk-MK"/>
        </w:rPr>
        <w:t xml:space="preserve"> </w:t>
      </w:r>
      <w:proofErr w:type="spellStart"/>
      <w:r w:rsidRPr="00A46264">
        <w:rPr>
          <w:rFonts w:ascii="Arial" w:hAnsi="Arial" w:cs="Arial"/>
          <w:lang w:val="mk-MK"/>
        </w:rPr>
        <w:t>Fund</w:t>
      </w:r>
      <w:proofErr w:type="spellEnd"/>
      <w:r w:rsidRPr="00A46264">
        <w:rPr>
          <w:rFonts w:ascii="Arial" w:hAnsi="Arial" w:cs="Arial"/>
          <w:lang w:val="mk-MK"/>
        </w:rPr>
        <w:t xml:space="preserve"> </w:t>
      </w:r>
      <w:proofErr w:type="spellStart"/>
      <w:r w:rsidRPr="00A46264">
        <w:rPr>
          <w:rFonts w:ascii="Arial" w:hAnsi="Arial" w:cs="Arial"/>
          <w:lang w:val="mk-MK"/>
        </w:rPr>
        <w:t>provides</w:t>
      </w:r>
      <w:proofErr w:type="spellEnd"/>
      <w:r w:rsidRPr="00A46264">
        <w:rPr>
          <w:rFonts w:ascii="Arial" w:hAnsi="Arial" w:cs="Arial"/>
          <w:lang w:val="mk-MK"/>
        </w:rPr>
        <w:t xml:space="preserve"> </w:t>
      </w:r>
      <w:proofErr w:type="spellStart"/>
      <w:r w:rsidRPr="00A46264">
        <w:rPr>
          <w:rFonts w:ascii="Arial" w:hAnsi="Arial" w:cs="Arial"/>
          <w:lang w:val="mk-MK"/>
        </w:rPr>
        <w:t>additional</w:t>
      </w:r>
      <w:proofErr w:type="spellEnd"/>
      <w:r w:rsidRPr="00A46264">
        <w:rPr>
          <w:rFonts w:ascii="Arial" w:hAnsi="Arial" w:cs="Arial"/>
          <w:lang w:val="mk-MK"/>
        </w:rPr>
        <w:t xml:space="preserve"> </w:t>
      </w:r>
      <w:proofErr w:type="spellStart"/>
      <w:r w:rsidRPr="00A46264">
        <w:rPr>
          <w:rFonts w:ascii="Arial" w:hAnsi="Arial" w:cs="Arial"/>
          <w:lang w:val="mk-MK"/>
        </w:rPr>
        <w:t>resources</w:t>
      </w:r>
      <w:proofErr w:type="spellEnd"/>
      <w:r w:rsidRPr="00A46264">
        <w:rPr>
          <w:rFonts w:ascii="Arial" w:hAnsi="Arial" w:cs="Arial"/>
          <w:lang w:val="mk-MK"/>
        </w:rPr>
        <w:t xml:space="preserve"> </w:t>
      </w:r>
      <w:proofErr w:type="spellStart"/>
      <w:r w:rsidRPr="00A46264">
        <w:rPr>
          <w:rFonts w:ascii="Arial" w:hAnsi="Arial" w:cs="Arial"/>
          <w:lang w:val="mk-MK"/>
        </w:rPr>
        <w:t>through</w:t>
      </w:r>
      <w:proofErr w:type="spellEnd"/>
      <w:r w:rsidR="00815E65" w:rsidRPr="00CE3053">
        <w:rPr>
          <w:rFonts w:ascii="Arial" w:hAnsi="Arial" w:cs="Arial"/>
          <w:lang w:val="mk-MK"/>
        </w:rPr>
        <w:t>:</w:t>
      </w:r>
    </w:p>
    <w:p w14:paraId="70008ADB" w14:textId="34A4E1D2" w:rsidR="00815E65" w:rsidRPr="00CE3053" w:rsidRDefault="00A46264" w:rsidP="0061511C">
      <w:pPr>
        <w:pStyle w:val="BodyText"/>
        <w:numPr>
          <w:ilvl w:val="0"/>
          <w:numId w:val="26"/>
        </w:numPr>
        <w:spacing w:after="0"/>
        <w:jc w:val="both"/>
        <w:rPr>
          <w:rFonts w:ascii="Arial" w:hAnsi="Arial" w:cs="Arial"/>
          <w:lang w:val="mk-MK"/>
        </w:rPr>
      </w:pPr>
      <w:r>
        <w:rPr>
          <w:rFonts w:ascii="Arial" w:hAnsi="Arial" w:cs="Arial"/>
          <w:lang w:val="en-US"/>
        </w:rPr>
        <w:t>a</w:t>
      </w:r>
      <w:proofErr w:type="spellStart"/>
      <w:r w:rsidRPr="00A46264">
        <w:rPr>
          <w:rFonts w:ascii="Arial" w:hAnsi="Arial" w:cs="Arial"/>
          <w:lang w:val="mk-MK"/>
        </w:rPr>
        <w:t>dditional</w:t>
      </w:r>
      <w:proofErr w:type="spellEnd"/>
      <w:r w:rsidRPr="00A46264">
        <w:rPr>
          <w:rFonts w:ascii="Arial" w:hAnsi="Arial" w:cs="Arial"/>
          <w:lang w:val="mk-MK"/>
        </w:rPr>
        <w:t xml:space="preserve"> </w:t>
      </w:r>
      <w:proofErr w:type="spellStart"/>
      <w:r w:rsidRPr="00A46264">
        <w:rPr>
          <w:rFonts w:ascii="Arial" w:hAnsi="Arial" w:cs="Arial"/>
          <w:lang w:val="mk-MK"/>
        </w:rPr>
        <w:t>payments</w:t>
      </w:r>
      <w:proofErr w:type="spellEnd"/>
      <w:r w:rsidRPr="00A46264">
        <w:rPr>
          <w:rFonts w:ascii="Arial" w:hAnsi="Arial" w:cs="Arial"/>
          <w:lang w:val="mk-MK"/>
        </w:rPr>
        <w:t xml:space="preserve"> </w:t>
      </w:r>
      <w:proofErr w:type="spellStart"/>
      <w:r w:rsidRPr="00A46264">
        <w:rPr>
          <w:rFonts w:ascii="Arial" w:hAnsi="Arial" w:cs="Arial"/>
          <w:lang w:val="mk-MK"/>
        </w:rPr>
        <w:t>from</w:t>
      </w:r>
      <w:proofErr w:type="spellEnd"/>
      <w:r w:rsidRPr="00A46264">
        <w:rPr>
          <w:rFonts w:ascii="Arial" w:hAnsi="Arial" w:cs="Arial"/>
          <w:lang w:val="mk-MK"/>
        </w:rPr>
        <w:t xml:space="preserve"> </w:t>
      </w:r>
      <w:proofErr w:type="spellStart"/>
      <w:r w:rsidRPr="00A46264">
        <w:rPr>
          <w:rFonts w:ascii="Arial" w:hAnsi="Arial" w:cs="Arial"/>
          <w:lang w:val="mk-MK"/>
        </w:rPr>
        <w:t>the</w:t>
      </w:r>
      <w:proofErr w:type="spellEnd"/>
      <w:r w:rsidRPr="00A46264">
        <w:rPr>
          <w:rFonts w:ascii="Arial" w:hAnsi="Arial" w:cs="Arial"/>
          <w:lang w:val="mk-MK"/>
        </w:rPr>
        <w:t xml:space="preserve"> </w:t>
      </w:r>
      <w:proofErr w:type="spellStart"/>
      <w:r w:rsidRPr="00A46264">
        <w:rPr>
          <w:rFonts w:ascii="Arial" w:hAnsi="Arial" w:cs="Arial"/>
          <w:lang w:val="mk-MK"/>
        </w:rPr>
        <w:t>banks</w:t>
      </w:r>
      <w:proofErr w:type="spellEnd"/>
      <w:r w:rsidRPr="00A46264">
        <w:rPr>
          <w:rFonts w:ascii="Arial" w:hAnsi="Arial" w:cs="Arial"/>
          <w:lang w:val="mk-MK"/>
        </w:rPr>
        <w:t xml:space="preserve">, </w:t>
      </w:r>
      <w:proofErr w:type="spellStart"/>
      <w:r w:rsidRPr="00A46264">
        <w:rPr>
          <w:rFonts w:ascii="Arial" w:hAnsi="Arial" w:cs="Arial"/>
          <w:lang w:val="mk-MK"/>
        </w:rPr>
        <w:t>foreign</w:t>
      </w:r>
      <w:proofErr w:type="spellEnd"/>
      <w:r w:rsidRPr="00A46264">
        <w:rPr>
          <w:rFonts w:ascii="Arial" w:hAnsi="Arial" w:cs="Arial"/>
          <w:lang w:val="mk-MK"/>
        </w:rPr>
        <w:t xml:space="preserve"> </w:t>
      </w:r>
      <w:proofErr w:type="spellStart"/>
      <w:r w:rsidRPr="00A46264">
        <w:rPr>
          <w:rFonts w:ascii="Arial" w:hAnsi="Arial" w:cs="Arial"/>
          <w:lang w:val="mk-MK"/>
        </w:rPr>
        <w:t>bank</w:t>
      </w:r>
      <w:proofErr w:type="spellEnd"/>
      <w:r w:rsidRPr="00A46264">
        <w:rPr>
          <w:rFonts w:ascii="Arial" w:hAnsi="Arial" w:cs="Arial"/>
          <w:lang w:val="mk-MK"/>
        </w:rPr>
        <w:t xml:space="preserve"> </w:t>
      </w:r>
      <w:proofErr w:type="spellStart"/>
      <w:r w:rsidRPr="00A46264">
        <w:rPr>
          <w:rFonts w:ascii="Arial" w:hAnsi="Arial" w:cs="Arial"/>
          <w:lang w:val="mk-MK"/>
        </w:rPr>
        <w:t>branches</w:t>
      </w:r>
      <w:proofErr w:type="spellEnd"/>
      <w:r w:rsidRPr="00A46264">
        <w:rPr>
          <w:rFonts w:ascii="Arial" w:hAnsi="Arial" w:cs="Arial"/>
          <w:lang w:val="mk-MK"/>
        </w:rPr>
        <w:t xml:space="preserve"> </w:t>
      </w:r>
      <w:proofErr w:type="spellStart"/>
      <w:r w:rsidRPr="00A46264">
        <w:rPr>
          <w:rFonts w:ascii="Arial" w:hAnsi="Arial" w:cs="Arial"/>
          <w:lang w:val="mk-MK"/>
        </w:rPr>
        <w:t>and</w:t>
      </w:r>
      <w:proofErr w:type="spellEnd"/>
      <w:r w:rsidRPr="00A46264">
        <w:rPr>
          <w:rFonts w:ascii="Arial" w:hAnsi="Arial" w:cs="Arial"/>
          <w:lang w:val="mk-MK"/>
        </w:rPr>
        <w:t xml:space="preserve"> </w:t>
      </w:r>
      <w:proofErr w:type="spellStart"/>
      <w:r w:rsidRPr="00A46264">
        <w:rPr>
          <w:rFonts w:ascii="Arial" w:hAnsi="Arial" w:cs="Arial"/>
          <w:lang w:val="mk-MK"/>
        </w:rPr>
        <w:t>saving</w:t>
      </w:r>
      <w:proofErr w:type="spellEnd"/>
      <w:r w:rsidRPr="00A46264">
        <w:rPr>
          <w:rFonts w:ascii="Arial" w:hAnsi="Arial" w:cs="Arial"/>
          <w:lang w:val="mk-MK"/>
        </w:rPr>
        <w:t xml:space="preserve"> </w:t>
      </w:r>
      <w:proofErr w:type="spellStart"/>
      <w:r w:rsidRPr="00A46264">
        <w:rPr>
          <w:rFonts w:ascii="Arial" w:hAnsi="Arial" w:cs="Arial"/>
          <w:lang w:val="mk-MK"/>
        </w:rPr>
        <w:t>houses</w:t>
      </w:r>
      <w:proofErr w:type="spellEnd"/>
      <w:r w:rsidRPr="00A46264">
        <w:rPr>
          <w:rFonts w:ascii="Arial" w:hAnsi="Arial" w:cs="Arial"/>
          <w:lang w:val="mk-MK"/>
        </w:rPr>
        <w:t xml:space="preserve"> </w:t>
      </w:r>
      <w:proofErr w:type="spellStart"/>
      <w:r w:rsidRPr="00A46264">
        <w:rPr>
          <w:rFonts w:ascii="Arial" w:hAnsi="Arial" w:cs="Arial"/>
          <w:lang w:val="mk-MK"/>
        </w:rPr>
        <w:t>but</w:t>
      </w:r>
      <w:proofErr w:type="spellEnd"/>
      <w:r w:rsidRPr="00A46264">
        <w:rPr>
          <w:rFonts w:ascii="Arial" w:hAnsi="Arial" w:cs="Arial"/>
          <w:lang w:val="mk-MK"/>
        </w:rPr>
        <w:t xml:space="preserve"> </w:t>
      </w:r>
      <w:proofErr w:type="spellStart"/>
      <w:r w:rsidRPr="00A46264">
        <w:rPr>
          <w:rFonts w:ascii="Arial" w:hAnsi="Arial" w:cs="Arial"/>
          <w:lang w:val="mk-MK"/>
        </w:rPr>
        <w:t>not</w:t>
      </w:r>
      <w:proofErr w:type="spellEnd"/>
      <w:r w:rsidRPr="00A46264">
        <w:rPr>
          <w:rFonts w:ascii="Arial" w:hAnsi="Arial" w:cs="Arial"/>
          <w:lang w:val="mk-MK"/>
        </w:rPr>
        <w:t xml:space="preserve"> </w:t>
      </w:r>
      <w:proofErr w:type="spellStart"/>
      <w:proofErr w:type="gramStart"/>
      <w:r w:rsidRPr="00A46264">
        <w:rPr>
          <w:rFonts w:ascii="Arial" w:hAnsi="Arial" w:cs="Arial"/>
          <w:lang w:val="mk-MK"/>
        </w:rPr>
        <w:t>exceeding</w:t>
      </w:r>
      <w:proofErr w:type="spellEnd"/>
      <w:r w:rsidRPr="00A46264">
        <w:rPr>
          <w:rFonts w:ascii="Arial" w:hAnsi="Arial" w:cs="Arial"/>
          <w:lang w:val="mk-MK"/>
        </w:rPr>
        <w:t xml:space="preserve">  </w:t>
      </w:r>
      <w:proofErr w:type="spellStart"/>
      <w:r w:rsidRPr="00A46264">
        <w:rPr>
          <w:rFonts w:ascii="Arial" w:hAnsi="Arial" w:cs="Arial"/>
          <w:lang w:val="mk-MK"/>
        </w:rPr>
        <w:t>three</w:t>
      </w:r>
      <w:proofErr w:type="spellEnd"/>
      <w:proofErr w:type="gramEnd"/>
      <w:r w:rsidRPr="00A46264">
        <w:rPr>
          <w:rFonts w:ascii="Arial" w:hAnsi="Arial" w:cs="Arial"/>
          <w:lang w:val="mk-MK"/>
        </w:rPr>
        <w:t xml:space="preserve"> </w:t>
      </w:r>
      <w:proofErr w:type="spellStart"/>
      <w:r w:rsidRPr="00A46264">
        <w:rPr>
          <w:rFonts w:ascii="Arial" w:hAnsi="Arial" w:cs="Arial"/>
          <w:lang w:val="mk-MK"/>
        </w:rPr>
        <w:t>times</w:t>
      </w:r>
      <w:proofErr w:type="spellEnd"/>
      <w:r w:rsidRPr="00A46264">
        <w:rPr>
          <w:rFonts w:ascii="Arial" w:hAnsi="Arial" w:cs="Arial"/>
          <w:lang w:val="mk-MK"/>
        </w:rPr>
        <w:t xml:space="preserve"> </w:t>
      </w:r>
      <w:proofErr w:type="spellStart"/>
      <w:r w:rsidRPr="00A46264">
        <w:rPr>
          <w:rFonts w:ascii="Arial" w:hAnsi="Arial" w:cs="Arial"/>
          <w:lang w:val="mk-MK"/>
        </w:rPr>
        <w:t>higher</w:t>
      </w:r>
      <w:proofErr w:type="spellEnd"/>
      <w:r w:rsidRPr="00A46264">
        <w:rPr>
          <w:rFonts w:ascii="Arial" w:hAnsi="Arial" w:cs="Arial"/>
          <w:lang w:val="mk-MK"/>
        </w:rPr>
        <w:t xml:space="preserve"> </w:t>
      </w:r>
      <w:proofErr w:type="spellStart"/>
      <w:r w:rsidRPr="00A46264">
        <w:rPr>
          <w:rFonts w:ascii="Arial" w:hAnsi="Arial" w:cs="Arial"/>
          <w:lang w:val="mk-MK"/>
        </w:rPr>
        <w:t>premium</w:t>
      </w:r>
      <w:proofErr w:type="spellEnd"/>
      <w:r w:rsidRPr="00A46264">
        <w:rPr>
          <w:rFonts w:ascii="Arial" w:hAnsi="Arial" w:cs="Arial"/>
          <w:lang w:val="mk-MK"/>
        </w:rPr>
        <w:t xml:space="preserve"> </w:t>
      </w:r>
      <w:proofErr w:type="spellStart"/>
      <w:r w:rsidRPr="00A46264">
        <w:rPr>
          <w:rFonts w:ascii="Arial" w:hAnsi="Arial" w:cs="Arial"/>
          <w:lang w:val="mk-MK"/>
        </w:rPr>
        <w:t>than</w:t>
      </w:r>
      <w:proofErr w:type="spellEnd"/>
      <w:r w:rsidRPr="00A46264">
        <w:rPr>
          <w:rFonts w:ascii="Arial" w:hAnsi="Arial" w:cs="Arial"/>
          <w:lang w:val="mk-MK"/>
        </w:rPr>
        <w:t xml:space="preserve"> </w:t>
      </w:r>
      <w:proofErr w:type="spellStart"/>
      <w:r w:rsidRPr="00A46264">
        <w:rPr>
          <w:rFonts w:ascii="Arial" w:hAnsi="Arial" w:cs="Arial"/>
          <w:lang w:val="mk-MK"/>
        </w:rPr>
        <w:t>the</w:t>
      </w:r>
      <w:proofErr w:type="spellEnd"/>
      <w:r w:rsidRPr="00A46264">
        <w:rPr>
          <w:rFonts w:ascii="Arial" w:hAnsi="Arial" w:cs="Arial"/>
          <w:lang w:val="mk-MK"/>
        </w:rPr>
        <w:t xml:space="preserve"> </w:t>
      </w:r>
      <w:proofErr w:type="spellStart"/>
      <w:r w:rsidRPr="00A46264">
        <w:rPr>
          <w:rFonts w:ascii="Arial" w:hAnsi="Arial" w:cs="Arial"/>
          <w:lang w:val="mk-MK"/>
        </w:rPr>
        <w:t>premium</w:t>
      </w:r>
      <w:proofErr w:type="spellEnd"/>
      <w:r w:rsidRPr="00A46264">
        <w:rPr>
          <w:rFonts w:ascii="Arial" w:hAnsi="Arial" w:cs="Arial"/>
          <w:lang w:val="mk-MK"/>
        </w:rPr>
        <w:t xml:space="preserve"> </w:t>
      </w:r>
      <w:proofErr w:type="spellStart"/>
      <w:r w:rsidRPr="00A46264">
        <w:rPr>
          <w:rFonts w:ascii="Arial" w:hAnsi="Arial" w:cs="Arial"/>
          <w:lang w:val="mk-MK"/>
        </w:rPr>
        <w:t>paid</w:t>
      </w:r>
      <w:proofErr w:type="spellEnd"/>
      <w:r w:rsidRPr="00A46264">
        <w:rPr>
          <w:rFonts w:ascii="Arial" w:hAnsi="Arial" w:cs="Arial"/>
          <w:lang w:val="mk-MK"/>
        </w:rPr>
        <w:t xml:space="preserve"> </w:t>
      </w:r>
      <w:proofErr w:type="spellStart"/>
      <w:r w:rsidRPr="00A46264">
        <w:rPr>
          <w:rFonts w:ascii="Arial" w:hAnsi="Arial" w:cs="Arial"/>
          <w:lang w:val="mk-MK"/>
        </w:rPr>
        <w:t>for</w:t>
      </w:r>
      <w:proofErr w:type="spellEnd"/>
      <w:r w:rsidRPr="00A46264">
        <w:rPr>
          <w:rFonts w:ascii="Arial" w:hAnsi="Arial" w:cs="Arial"/>
          <w:lang w:val="mk-MK"/>
        </w:rPr>
        <w:t xml:space="preserve"> </w:t>
      </w:r>
      <w:proofErr w:type="spellStart"/>
      <w:r w:rsidRPr="00A46264">
        <w:rPr>
          <w:rFonts w:ascii="Arial" w:hAnsi="Arial" w:cs="Arial"/>
          <w:lang w:val="mk-MK"/>
        </w:rPr>
        <w:t>the</w:t>
      </w:r>
      <w:proofErr w:type="spellEnd"/>
      <w:r w:rsidRPr="00A46264">
        <w:rPr>
          <w:rFonts w:ascii="Arial" w:hAnsi="Arial" w:cs="Arial"/>
          <w:lang w:val="mk-MK"/>
        </w:rPr>
        <w:t xml:space="preserve"> </w:t>
      </w:r>
      <w:proofErr w:type="spellStart"/>
      <w:r w:rsidRPr="00A46264">
        <w:rPr>
          <w:rFonts w:ascii="Arial" w:hAnsi="Arial" w:cs="Arial"/>
          <w:lang w:val="mk-MK"/>
        </w:rPr>
        <w:t>month</w:t>
      </w:r>
      <w:proofErr w:type="spellEnd"/>
      <w:r w:rsidRPr="00A46264">
        <w:rPr>
          <w:rFonts w:ascii="Arial" w:hAnsi="Arial" w:cs="Arial"/>
          <w:lang w:val="mk-MK"/>
        </w:rPr>
        <w:t xml:space="preserve"> </w:t>
      </w:r>
      <w:proofErr w:type="spellStart"/>
      <w:r w:rsidRPr="00A46264">
        <w:rPr>
          <w:rFonts w:ascii="Arial" w:hAnsi="Arial" w:cs="Arial"/>
          <w:lang w:val="mk-MK"/>
        </w:rPr>
        <w:t>which</w:t>
      </w:r>
      <w:proofErr w:type="spellEnd"/>
      <w:r w:rsidRPr="00A46264">
        <w:rPr>
          <w:rFonts w:ascii="Arial" w:hAnsi="Arial" w:cs="Arial"/>
          <w:lang w:val="mk-MK"/>
        </w:rPr>
        <w:t xml:space="preserve"> </w:t>
      </w:r>
      <w:proofErr w:type="spellStart"/>
      <w:r w:rsidRPr="00A46264">
        <w:rPr>
          <w:rFonts w:ascii="Arial" w:hAnsi="Arial" w:cs="Arial"/>
          <w:lang w:val="mk-MK"/>
        </w:rPr>
        <w:t>precedes</w:t>
      </w:r>
      <w:proofErr w:type="spellEnd"/>
      <w:r w:rsidRPr="00A46264">
        <w:rPr>
          <w:rFonts w:ascii="Arial" w:hAnsi="Arial" w:cs="Arial"/>
          <w:lang w:val="mk-MK"/>
        </w:rPr>
        <w:t xml:space="preserve"> </w:t>
      </w:r>
      <w:proofErr w:type="spellStart"/>
      <w:r w:rsidRPr="00A46264">
        <w:rPr>
          <w:rFonts w:ascii="Arial" w:hAnsi="Arial" w:cs="Arial"/>
          <w:lang w:val="mk-MK"/>
        </w:rPr>
        <w:t>the</w:t>
      </w:r>
      <w:proofErr w:type="spellEnd"/>
      <w:r w:rsidRPr="00A46264">
        <w:rPr>
          <w:rFonts w:ascii="Arial" w:hAnsi="Arial" w:cs="Arial"/>
          <w:lang w:val="mk-MK"/>
        </w:rPr>
        <w:t xml:space="preserve"> </w:t>
      </w:r>
      <w:proofErr w:type="spellStart"/>
      <w:r w:rsidRPr="00A46264">
        <w:rPr>
          <w:rFonts w:ascii="Arial" w:hAnsi="Arial" w:cs="Arial"/>
          <w:lang w:val="mk-MK"/>
        </w:rPr>
        <w:t>month</w:t>
      </w:r>
      <w:proofErr w:type="spellEnd"/>
      <w:r w:rsidRPr="00A46264">
        <w:rPr>
          <w:rFonts w:ascii="Arial" w:hAnsi="Arial" w:cs="Arial"/>
          <w:lang w:val="mk-MK"/>
        </w:rPr>
        <w:t xml:space="preserve"> </w:t>
      </w:r>
      <w:proofErr w:type="spellStart"/>
      <w:r w:rsidRPr="00A46264">
        <w:rPr>
          <w:rFonts w:ascii="Arial" w:hAnsi="Arial" w:cs="Arial"/>
          <w:lang w:val="mk-MK"/>
        </w:rPr>
        <w:t>when</w:t>
      </w:r>
      <w:proofErr w:type="spellEnd"/>
      <w:r w:rsidRPr="00A46264">
        <w:rPr>
          <w:rFonts w:ascii="Arial" w:hAnsi="Arial" w:cs="Arial"/>
          <w:lang w:val="mk-MK"/>
        </w:rPr>
        <w:t xml:space="preserve"> </w:t>
      </w:r>
      <w:proofErr w:type="spellStart"/>
      <w:r w:rsidRPr="00A46264">
        <w:rPr>
          <w:rFonts w:ascii="Arial" w:hAnsi="Arial" w:cs="Arial"/>
          <w:lang w:val="mk-MK"/>
        </w:rPr>
        <w:t>the</w:t>
      </w:r>
      <w:proofErr w:type="spellEnd"/>
      <w:r w:rsidRPr="00A46264">
        <w:rPr>
          <w:rFonts w:ascii="Arial" w:hAnsi="Arial" w:cs="Arial"/>
          <w:lang w:val="mk-MK"/>
        </w:rPr>
        <w:t xml:space="preserve"> </w:t>
      </w:r>
      <w:proofErr w:type="spellStart"/>
      <w:r w:rsidRPr="00A46264">
        <w:rPr>
          <w:rFonts w:ascii="Arial" w:hAnsi="Arial" w:cs="Arial"/>
          <w:lang w:val="mk-MK"/>
        </w:rPr>
        <w:t>Governor</w:t>
      </w:r>
      <w:proofErr w:type="spellEnd"/>
      <w:r w:rsidRPr="00A46264">
        <w:rPr>
          <w:rFonts w:ascii="Arial" w:hAnsi="Arial" w:cs="Arial"/>
          <w:lang w:val="mk-MK"/>
        </w:rPr>
        <w:t xml:space="preserve"> </w:t>
      </w:r>
      <w:proofErr w:type="spellStart"/>
      <w:r w:rsidRPr="00A46264">
        <w:rPr>
          <w:rFonts w:ascii="Arial" w:hAnsi="Arial" w:cs="Arial"/>
          <w:lang w:val="mk-MK"/>
        </w:rPr>
        <w:t>of</w:t>
      </w:r>
      <w:proofErr w:type="spellEnd"/>
      <w:r w:rsidRPr="00A46264">
        <w:rPr>
          <w:rFonts w:ascii="Arial" w:hAnsi="Arial" w:cs="Arial"/>
          <w:lang w:val="mk-MK"/>
        </w:rPr>
        <w:t xml:space="preserve"> </w:t>
      </w:r>
      <w:proofErr w:type="spellStart"/>
      <w:r w:rsidRPr="00A46264">
        <w:rPr>
          <w:rFonts w:ascii="Arial" w:hAnsi="Arial" w:cs="Arial"/>
          <w:lang w:val="mk-MK"/>
        </w:rPr>
        <w:t>the</w:t>
      </w:r>
      <w:proofErr w:type="spellEnd"/>
      <w:r w:rsidRPr="00A46264">
        <w:rPr>
          <w:rFonts w:ascii="Arial" w:hAnsi="Arial" w:cs="Arial"/>
          <w:lang w:val="mk-MK"/>
        </w:rPr>
        <w:t xml:space="preserve"> </w:t>
      </w:r>
      <w:proofErr w:type="spellStart"/>
      <w:r w:rsidRPr="00A46264">
        <w:rPr>
          <w:rFonts w:ascii="Arial" w:hAnsi="Arial" w:cs="Arial"/>
          <w:lang w:val="mk-MK"/>
        </w:rPr>
        <w:t>National</w:t>
      </w:r>
      <w:proofErr w:type="spellEnd"/>
      <w:r w:rsidRPr="00A46264">
        <w:rPr>
          <w:rFonts w:ascii="Arial" w:hAnsi="Arial" w:cs="Arial"/>
          <w:lang w:val="mk-MK"/>
        </w:rPr>
        <w:t xml:space="preserve"> </w:t>
      </w:r>
      <w:proofErr w:type="spellStart"/>
      <w:r w:rsidRPr="00A46264">
        <w:rPr>
          <w:rFonts w:ascii="Arial" w:hAnsi="Arial" w:cs="Arial"/>
          <w:lang w:val="mk-MK"/>
        </w:rPr>
        <w:t>Bank</w:t>
      </w:r>
      <w:proofErr w:type="spellEnd"/>
      <w:r w:rsidRPr="00A46264">
        <w:rPr>
          <w:rFonts w:ascii="Arial" w:hAnsi="Arial" w:cs="Arial"/>
          <w:lang w:val="mk-MK"/>
        </w:rPr>
        <w:t xml:space="preserve"> </w:t>
      </w:r>
      <w:proofErr w:type="spellStart"/>
      <w:r w:rsidRPr="00A46264">
        <w:rPr>
          <w:rFonts w:ascii="Arial" w:hAnsi="Arial" w:cs="Arial"/>
          <w:lang w:val="mk-MK"/>
        </w:rPr>
        <w:t>of</w:t>
      </w:r>
      <w:proofErr w:type="spellEnd"/>
      <w:r w:rsidRPr="00A46264">
        <w:rPr>
          <w:rFonts w:ascii="Arial" w:hAnsi="Arial" w:cs="Arial"/>
          <w:lang w:val="mk-MK"/>
        </w:rPr>
        <w:t xml:space="preserve"> </w:t>
      </w:r>
      <w:proofErr w:type="spellStart"/>
      <w:r w:rsidRPr="00A46264">
        <w:rPr>
          <w:rFonts w:ascii="Arial" w:hAnsi="Arial" w:cs="Arial"/>
          <w:lang w:val="mk-MK"/>
        </w:rPr>
        <w:t>Republic</w:t>
      </w:r>
      <w:proofErr w:type="spellEnd"/>
      <w:r w:rsidRPr="00A46264">
        <w:rPr>
          <w:rFonts w:ascii="Arial" w:hAnsi="Arial" w:cs="Arial"/>
          <w:lang w:val="mk-MK"/>
        </w:rPr>
        <w:t xml:space="preserve"> </w:t>
      </w:r>
      <w:proofErr w:type="spellStart"/>
      <w:r w:rsidRPr="00A46264">
        <w:rPr>
          <w:rFonts w:ascii="Arial" w:hAnsi="Arial" w:cs="Arial"/>
          <w:lang w:val="mk-MK"/>
        </w:rPr>
        <w:t>of</w:t>
      </w:r>
      <w:proofErr w:type="spellEnd"/>
      <w:r w:rsidRPr="00A46264">
        <w:rPr>
          <w:rFonts w:ascii="Arial" w:hAnsi="Arial" w:cs="Arial"/>
          <w:lang w:val="mk-MK"/>
        </w:rPr>
        <w:t xml:space="preserve"> </w:t>
      </w:r>
      <w:proofErr w:type="spellStart"/>
      <w:r w:rsidRPr="00A46264">
        <w:rPr>
          <w:rFonts w:ascii="Arial" w:hAnsi="Arial" w:cs="Arial"/>
          <w:lang w:val="mk-MK"/>
        </w:rPr>
        <w:t>North</w:t>
      </w:r>
      <w:proofErr w:type="spellEnd"/>
      <w:r w:rsidRPr="00A46264">
        <w:rPr>
          <w:rFonts w:ascii="Arial" w:hAnsi="Arial" w:cs="Arial"/>
          <w:lang w:val="mk-MK"/>
        </w:rPr>
        <w:t xml:space="preserve"> </w:t>
      </w:r>
      <w:proofErr w:type="spellStart"/>
      <w:r w:rsidRPr="00A46264">
        <w:rPr>
          <w:rFonts w:ascii="Arial" w:hAnsi="Arial" w:cs="Arial"/>
          <w:lang w:val="mk-MK"/>
        </w:rPr>
        <w:t>Macedonia</w:t>
      </w:r>
      <w:proofErr w:type="spellEnd"/>
      <w:r w:rsidRPr="00A46264">
        <w:rPr>
          <w:rFonts w:ascii="Arial" w:hAnsi="Arial" w:cs="Arial"/>
          <w:lang w:val="mk-MK"/>
        </w:rPr>
        <w:t xml:space="preserve"> </w:t>
      </w:r>
      <w:proofErr w:type="spellStart"/>
      <w:r w:rsidRPr="00A46264">
        <w:rPr>
          <w:rFonts w:ascii="Arial" w:hAnsi="Arial" w:cs="Arial"/>
          <w:lang w:val="mk-MK"/>
        </w:rPr>
        <w:t>adopted</w:t>
      </w:r>
      <w:proofErr w:type="spellEnd"/>
      <w:r w:rsidRPr="00A46264">
        <w:rPr>
          <w:rFonts w:ascii="Arial" w:hAnsi="Arial" w:cs="Arial"/>
          <w:lang w:val="mk-MK"/>
        </w:rPr>
        <w:t xml:space="preserve"> </w:t>
      </w:r>
      <w:proofErr w:type="spellStart"/>
      <w:r w:rsidRPr="00A46264">
        <w:rPr>
          <w:rFonts w:ascii="Arial" w:hAnsi="Arial" w:cs="Arial"/>
          <w:lang w:val="mk-MK"/>
        </w:rPr>
        <w:t>the</w:t>
      </w:r>
      <w:proofErr w:type="spellEnd"/>
      <w:r w:rsidRPr="00A46264">
        <w:rPr>
          <w:rFonts w:ascii="Arial" w:hAnsi="Arial" w:cs="Arial"/>
          <w:lang w:val="mk-MK"/>
        </w:rPr>
        <w:t xml:space="preserve"> </w:t>
      </w:r>
      <w:proofErr w:type="spellStart"/>
      <w:r w:rsidRPr="00A46264">
        <w:rPr>
          <w:rFonts w:ascii="Arial" w:hAnsi="Arial" w:cs="Arial"/>
          <w:lang w:val="mk-MK"/>
        </w:rPr>
        <w:t>decision</w:t>
      </w:r>
      <w:proofErr w:type="spellEnd"/>
      <w:r w:rsidRPr="00A46264">
        <w:rPr>
          <w:rFonts w:ascii="Arial" w:hAnsi="Arial" w:cs="Arial"/>
          <w:lang w:val="mk-MK"/>
        </w:rPr>
        <w:t xml:space="preserve"> </w:t>
      </w:r>
      <w:proofErr w:type="spellStart"/>
      <w:r w:rsidRPr="00A46264">
        <w:rPr>
          <w:rFonts w:ascii="Arial" w:hAnsi="Arial" w:cs="Arial"/>
          <w:lang w:val="mk-MK"/>
        </w:rPr>
        <w:t>on</w:t>
      </w:r>
      <w:proofErr w:type="spellEnd"/>
      <w:r w:rsidRPr="00A46264">
        <w:rPr>
          <w:rFonts w:ascii="Arial" w:hAnsi="Arial" w:cs="Arial"/>
          <w:lang w:val="mk-MK"/>
        </w:rPr>
        <w:t xml:space="preserve"> </w:t>
      </w:r>
      <w:proofErr w:type="spellStart"/>
      <w:r w:rsidRPr="00A46264">
        <w:rPr>
          <w:rFonts w:ascii="Arial" w:hAnsi="Arial" w:cs="Arial"/>
          <w:lang w:val="mk-MK"/>
        </w:rPr>
        <w:t>revoking</w:t>
      </w:r>
      <w:proofErr w:type="spellEnd"/>
      <w:r w:rsidRPr="00A46264">
        <w:rPr>
          <w:rFonts w:ascii="Arial" w:hAnsi="Arial" w:cs="Arial"/>
          <w:lang w:val="mk-MK"/>
        </w:rPr>
        <w:t xml:space="preserve"> </w:t>
      </w:r>
      <w:proofErr w:type="spellStart"/>
      <w:r w:rsidRPr="00A46264">
        <w:rPr>
          <w:rFonts w:ascii="Arial" w:hAnsi="Arial" w:cs="Arial"/>
          <w:lang w:val="mk-MK"/>
        </w:rPr>
        <w:t>the</w:t>
      </w:r>
      <w:proofErr w:type="spellEnd"/>
      <w:r w:rsidRPr="00A46264">
        <w:rPr>
          <w:rFonts w:ascii="Arial" w:hAnsi="Arial" w:cs="Arial"/>
          <w:lang w:val="mk-MK"/>
        </w:rPr>
        <w:t xml:space="preserve"> </w:t>
      </w:r>
      <w:proofErr w:type="spellStart"/>
      <w:r w:rsidRPr="00A46264">
        <w:rPr>
          <w:rFonts w:ascii="Arial" w:hAnsi="Arial" w:cs="Arial"/>
          <w:lang w:val="mk-MK"/>
        </w:rPr>
        <w:t>founding</w:t>
      </w:r>
      <w:proofErr w:type="spellEnd"/>
      <w:r w:rsidRPr="00A46264">
        <w:rPr>
          <w:rFonts w:ascii="Arial" w:hAnsi="Arial" w:cs="Arial"/>
          <w:lang w:val="mk-MK"/>
        </w:rPr>
        <w:t xml:space="preserve"> </w:t>
      </w:r>
      <w:proofErr w:type="spellStart"/>
      <w:r w:rsidRPr="00A46264">
        <w:rPr>
          <w:rFonts w:ascii="Arial" w:hAnsi="Arial" w:cs="Arial"/>
          <w:lang w:val="mk-MK"/>
        </w:rPr>
        <w:t>and</w:t>
      </w:r>
      <w:proofErr w:type="spellEnd"/>
      <w:r w:rsidRPr="00A46264">
        <w:rPr>
          <w:rFonts w:ascii="Arial" w:hAnsi="Arial" w:cs="Arial"/>
          <w:lang w:val="mk-MK"/>
        </w:rPr>
        <w:t xml:space="preserve"> </w:t>
      </w:r>
      <w:proofErr w:type="spellStart"/>
      <w:r w:rsidRPr="00A46264">
        <w:rPr>
          <w:rFonts w:ascii="Arial" w:hAnsi="Arial" w:cs="Arial"/>
          <w:lang w:val="mk-MK"/>
        </w:rPr>
        <w:t>operating</w:t>
      </w:r>
      <w:proofErr w:type="spellEnd"/>
      <w:r w:rsidRPr="00A46264">
        <w:rPr>
          <w:rFonts w:ascii="Arial" w:hAnsi="Arial" w:cs="Arial"/>
          <w:lang w:val="mk-MK"/>
        </w:rPr>
        <w:t xml:space="preserve"> </w:t>
      </w:r>
      <w:proofErr w:type="spellStart"/>
      <w:r w:rsidRPr="00A46264">
        <w:rPr>
          <w:rFonts w:ascii="Arial" w:hAnsi="Arial" w:cs="Arial"/>
          <w:lang w:val="mk-MK"/>
        </w:rPr>
        <w:t>license</w:t>
      </w:r>
      <w:proofErr w:type="spellEnd"/>
      <w:r w:rsidRPr="00A46264">
        <w:rPr>
          <w:rFonts w:ascii="Arial" w:hAnsi="Arial" w:cs="Arial"/>
          <w:lang w:val="mk-MK"/>
        </w:rPr>
        <w:t xml:space="preserve"> </w:t>
      </w:r>
      <w:proofErr w:type="spellStart"/>
      <w:r w:rsidRPr="00A46264">
        <w:rPr>
          <w:rFonts w:ascii="Arial" w:hAnsi="Arial" w:cs="Arial"/>
          <w:lang w:val="mk-MK"/>
        </w:rPr>
        <w:t>of</w:t>
      </w:r>
      <w:proofErr w:type="spellEnd"/>
      <w:r w:rsidRPr="00A46264">
        <w:rPr>
          <w:rFonts w:ascii="Arial" w:hAnsi="Arial" w:cs="Arial"/>
          <w:lang w:val="mk-MK"/>
        </w:rPr>
        <w:t xml:space="preserve"> a </w:t>
      </w:r>
      <w:proofErr w:type="spellStart"/>
      <w:r w:rsidRPr="00A46264">
        <w:rPr>
          <w:rFonts w:ascii="Arial" w:hAnsi="Arial" w:cs="Arial"/>
          <w:lang w:val="mk-MK"/>
        </w:rPr>
        <w:t>bank</w:t>
      </w:r>
      <w:proofErr w:type="spellEnd"/>
      <w:r w:rsidRPr="00A46264">
        <w:rPr>
          <w:rFonts w:ascii="Arial" w:hAnsi="Arial" w:cs="Arial"/>
          <w:lang w:val="mk-MK"/>
        </w:rPr>
        <w:t xml:space="preserve">, </w:t>
      </w:r>
      <w:proofErr w:type="spellStart"/>
      <w:r w:rsidRPr="00A46264">
        <w:rPr>
          <w:rFonts w:ascii="Arial" w:hAnsi="Arial" w:cs="Arial"/>
          <w:lang w:val="mk-MK"/>
        </w:rPr>
        <w:t>foreign</w:t>
      </w:r>
      <w:proofErr w:type="spellEnd"/>
      <w:r w:rsidRPr="00A46264">
        <w:rPr>
          <w:rFonts w:ascii="Arial" w:hAnsi="Arial" w:cs="Arial"/>
          <w:lang w:val="mk-MK"/>
        </w:rPr>
        <w:t xml:space="preserve"> </w:t>
      </w:r>
      <w:proofErr w:type="spellStart"/>
      <w:r w:rsidRPr="00A46264">
        <w:rPr>
          <w:rFonts w:ascii="Arial" w:hAnsi="Arial" w:cs="Arial"/>
          <w:lang w:val="mk-MK"/>
        </w:rPr>
        <w:t>branch</w:t>
      </w:r>
      <w:proofErr w:type="spellEnd"/>
      <w:r w:rsidRPr="00A46264">
        <w:rPr>
          <w:rFonts w:ascii="Arial" w:hAnsi="Arial" w:cs="Arial"/>
          <w:lang w:val="mk-MK"/>
        </w:rPr>
        <w:t xml:space="preserve"> </w:t>
      </w:r>
      <w:proofErr w:type="spellStart"/>
      <w:r w:rsidRPr="00A46264">
        <w:rPr>
          <w:rFonts w:ascii="Arial" w:hAnsi="Arial" w:cs="Arial"/>
          <w:lang w:val="mk-MK"/>
        </w:rPr>
        <w:t>or</w:t>
      </w:r>
      <w:proofErr w:type="spellEnd"/>
      <w:r w:rsidRPr="00A46264">
        <w:rPr>
          <w:rFonts w:ascii="Arial" w:hAnsi="Arial" w:cs="Arial"/>
          <w:lang w:val="mk-MK"/>
        </w:rPr>
        <w:t xml:space="preserve"> </w:t>
      </w:r>
      <w:proofErr w:type="spellStart"/>
      <w:r w:rsidRPr="00A46264">
        <w:rPr>
          <w:rFonts w:ascii="Arial" w:hAnsi="Arial" w:cs="Arial"/>
          <w:lang w:val="mk-MK"/>
        </w:rPr>
        <w:t>saving</w:t>
      </w:r>
      <w:proofErr w:type="spellEnd"/>
      <w:r w:rsidRPr="00A46264">
        <w:rPr>
          <w:rFonts w:ascii="Arial" w:hAnsi="Arial" w:cs="Arial"/>
          <w:lang w:val="mk-MK"/>
        </w:rPr>
        <w:t xml:space="preserve"> </w:t>
      </w:r>
      <w:proofErr w:type="spellStart"/>
      <w:r w:rsidRPr="00A46264">
        <w:rPr>
          <w:rFonts w:ascii="Arial" w:hAnsi="Arial" w:cs="Arial"/>
          <w:lang w:val="mk-MK"/>
        </w:rPr>
        <w:t>house</w:t>
      </w:r>
      <w:proofErr w:type="spellEnd"/>
      <w:r w:rsidR="00815E65" w:rsidRPr="00CE3053">
        <w:rPr>
          <w:rFonts w:ascii="Arial" w:hAnsi="Arial" w:cs="Arial"/>
          <w:lang w:val="mk-MK"/>
        </w:rPr>
        <w:t>;</w:t>
      </w:r>
    </w:p>
    <w:p w14:paraId="5FDBD9FC" w14:textId="50FE74AD" w:rsidR="00815E65" w:rsidRPr="00CE3053" w:rsidRDefault="00A46264" w:rsidP="0061511C">
      <w:pPr>
        <w:pStyle w:val="BodyText"/>
        <w:numPr>
          <w:ilvl w:val="0"/>
          <w:numId w:val="26"/>
        </w:numPr>
        <w:spacing w:after="0"/>
        <w:jc w:val="both"/>
        <w:rPr>
          <w:rFonts w:ascii="Arial" w:hAnsi="Arial" w:cs="Arial"/>
          <w:lang w:val="mk-MK"/>
        </w:rPr>
      </w:pPr>
      <w:proofErr w:type="spellStart"/>
      <w:r>
        <w:rPr>
          <w:rFonts w:ascii="Arial" w:hAnsi="Arial" w:cs="Arial"/>
          <w:lang w:val="en-US"/>
        </w:rPr>
        <w:t>bo</w:t>
      </w:r>
      <w:r w:rsidRPr="00A46264">
        <w:rPr>
          <w:rFonts w:ascii="Arial" w:hAnsi="Arial" w:cs="Arial"/>
          <w:lang w:val="mk-MK"/>
        </w:rPr>
        <w:t>rrowing</w:t>
      </w:r>
      <w:proofErr w:type="spellEnd"/>
      <w:r w:rsidRPr="00A46264">
        <w:rPr>
          <w:rFonts w:ascii="Arial" w:hAnsi="Arial" w:cs="Arial"/>
          <w:lang w:val="mk-MK"/>
        </w:rPr>
        <w:t xml:space="preserve"> </w:t>
      </w:r>
      <w:proofErr w:type="spellStart"/>
      <w:r w:rsidRPr="00A46264">
        <w:rPr>
          <w:rFonts w:ascii="Arial" w:hAnsi="Arial" w:cs="Arial"/>
          <w:lang w:val="mk-MK"/>
        </w:rPr>
        <w:t>in</w:t>
      </w:r>
      <w:proofErr w:type="spellEnd"/>
      <w:r w:rsidRPr="00A46264">
        <w:rPr>
          <w:rFonts w:ascii="Arial" w:hAnsi="Arial" w:cs="Arial"/>
          <w:lang w:val="mk-MK"/>
        </w:rPr>
        <w:t xml:space="preserve"> </w:t>
      </w:r>
      <w:proofErr w:type="spellStart"/>
      <w:r w:rsidRPr="00A46264">
        <w:rPr>
          <w:rFonts w:ascii="Arial" w:hAnsi="Arial" w:cs="Arial"/>
          <w:lang w:val="mk-MK"/>
        </w:rPr>
        <w:t>the</w:t>
      </w:r>
      <w:proofErr w:type="spellEnd"/>
      <w:r w:rsidRPr="00A46264">
        <w:rPr>
          <w:rFonts w:ascii="Arial" w:hAnsi="Arial" w:cs="Arial"/>
          <w:lang w:val="mk-MK"/>
        </w:rPr>
        <w:t xml:space="preserve"> </w:t>
      </w:r>
      <w:proofErr w:type="spellStart"/>
      <w:r w:rsidRPr="00A46264">
        <w:rPr>
          <w:rFonts w:ascii="Arial" w:hAnsi="Arial" w:cs="Arial"/>
          <w:lang w:val="mk-MK"/>
        </w:rPr>
        <w:t>country</w:t>
      </w:r>
      <w:proofErr w:type="spellEnd"/>
      <w:r w:rsidRPr="00A46264">
        <w:rPr>
          <w:rFonts w:ascii="Arial" w:hAnsi="Arial" w:cs="Arial"/>
          <w:lang w:val="mk-MK"/>
        </w:rPr>
        <w:t xml:space="preserve"> </w:t>
      </w:r>
      <w:proofErr w:type="spellStart"/>
      <w:r w:rsidRPr="00A46264">
        <w:rPr>
          <w:rFonts w:ascii="Arial" w:hAnsi="Arial" w:cs="Arial"/>
          <w:lang w:val="mk-MK"/>
        </w:rPr>
        <w:t>and</w:t>
      </w:r>
      <w:proofErr w:type="spellEnd"/>
      <w:r w:rsidRPr="00A46264">
        <w:rPr>
          <w:rFonts w:ascii="Arial" w:hAnsi="Arial" w:cs="Arial"/>
          <w:lang w:val="mk-MK"/>
        </w:rPr>
        <w:t xml:space="preserve"> </w:t>
      </w:r>
      <w:proofErr w:type="spellStart"/>
      <w:r w:rsidRPr="00A46264">
        <w:rPr>
          <w:rFonts w:ascii="Arial" w:hAnsi="Arial" w:cs="Arial"/>
          <w:lang w:val="mk-MK"/>
        </w:rPr>
        <w:t>abroad</w:t>
      </w:r>
      <w:proofErr w:type="spellEnd"/>
      <w:r w:rsidR="00815E65" w:rsidRPr="00CE3053">
        <w:rPr>
          <w:rFonts w:ascii="Arial" w:hAnsi="Arial" w:cs="Arial"/>
          <w:lang w:val="mk-MK"/>
        </w:rPr>
        <w:t>;</w:t>
      </w:r>
    </w:p>
    <w:p w14:paraId="1B968509" w14:textId="1CF0C506" w:rsidR="00815E65" w:rsidRPr="00126FCB" w:rsidRDefault="0071189B" w:rsidP="00126FCB">
      <w:pPr>
        <w:pStyle w:val="ListParagraph"/>
        <w:numPr>
          <w:ilvl w:val="0"/>
          <w:numId w:val="26"/>
        </w:numPr>
        <w:rPr>
          <w:rFonts w:ascii="Arial" w:hAnsi="Arial" w:cs="Arial"/>
          <w:lang w:val="mk-MK"/>
        </w:rPr>
      </w:pPr>
      <w:proofErr w:type="spellStart"/>
      <w:r w:rsidRPr="0071189B">
        <w:rPr>
          <w:rFonts w:ascii="Arial" w:hAnsi="Arial" w:cs="Arial"/>
          <w:lang w:val="mk-MK"/>
        </w:rPr>
        <w:t>borrowing</w:t>
      </w:r>
      <w:proofErr w:type="spellEnd"/>
      <w:r w:rsidRPr="0071189B">
        <w:rPr>
          <w:rFonts w:ascii="Arial" w:hAnsi="Arial" w:cs="Arial"/>
          <w:lang w:val="mk-MK"/>
        </w:rPr>
        <w:t xml:space="preserve"> </w:t>
      </w:r>
      <w:proofErr w:type="spellStart"/>
      <w:r w:rsidRPr="0071189B">
        <w:rPr>
          <w:rFonts w:ascii="Arial" w:hAnsi="Arial" w:cs="Arial"/>
          <w:lang w:val="mk-MK"/>
        </w:rPr>
        <w:t>from</w:t>
      </w:r>
      <w:proofErr w:type="spellEnd"/>
      <w:r w:rsidRPr="0071189B">
        <w:rPr>
          <w:rFonts w:ascii="Arial" w:hAnsi="Arial" w:cs="Arial"/>
          <w:lang w:val="mk-MK"/>
        </w:rPr>
        <w:t xml:space="preserve"> </w:t>
      </w:r>
      <w:proofErr w:type="spellStart"/>
      <w:r w:rsidRPr="0071189B">
        <w:rPr>
          <w:rFonts w:ascii="Arial" w:hAnsi="Arial" w:cs="Arial"/>
          <w:lang w:val="mk-MK"/>
        </w:rPr>
        <w:t>the</w:t>
      </w:r>
      <w:proofErr w:type="spellEnd"/>
      <w:r w:rsidRPr="0071189B">
        <w:rPr>
          <w:rFonts w:ascii="Arial" w:hAnsi="Arial" w:cs="Arial"/>
          <w:lang w:val="mk-MK"/>
        </w:rPr>
        <w:t xml:space="preserve"> </w:t>
      </w:r>
      <w:proofErr w:type="spellStart"/>
      <w:r w:rsidRPr="0071189B">
        <w:rPr>
          <w:rFonts w:ascii="Arial" w:hAnsi="Arial" w:cs="Arial"/>
          <w:lang w:val="mk-MK"/>
        </w:rPr>
        <w:t>Budget</w:t>
      </w:r>
      <w:proofErr w:type="spellEnd"/>
      <w:r w:rsidRPr="0071189B">
        <w:rPr>
          <w:rFonts w:ascii="Arial" w:hAnsi="Arial" w:cs="Arial"/>
          <w:lang w:val="mk-MK"/>
        </w:rPr>
        <w:t xml:space="preserve"> </w:t>
      </w:r>
      <w:proofErr w:type="spellStart"/>
      <w:r w:rsidRPr="0071189B">
        <w:rPr>
          <w:rFonts w:ascii="Arial" w:hAnsi="Arial" w:cs="Arial"/>
          <w:lang w:val="mk-MK"/>
        </w:rPr>
        <w:t>of</w:t>
      </w:r>
      <w:proofErr w:type="spellEnd"/>
      <w:r w:rsidRPr="0071189B">
        <w:rPr>
          <w:rFonts w:ascii="Arial" w:hAnsi="Arial" w:cs="Arial"/>
          <w:lang w:val="mk-MK"/>
        </w:rPr>
        <w:t xml:space="preserve"> </w:t>
      </w:r>
      <w:proofErr w:type="spellStart"/>
      <w:r w:rsidRPr="0071189B">
        <w:rPr>
          <w:rFonts w:ascii="Arial" w:hAnsi="Arial" w:cs="Arial"/>
          <w:lang w:val="mk-MK"/>
        </w:rPr>
        <w:t>Republic</w:t>
      </w:r>
      <w:proofErr w:type="spellEnd"/>
      <w:r w:rsidRPr="0071189B">
        <w:rPr>
          <w:rFonts w:ascii="Arial" w:hAnsi="Arial" w:cs="Arial"/>
          <w:lang w:val="mk-MK"/>
        </w:rPr>
        <w:t xml:space="preserve"> </w:t>
      </w:r>
      <w:proofErr w:type="spellStart"/>
      <w:r w:rsidRPr="0071189B">
        <w:rPr>
          <w:rFonts w:ascii="Arial" w:hAnsi="Arial" w:cs="Arial"/>
          <w:lang w:val="mk-MK"/>
        </w:rPr>
        <w:t>of</w:t>
      </w:r>
      <w:proofErr w:type="spellEnd"/>
      <w:r w:rsidRPr="0071189B">
        <w:rPr>
          <w:rFonts w:ascii="Arial" w:hAnsi="Arial" w:cs="Arial"/>
          <w:lang w:val="mk-MK"/>
        </w:rPr>
        <w:t xml:space="preserve"> </w:t>
      </w:r>
      <w:proofErr w:type="spellStart"/>
      <w:r w:rsidRPr="0071189B">
        <w:rPr>
          <w:rFonts w:ascii="Arial" w:hAnsi="Arial" w:cs="Arial"/>
          <w:lang w:val="mk-MK"/>
        </w:rPr>
        <w:t>North</w:t>
      </w:r>
      <w:proofErr w:type="spellEnd"/>
      <w:r w:rsidRPr="0071189B">
        <w:rPr>
          <w:rFonts w:ascii="Arial" w:hAnsi="Arial" w:cs="Arial"/>
          <w:lang w:val="mk-MK"/>
        </w:rPr>
        <w:t xml:space="preserve"> </w:t>
      </w:r>
      <w:proofErr w:type="spellStart"/>
      <w:r w:rsidRPr="0071189B">
        <w:rPr>
          <w:rFonts w:ascii="Arial" w:hAnsi="Arial" w:cs="Arial"/>
          <w:lang w:val="mk-MK"/>
        </w:rPr>
        <w:t>Macedonia</w:t>
      </w:r>
      <w:proofErr w:type="spellEnd"/>
      <w:r w:rsidR="00815E65" w:rsidRPr="0071189B">
        <w:rPr>
          <w:rFonts w:ascii="Arial" w:hAnsi="Arial" w:cs="Arial"/>
          <w:lang w:val="mk-MK"/>
        </w:rPr>
        <w:t>.</w:t>
      </w:r>
    </w:p>
    <w:p w14:paraId="787A604A" w14:textId="77777777" w:rsidR="00126FCB" w:rsidRPr="00971830" w:rsidRDefault="00126FCB" w:rsidP="00126FCB">
      <w:pPr>
        <w:pStyle w:val="BodyText"/>
        <w:jc w:val="both"/>
        <w:rPr>
          <w:rFonts w:ascii="Arial" w:hAnsi="Arial" w:cs="Arial"/>
          <w:lang w:val="en-US"/>
        </w:rPr>
      </w:pPr>
      <w:proofErr w:type="spellStart"/>
      <w:r w:rsidRPr="00971830">
        <w:rPr>
          <w:rFonts w:ascii="Arial" w:hAnsi="Arial" w:cs="Arial"/>
          <w:lang w:val="mk-MK"/>
        </w:rPr>
        <w:t>If</w:t>
      </w:r>
      <w:proofErr w:type="spellEnd"/>
      <w:r w:rsidRPr="00971830">
        <w:rPr>
          <w:rFonts w:ascii="Arial" w:hAnsi="Arial" w:cs="Arial"/>
          <w:lang w:val="mk-MK"/>
        </w:rPr>
        <w:t xml:space="preserve"> </w:t>
      </w:r>
      <w:proofErr w:type="spellStart"/>
      <w:r w:rsidRPr="00971830">
        <w:rPr>
          <w:rFonts w:ascii="Arial" w:hAnsi="Arial" w:cs="Arial"/>
          <w:lang w:val="mk-MK"/>
        </w:rPr>
        <w:t>the</w:t>
      </w:r>
      <w:proofErr w:type="spellEnd"/>
      <w:r w:rsidRPr="00971830">
        <w:rPr>
          <w:rFonts w:ascii="Arial" w:hAnsi="Arial" w:cs="Arial"/>
          <w:lang w:val="mk-MK"/>
        </w:rPr>
        <w:t xml:space="preserve"> </w:t>
      </w:r>
      <w:proofErr w:type="spellStart"/>
      <w:r w:rsidRPr="00971830">
        <w:rPr>
          <w:rFonts w:ascii="Arial" w:hAnsi="Arial" w:cs="Arial"/>
          <w:lang w:val="mk-MK"/>
        </w:rPr>
        <w:t>Fund</w:t>
      </w:r>
      <w:proofErr w:type="spellEnd"/>
      <w:r w:rsidRPr="00971830">
        <w:rPr>
          <w:rFonts w:ascii="Arial" w:hAnsi="Arial" w:cs="Arial"/>
          <w:lang w:val="mk-MK"/>
        </w:rPr>
        <w:t xml:space="preserve"> </w:t>
      </w:r>
      <w:proofErr w:type="spellStart"/>
      <w:r w:rsidRPr="00971830">
        <w:rPr>
          <w:rFonts w:ascii="Arial" w:hAnsi="Arial" w:cs="Arial"/>
          <w:lang w:val="mk-MK"/>
        </w:rPr>
        <w:t>does</w:t>
      </w:r>
      <w:proofErr w:type="spellEnd"/>
      <w:r w:rsidRPr="00971830">
        <w:rPr>
          <w:rFonts w:ascii="Arial" w:hAnsi="Arial" w:cs="Arial"/>
          <w:lang w:val="mk-MK"/>
        </w:rPr>
        <w:t xml:space="preserve"> </w:t>
      </w:r>
      <w:proofErr w:type="spellStart"/>
      <w:r w:rsidRPr="00971830">
        <w:rPr>
          <w:rFonts w:ascii="Arial" w:hAnsi="Arial" w:cs="Arial"/>
          <w:lang w:val="mk-MK"/>
        </w:rPr>
        <w:t>not</w:t>
      </w:r>
      <w:proofErr w:type="spellEnd"/>
      <w:r w:rsidRPr="00971830">
        <w:rPr>
          <w:rFonts w:ascii="Arial" w:hAnsi="Arial" w:cs="Arial"/>
          <w:lang w:val="mk-MK"/>
        </w:rPr>
        <w:t xml:space="preserve"> </w:t>
      </w:r>
      <w:proofErr w:type="spellStart"/>
      <w:r w:rsidRPr="00971830">
        <w:rPr>
          <w:rFonts w:ascii="Arial" w:hAnsi="Arial" w:cs="Arial"/>
          <w:lang w:val="mk-MK"/>
        </w:rPr>
        <w:t>have</w:t>
      </w:r>
      <w:proofErr w:type="spellEnd"/>
      <w:r w:rsidRPr="00971830">
        <w:rPr>
          <w:rFonts w:ascii="Arial" w:hAnsi="Arial" w:cs="Arial"/>
          <w:lang w:val="mk-MK"/>
        </w:rPr>
        <w:t xml:space="preserve"> </w:t>
      </w:r>
      <w:proofErr w:type="spellStart"/>
      <w:r w:rsidRPr="00971830">
        <w:rPr>
          <w:rFonts w:ascii="Arial" w:hAnsi="Arial" w:cs="Arial"/>
          <w:lang w:val="mk-MK"/>
        </w:rPr>
        <w:t>enough</w:t>
      </w:r>
      <w:proofErr w:type="spellEnd"/>
      <w:r w:rsidRPr="00971830">
        <w:rPr>
          <w:rFonts w:ascii="Arial" w:hAnsi="Arial" w:cs="Arial"/>
          <w:lang w:val="mk-MK"/>
        </w:rPr>
        <w:t xml:space="preserve"> </w:t>
      </w:r>
      <w:proofErr w:type="spellStart"/>
      <w:r w:rsidRPr="00971830">
        <w:rPr>
          <w:rFonts w:ascii="Arial" w:hAnsi="Arial" w:cs="Arial"/>
          <w:lang w:val="mk-MK"/>
        </w:rPr>
        <w:t>liquid</w:t>
      </w:r>
      <w:proofErr w:type="spellEnd"/>
      <w:r w:rsidRPr="00971830">
        <w:rPr>
          <w:rFonts w:ascii="Arial" w:hAnsi="Arial" w:cs="Arial"/>
          <w:lang w:val="mk-MK"/>
        </w:rPr>
        <w:t xml:space="preserve"> </w:t>
      </w:r>
      <w:proofErr w:type="spellStart"/>
      <w:r w:rsidRPr="00971830">
        <w:rPr>
          <w:rFonts w:ascii="Arial" w:hAnsi="Arial" w:cs="Arial"/>
          <w:lang w:val="mk-MK"/>
        </w:rPr>
        <w:t>assets</w:t>
      </w:r>
      <w:proofErr w:type="spellEnd"/>
      <w:r w:rsidRPr="00971830">
        <w:rPr>
          <w:rFonts w:ascii="Arial" w:hAnsi="Arial" w:cs="Arial"/>
          <w:lang w:val="mk-MK"/>
        </w:rPr>
        <w:t xml:space="preserve"> </w:t>
      </w:r>
      <w:proofErr w:type="spellStart"/>
      <w:r w:rsidRPr="00971830">
        <w:rPr>
          <w:rFonts w:ascii="Arial" w:hAnsi="Arial" w:cs="Arial"/>
          <w:lang w:val="mk-MK"/>
        </w:rPr>
        <w:t>to</w:t>
      </w:r>
      <w:proofErr w:type="spellEnd"/>
      <w:r w:rsidRPr="00971830">
        <w:rPr>
          <w:rFonts w:ascii="Arial" w:hAnsi="Arial" w:cs="Arial"/>
          <w:lang w:val="mk-MK"/>
        </w:rPr>
        <w:t xml:space="preserve"> </w:t>
      </w:r>
      <w:proofErr w:type="spellStart"/>
      <w:r w:rsidRPr="00971830">
        <w:rPr>
          <w:rFonts w:ascii="Arial" w:hAnsi="Arial" w:cs="Arial"/>
          <w:lang w:val="mk-MK"/>
        </w:rPr>
        <w:t>repay</w:t>
      </w:r>
      <w:proofErr w:type="spellEnd"/>
      <w:r w:rsidRPr="00971830">
        <w:rPr>
          <w:rFonts w:ascii="Arial" w:hAnsi="Arial" w:cs="Arial"/>
          <w:lang w:val="mk-MK"/>
        </w:rPr>
        <w:t xml:space="preserve"> </w:t>
      </w:r>
      <w:proofErr w:type="spellStart"/>
      <w:r w:rsidRPr="00971830">
        <w:rPr>
          <w:rFonts w:ascii="Arial" w:hAnsi="Arial" w:cs="Arial"/>
          <w:lang w:val="mk-MK"/>
        </w:rPr>
        <w:t>the</w:t>
      </w:r>
      <w:proofErr w:type="spellEnd"/>
      <w:r w:rsidRPr="00971830">
        <w:rPr>
          <w:rFonts w:ascii="Arial" w:hAnsi="Arial" w:cs="Arial"/>
          <w:lang w:val="mk-MK"/>
        </w:rPr>
        <w:t xml:space="preserve"> </w:t>
      </w:r>
      <w:proofErr w:type="spellStart"/>
      <w:r w:rsidRPr="00971830">
        <w:rPr>
          <w:rFonts w:ascii="Arial" w:hAnsi="Arial" w:cs="Arial"/>
          <w:lang w:val="mk-MK"/>
        </w:rPr>
        <w:t>insured</w:t>
      </w:r>
      <w:proofErr w:type="spellEnd"/>
      <w:r w:rsidRPr="00971830">
        <w:rPr>
          <w:rFonts w:ascii="Arial" w:hAnsi="Arial" w:cs="Arial"/>
          <w:lang w:val="mk-MK"/>
        </w:rPr>
        <w:t xml:space="preserve"> </w:t>
      </w:r>
      <w:proofErr w:type="spellStart"/>
      <w:r w:rsidRPr="00971830">
        <w:rPr>
          <w:rFonts w:ascii="Arial" w:hAnsi="Arial" w:cs="Arial"/>
          <w:lang w:val="mk-MK"/>
        </w:rPr>
        <w:t>deposits</w:t>
      </w:r>
      <w:proofErr w:type="spellEnd"/>
      <w:r w:rsidRPr="00971830">
        <w:rPr>
          <w:rFonts w:ascii="Arial" w:hAnsi="Arial" w:cs="Arial"/>
          <w:lang w:val="mk-MK"/>
        </w:rPr>
        <w:t xml:space="preserve"> </w:t>
      </w:r>
      <w:proofErr w:type="spellStart"/>
      <w:r w:rsidRPr="00971830">
        <w:rPr>
          <w:rFonts w:ascii="Arial" w:hAnsi="Arial" w:cs="Arial"/>
          <w:lang w:val="mk-MK"/>
        </w:rPr>
        <w:t>of</w:t>
      </w:r>
      <w:proofErr w:type="spellEnd"/>
      <w:r w:rsidRPr="00971830">
        <w:rPr>
          <w:rFonts w:ascii="Arial" w:hAnsi="Arial" w:cs="Arial"/>
          <w:lang w:val="mk-MK"/>
        </w:rPr>
        <w:t xml:space="preserve"> </w:t>
      </w:r>
      <w:proofErr w:type="spellStart"/>
      <w:r w:rsidRPr="00971830">
        <w:rPr>
          <w:rFonts w:ascii="Arial" w:hAnsi="Arial" w:cs="Arial"/>
          <w:lang w:val="mk-MK"/>
        </w:rPr>
        <w:t>individuals</w:t>
      </w:r>
      <w:proofErr w:type="spellEnd"/>
      <w:r w:rsidRPr="00971830">
        <w:rPr>
          <w:rFonts w:ascii="Arial" w:hAnsi="Arial" w:cs="Arial"/>
          <w:lang w:val="mk-MK"/>
        </w:rPr>
        <w:t xml:space="preserve">, </w:t>
      </w:r>
      <w:proofErr w:type="spellStart"/>
      <w:r w:rsidRPr="00971830">
        <w:rPr>
          <w:rFonts w:ascii="Arial" w:hAnsi="Arial" w:cs="Arial"/>
          <w:lang w:val="mk-MK"/>
        </w:rPr>
        <w:t>the</w:t>
      </w:r>
      <w:proofErr w:type="spellEnd"/>
      <w:r w:rsidRPr="00971830">
        <w:rPr>
          <w:rFonts w:ascii="Arial" w:hAnsi="Arial" w:cs="Arial"/>
          <w:lang w:val="mk-MK"/>
        </w:rPr>
        <w:t xml:space="preserve"> </w:t>
      </w:r>
      <w:proofErr w:type="spellStart"/>
      <w:r w:rsidRPr="00971830">
        <w:rPr>
          <w:rFonts w:ascii="Arial" w:hAnsi="Arial" w:cs="Arial"/>
          <w:lang w:val="mk-MK"/>
        </w:rPr>
        <w:t>Ministry</w:t>
      </w:r>
      <w:proofErr w:type="spellEnd"/>
      <w:r w:rsidRPr="00971830">
        <w:rPr>
          <w:rFonts w:ascii="Arial" w:hAnsi="Arial" w:cs="Arial"/>
          <w:lang w:val="mk-MK"/>
        </w:rPr>
        <w:t xml:space="preserve"> </w:t>
      </w:r>
      <w:proofErr w:type="spellStart"/>
      <w:r w:rsidRPr="00971830">
        <w:rPr>
          <w:rFonts w:ascii="Arial" w:hAnsi="Arial" w:cs="Arial"/>
          <w:lang w:val="mk-MK"/>
        </w:rPr>
        <w:t>of</w:t>
      </w:r>
      <w:proofErr w:type="spellEnd"/>
      <w:r w:rsidRPr="00971830">
        <w:rPr>
          <w:rFonts w:ascii="Arial" w:hAnsi="Arial" w:cs="Arial"/>
          <w:lang w:val="mk-MK"/>
        </w:rPr>
        <w:t xml:space="preserve"> </w:t>
      </w:r>
      <w:proofErr w:type="spellStart"/>
      <w:r w:rsidRPr="00971830">
        <w:rPr>
          <w:rFonts w:ascii="Arial" w:hAnsi="Arial" w:cs="Arial"/>
          <w:lang w:val="mk-MK"/>
        </w:rPr>
        <w:t>Finance</w:t>
      </w:r>
      <w:proofErr w:type="spellEnd"/>
      <w:r w:rsidRPr="00971830">
        <w:rPr>
          <w:rFonts w:ascii="Arial" w:hAnsi="Arial" w:cs="Arial"/>
          <w:lang w:val="mk-MK"/>
        </w:rPr>
        <w:t xml:space="preserve"> </w:t>
      </w:r>
      <w:proofErr w:type="spellStart"/>
      <w:r w:rsidRPr="00971830">
        <w:rPr>
          <w:rFonts w:ascii="Arial" w:hAnsi="Arial" w:cs="Arial"/>
          <w:lang w:val="mk-MK"/>
        </w:rPr>
        <w:t>can</w:t>
      </w:r>
      <w:proofErr w:type="spellEnd"/>
      <w:r w:rsidRPr="00971830">
        <w:rPr>
          <w:rFonts w:ascii="Arial" w:hAnsi="Arial" w:cs="Arial"/>
          <w:lang w:val="mk-MK"/>
        </w:rPr>
        <w:t xml:space="preserve"> </w:t>
      </w:r>
      <w:proofErr w:type="spellStart"/>
      <w:r w:rsidRPr="00971830">
        <w:rPr>
          <w:rFonts w:ascii="Arial" w:hAnsi="Arial" w:cs="Arial"/>
          <w:lang w:val="mk-MK"/>
        </w:rPr>
        <w:t>buy</w:t>
      </w:r>
      <w:proofErr w:type="spellEnd"/>
      <w:r w:rsidRPr="00971830">
        <w:rPr>
          <w:rFonts w:ascii="Arial" w:hAnsi="Arial" w:cs="Arial"/>
          <w:lang w:val="mk-MK"/>
        </w:rPr>
        <w:t xml:space="preserve"> </w:t>
      </w:r>
      <w:proofErr w:type="spellStart"/>
      <w:r w:rsidRPr="00971830">
        <w:rPr>
          <w:rFonts w:ascii="Arial" w:hAnsi="Arial" w:cs="Arial"/>
          <w:lang w:val="mk-MK"/>
        </w:rPr>
        <w:t>the</w:t>
      </w:r>
      <w:proofErr w:type="spellEnd"/>
      <w:r w:rsidRPr="00971830">
        <w:rPr>
          <w:rFonts w:ascii="Arial" w:hAnsi="Arial" w:cs="Arial"/>
          <w:lang w:val="mk-MK"/>
        </w:rPr>
        <w:t xml:space="preserve"> </w:t>
      </w:r>
      <w:proofErr w:type="spellStart"/>
      <w:r w:rsidRPr="00971830">
        <w:rPr>
          <w:rFonts w:ascii="Arial" w:hAnsi="Arial" w:cs="Arial"/>
          <w:lang w:val="mk-MK"/>
        </w:rPr>
        <w:t>debt</w:t>
      </w:r>
      <w:proofErr w:type="spellEnd"/>
      <w:r w:rsidRPr="00971830">
        <w:rPr>
          <w:rFonts w:ascii="Arial" w:hAnsi="Arial" w:cs="Arial"/>
          <w:lang w:val="mk-MK"/>
        </w:rPr>
        <w:t xml:space="preserve"> </w:t>
      </w:r>
      <w:proofErr w:type="spellStart"/>
      <w:r w:rsidRPr="00971830">
        <w:rPr>
          <w:rFonts w:ascii="Arial" w:hAnsi="Arial" w:cs="Arial"/>
          <w:lang w:val="mk-MK"/>
        </w:rPr>
        <w:t>securities</w:t>
      </w:r>
      <w:proofErr w:type="spellEnd"/>
      <w:r w:rsidRPr="00971830">
        <w:rPr>
          <w:rFonts w:ascii="Arial" w:hAnsi="Arial" w:cs="Arial"/>
          <w:lang w:val="mk-MK"/>
        </w:rPr>
        <w:t xml:space="preserve"> </w:t>
      </w:r>
      <w:proofErr w:type="spellStart"/>
      <w:r w:rsidRPr="00971830">
        <w:rPr>
          <w:rFonts w:ascii="Arial" w:hAnsi="Arial" w:cs="Arial"/>
          <w:lang w:val="mk-MK"/>
        </w:rPr>
        <w:t>issued</w:t>
      </w:r>
      <w:proofErr w:type="spellEnd"/>
      <w:r w:rsidRPr="00971830">
        <w:rPr>
          <w:rFonts w:ascii="Arial" w:hAnsi="Arial" w:cs="Arial"/>
          <w:lang w:val="mk-MK"/>
        </w:rPr>
        <w:t xml:space="preserve"> </w:t>
      </w:r>
      <w:proofErr w:type="spellStart"/>
      <w:r w:rsidRPr="00971830">
        <w:rPr>
          <w:rFonts w:ascii="Arial" w:hAnsi="Arial" w:cs="Arial"/>
          <w:lang w:val="mk-MK"/>
        </w:rPr>
        <w:t>by</w:t>
      </w:r>
      <w:proofErr w:type="spellEnd"/>
      <w:r w:rsidRPr="00971830">
        <w:rPr>
          <w:rFonts w:ascii="Arial" w:hAnsi="Arial" w:cs="Arial"/>
          <w:lang w:val="mk-MK"/>
        </w:rPr>
        <w:t xml:space="preserve"> </w:t>
      </w:r>
      <w:proofErr w:type="spellStart"/>
      <w:r w:rsidRPr="00971830">
        <w:rPr>
          <w:rFonts w:ascii="Arial" w:hAnsi="Arial" w:cs="Arial"/>
          <w:lang w:val="mk-MK"/>
        </w:rPr>
        <w:t>the</w:t>
      </w:r>
      <w:proofErr w:type="spellEnd"/>
      <w:r w:rsidRPr="00971830">
        <w:rPr>
          <w:rFonts w:ascii="Arial" w:hAnsi="Arial" w:cs="Arial"/>
          <w:lang w:val="mk-MK"/>
        </w:rPr>
        <w:t xml:space="preserve"> </w:t>
      </w:r>
      <w:proofErr w:type="spellStart"/>
      <w:r w:rsidRPr="00971830">
        <w:rPr>
          <w:rFonts w:ascii="Arial" w:hAnsi="Arial" w:cs="Arial"/>
          <w:lang w:val="mk-MK"/>
        </w:rPr>
        <w:t>Republic</w:t>
      </w:r>
      <w:proofErr w:type="spellEnd"/>
      <w:r w:rsidRPr="00971830">
        <w:rPr>
          <w:rFonts w:ascii="Arial" w:hAnsi="Arial" w:cs="Arial"/>
          <w:lang w:val="mk-MK"/>
        </w:rPr>
        <w:t xml:space="preserve"> </w:t>
      </w:r>
      <w:proofErr w:type="spellStart"/>
      <w:r w:rsidRPr="00971830">
        <w:rPr>
          <w:rFonts w:ascii="Arial" w:hAnsi="Arial" w:cs="Arial"/>
          <w:lang w:val="mk-MK"/>
        </w:rPr>
        <w:t>of</w:t>
      </w:r>
      <w:proofErr w:type="spellEnd"/>
      <w:r w:rsidRPr="00971830">
        <w:rPr>
          <w:rFonts w:ascii="Arial" w:hAnsi="Arial" w:cs="Arial"/>
          <w:lang w:val="mk-MK"/>
        </w:rPr>
        <w:t xml:space="preserve"> </w:t>
      </w:r>
      <w:proofErr w:type="spellStart"/>
      <w:r w:rsidRPr="00971830">
        <w:rPr>
          <w:rFonts w:ascii="Arial" w:hAnsi="Arial" w:cs="Arial"/>
          <w:lang w:val="mk-MK"/>
        </w:rPr>
        <w:t>North</w:t>
      </w:r>
      <w:proofErr w:type="spellEnd"/>
      <w:r w:rsidRPr="00971830">
        <w:rPr>
          <w:rFonts w:ascii="Arial" w:hAnsi="Arial" w:cs="Arial"/>
          <w:lang w:val="mk-MK"/>
        </w:rPr>
        <w:t xml:space="preserve"> </w:t>
      </w:r>
      <w:proofErr w:type="spellStart"/>
      <w:r w:rsidRPr="00971830">
        <w:rPr>
          <w:rFonts w:ascii="Arial" w:hAnsi="Arial" w:cs="Arial"/>
          <w:lang w:val="mk-MK"/>
        </w:rPr>
        <w:t>Macedonia</w:t>
      </w:r>
      <w:proofErr w:type="spellEnd"/>
      <w:r w:rsidRPr="00971830">
        <w:rPr>
          <w:rFonts w:ascii="Arial" w:hAnsi="Arial" w:cs="Arial"/>
          <w:lang w:val="mk-MK"/>
        </w:rPr>
        <w:t xml:space="preserve"> </w:t>
      </w:r>
      <w:proofErr w:type="spellStart"/>
      <w:r w:rsidRPr="00971830">
        <w:rPr>
          <w:rFonts w:ascii="Arial" w:hAnsi="Arial" w:cs="Arial"/>
          <w:lang w:val="mk-MK"/>
        </w:rPr>
        <w:t>owned</w:t>
      </w:r>
      <w:proofErr w:type="spellEnd"/>
      <w:r w:rsidRPr="00971830">
        <w:rPr>
          <w:rFonts w:ascii="Arial" w:hAnsi="Arial" w:cs="Arial"/>
          <w:lang w:val="mk-MK"/>
        </w:rPr>
        <w:t xml:space="preserve"> </w:t>
      </w:r>
      <w:proofErr w:type="spellStart"/>
      <w:r w:rsidRPr="00971830">
        <w:rPr>
          <w:rFonts w:ascii="Arial" w:hAnsi="Arial" w:cs="Arial"/>
          <w:lang w:val="mk-MK"/>
        </w:rPr>
        <w:t>by</w:t>
      </w:r>
      <w:proofErr w:type="spellEnd"/>
      <w:r w:rsidRPr="00971830">
        <w:rPr>
          <w:rFonts w:ascii="Arial" w:hAnsi="Arial" w:cs="Arial"/>
          <w:lang w:val="mk-MK"/>
        </w:rPr>
        <w:t xml:space="preserve"> </w:t>
      </w:r>
      <w:proofErr w:type="spellStart"/>
      <w:r w:rsidRPr="00971830">
        <w:rPr>
          <w:rFonts w:ascii="Arial" w:hAnsi="Arial" w:cs="Arial"/>
          <w:lang w:val="mk-MK"/>
        </w:rPr>
        <w:t>the</w:t>
      </w:r>
      <w:proofErr w:type="spellEnd"/>
      <w:r w:rsidRPr="00971830">
        <w:rPr>
          <w:rFonts w:ascii="Arial" w:hAnsi="Arial" w:cs="Arial"/>
          <w:lang w:val="mk-MK"/>
        </w:rPr>
        <w:t xml:space="preserve"> </w:t>
      </w:r>
      <w:proofErr w:type="spellStart"/>
      <w:r w:rsidRPr="00971830">
        <w:rPr>
          <w:rFonts w:ascii="Arial" w:hAnsi="Arial" w:cs="Arial"/>
          <w:lang w:val="mk-MK"/>
        </w:rPr>
        <w:t>Fund</w:t>
      </w:r>
      <w:proofErr w:type="spellEnd"/>
      <w:r w:rsidRPr="00971830">
        <w:rPr>
          <w:rFonts w:ascii="Arial" w:hAnsi="Arial" w:cs="Arial"/>
          <w:lang w:val="mk-MK"/>
        </w:rPr>
        <w:t xml:space="preserve"> </w:t>
      </w:r>
      <w:proofErr w:type="spellStart"/>
      <w:r w:rsidRPr="00971830">
        <w:rPr>
          <w:rFonts w:ascii="Arial" w:hAnsi="Arial" w:cs="Arial"/>
          <w:lang w:val="mk-MK"/>
        </w:rPr>
        <w:t>prior</w:t>
      </w:r>
      <w:proofErr w:type="spellEnd"/>
      <w:r w:rsidRPr="00971830">
        <w:rPr>
          <w:rFonts w:ascii="Arial" w:hAnsi="Arial" w:cs="Arial"/>
          <w:lang w:val="mk-MK"/>
        </w:rPr>
        <w:t xml:space="preserve"> </w:t>
      </w:r>
      <w:proofErr w:type="spellStart"/>
      <w:r w:rsidRPr="00971830">
        <w:rPr>
          <w:rFonts w:ascii="Arial" w:hAnsi="Arial" w:cs="Arial"/>
          <w:lang w:val="mk-MK"/>
        </w:rPr>
        <w:t>to</w:t>
      </w:r>
      <w:proofErr w:type="spellEnd"/>
      <w:r w:rsidRPr="00971830">
        <w:rPr>
          <w:rFonts w:ascii="Arial" w:hAnsi="Arial" w:cs="Arial"/>
          <w:lang w:val="mk-MK"/>
        </w:rPr>
        <w:t xml:space="preserve"> </w:t>
      </w:r>
      <w:proofErr w:type="spellStart"/>
      <w:r w:rsidRPr="00971830">
        <w:rPr>
          <w:rFonts w:ascii="Arial" w:hAnsi="Arial" w:cs="Arial"/>
          <w:lang w:val="mk-MK"/>
        </w:rPr>
        <w:t>the</w:t>
      </w:r>
      <w:proofErr w:type="spellEnd"/>
      <w:r w:rsidRPr="00971830">
        <w:rPr>
          <w:rFonts w:ascii="Arial" w:hAnsi="Arial" w:cs="Arial"/>
          <w:lang w:val="mk-MK"/>
        </w:rPr>
        <w:t xml:space="preserve"> </w:t>
      </w:r>
      <w:proofErr w:type="spellStart"/>
      <w:r w:rsidRPr="00971830">
        <w:rPr>
          <w:rFonts w:ascii="Arial" w:hAnsi="Arial" w:cs="Arial"/>
          <w:lang w:val="mk-MK"/>
        </w:rPr>
        <w:t>maturity</w:t>
      </w:r>
      <w:proofErr w:type="spellEnd"/>
      <w:r w:rsidRPr="00971830">
        <w:rPr>
          <w:rFonts w:ascii="Arial" w:hAnsi="Arial" w:cs="Arial"/>
          <w:lang w:val="mk-MK"/>
        </w:rPr>
        <w:t xml:space="preserve"> </w:t>
      </w:r>
      <w:proofErr w:type="spellStart"/>
      <w:r w:rsidRPr="00971830">
        <w:rPr>
          <w:rFonts w:ascii="Arial" w:hAnsi="Arial" w:cs="Arial"/>
          <w:lang w:val="mk-MK"/>
        </w:rPr>
        <w:t>date</w:t>
      </w:r>
      <w:proofErr w:type="spellEnd"/>
      <w:r w:rsidRPr="00971830">
        <w:rPr>
          <w:rFonts w:ascii="Arial" w:hAnsi="Arial" w:cs="Arial"/>
          <w:lang w:val="mk-MK"/>
        </w:rPr>
        <w:t xml:space="preserve">. </w:t>
      </w:r>
      <w:proofErr w:type="spellStart"/>
      <w:r w:rsidRPr="00971830">
        <w:rPr>
          <w:rFonts w:ascii="Arial" w:hAnsi="Arial" w:cs="Arial"/>
          <w:lang w:val="mk-MK"/>
        </w:rPr>
        <w:t>The</w:t>
      </w:r>
      <w:proofErr w:type="spellEnd"/>
      <w:r w:rsidRPr="00971830">
        <w:rPr>
          <w:rFonts w:ascii="Arial" w:hAnsi="Arial" w:cs="Arial"/>
          <w:lang w:val="mk-MK"/>
        </w:rPr>
        <w:t xml:space="preserve"> </w:t>
      </w:r>
      <w:proofErr w:type="spellStart"/>
      <w:r w:rsidRPr="00971830">
        <w:rPr>
          <w:rFonts w:ascii="Arial" w:hAnsi="Arial" w:cs="Arial"/>
          <w:lang w:val="mk-MK"/>
        </w:rPr>
        <w:t>redemption</w:t>
      </w:r>
      <w:proofErr w:type="spellEnd"/>
      <w:r w:rsidRPr="00971830">
        <w:rPr>
          <w:rFonts w:ascii="Arial" w:hAnsi="Arial" w:cs="Arial"/>
          <w:lang w:val="mk-MK"/>
        </w:rPr>
        <w:t xml:space="preserve"> </w:t>
      </w:r>
      <w:proofErr w:type="spellStart"/>
      <w:r w:rsidRPr="00971830">
        <w:rPr>
          <w:rFonts w:ascii="Arial" w:hAnsi="Arial" w:cs="Arial"/>
          <w:lang w:val="mk-MK"/>
        </w:rPr>
        <w:t>will</w:t>
      </w:r>
      <w:proofErr w:type="spellEnd"/>
      <w:r w:rsidRPr="00971830">
        <w:rPr>
          <w:rFonts w:ascii="Arial" w:hAnsi="Arial" w:cs="Arial"/>
          <w:lang w:val="mk-MK"/>
        </w:rPr>
        <w:t xml:space="preserve"> </w:t>
      </w:r>
      <w:proofErr w:type="spellStart"/>
      <w:r w:rsidRPr="00971830">
        <w:rPr>
          <w:rFonts w:ascii="Arial" w:hAnsi="Arial" w:cs="Arial"/>
          <w:lang w:val="mk-MK"/>
        </w:rPr>
        <w:t>be</w:t>
      </w:r>
      <w:proofErr w:type="spellEnd"/>
      <w:r w:rsidRPr="00971830">
        <w:rPr>
          <w:rFonts w:ascii="Arial" w:hAnsi="Arial" w:cs="Arial"/>
          <w:lang w:val="mk-MK"/>
        </w:rPr>
        <w:t xml:space="preserve"> </w:t>
      </w:r>
      <w:proofErr w:type="spellStart"/>
      <w:r w:rsidRPr="00971830">
        <w:rPr>
          <w:rFonts w:ascii="Arial" w:hAnsi="Arial" w:cs="Arial"/>
          <w:lang w:val="mk-MK"/>
        </w:rPr>
        <w:t>performed</w:t>
      </w:r>
      <w:proofErr w:type="spellEnd"/>
      <w:r w:rsidRPr="00971830">
        <w:rPr>
          <w:rFonts w:ascii="Arial" w:hAnsi="Arial" w:cs="Arial"/>
          <w:lang w:val="mk-MK"/>
        </w:rPr>
        <w:t xml:space="preserve"> </w:t>
      </w:r>
      <w:proofErr w:type="spellStart"/>
      <w:r w:rsidRPr="00971830">
        <w:rPr>
          <w:rFonts w:ascii="Arial" w:hAnsi="Arial" w:cs="Arial"/>
          <w:lang w:val="mk-MK"/>
        </w:rPr>
        <w:t>without</w:t>
      </w:r>
      <w:proofErr w:type="spellEnd"/>
      <w:r w:rsidRPr="00971830">
        <w:rPr>
          <w:rFonts w:ascii="Arial" w:hAnsi="Arial" w:cs="Arial"/>
          <w:lang w:val="mk-MK"/>
        </w:rPr>
        <w:t xml:space="preserve"> а </w:t>
      </w:r>
      <w:proofErr w:type="spellStart"/>
      <w:r w:rsidRPr="00971830">
        <w:rPr>
          <w:rFonts w:ascii="Arial" w:hAnsi="Arial" w:cs="Arial"/>
          <w:lang w:val="mk-MK"/>
        </w:rPr>
        <w:t>public</w:t>
      </w:r>
      <w:proofErr w:type="spellEnd"/>
      <w:r w:rsidRPr="00971830">
        <w:rPr>
          <w:rFonts w:ascii="Arial" w:hAnsi="Arial" w:cs="Arial"/>
          <w:lang w:val="mk-MK"/>
        </w:rPr>
        <w:t xml:space="preserve"> </w:t>
      </w:r>
      <w:proofErr w:type="spellStart"/>
      <w:r w:rsidRPr="00971830">
        <w:rPr>
          <w:rFonts w:ascii="Arial" w:hAnsi="Arial" w:cs="Arial"/>
          <w:lang w:val="mk-MK"/>
        </w:rPr>
        <w:t>announcement</w:t>
      </w:r>
      <w:proofErr w:type="spellEnd"/>
      <w:r w:rsidRPr="00CE3053">
        <w:rPr>
          <w:rFonts w:ascii="Arial" w:hAnsi="Arial" w:cs="Arial"/>
          <w:lang w:val="mk-MK"/>
        </w:rPr>
        <w:t>.</w:t>
      </w:r>
    </w:p>
    <w:p w14:paraId="7B5F7D75" w14:textId="5A08B863" w:rsidR="00126FCB" w:rsidRPr="00CE3053" w:rsidRDefault="00126FCB" w:rsidP="00815E65">
      <w:pPr>
        <w:pStyle w:val="BodyText"/>
        <w:jc w:val="both"/>
        <w:rPr>
          <w:rFonts w:ascii="Arial" w:hAnsi="Arial" w:cs="Arial"/>
          <w:lang w:val="mk-MK"/>
        </w:rPr>
        <w:sectPr w:rsidR="00126FCB" w:rsidRPr="00CE3053" w:rsidSect="00815E65">
          <w:headerReference w:type="even" r:id="rId21"/>
          <w:headerReference w:type="default" r:id="rId22"/>
          <w:footerReference w:type="default" r:id="rId23"/>
          <w:headerReference w:type="first" r:id="rId24"/>
          <w:pgSz w:w="11906" w:h="16838" w:code="9"/>
          <w:pgMar w:top="1620" w:right="737" w:bottom="1134" w:left="2608" w:header="709" w:footer="567" w:gutter="0"/>
          <w:cols w:space="708"/>
          <w:docGrid w:linePitch="360"/>
        </w:sectPr>
      </w:pPr>
    </w:p>
    <w:p w14:paraId="1F04AF3E" w14:textId="777BA7D8" w:rsidR="00815E65" w:rsidRPr="00CE3053" w:rsidRDefault="00A90A23" w:rsidP="00815E65">
      <w:pPr>
        <w:jc w:val="both"/>
        <w:rPr>
          <w:rFonts w:ascii="Arial" w:hAnsi="Arial" w:cs="Arial"/>
          <w:b/>
          <w:bCs/>
          <w:color w:val="747678"/>
          <w:lang w:val="mk-MK"/>
        </w:rPr>
      </w:pPr>
      <w:r>
        <w:rPr>
          <w:rFonts w:ascii="Arial" w:hAnsi="Arial" w:cs="Arial"/>
          <w:b/>
          <w:bCs/>
          <w:color w:val="747678"/>
        </w:rPr>
        <w:lastRenderedPageBreak/>
        <w:t>General</w:t>
      </w:r>
      <w:r w:rsidR="00815E65" w:rsidRPr="00CE3053">
        <w:rPr>
          <w:rFonts w:ascii="Arial" w:hAnsi="Arial" w:cs="Arial"/>
          <w:b/>
          <w:bCs/>
          <w:color w:val="747678"/>
          <w:lang w:val="mk-MK"/>
        </w:rPr>
        <w:t xml:space="preserve"> (</w:t>
      </w:r>
      <w:r w:rsidR="00971830">
        <w:rPr>
          <w:rFonts w:ascii="Arial" w:hAnsi="Arial" w:cs="Arial"/>
          <w:b/>
          <w:bCs/>
          <w:color w:val="747678"/>
        </w:rPr>
        <w:t>cont</w:t>
      </w:r>
      <w:r w:rsidR="007B63BB">
        <w:rPr>
          <w:rFonts w:ascii="Arial" w:hAnsi="Arial" w:cs="Arial"/>
          <w:b/>
          <w:bCs/>
          <w:color w:val="747678"/>
        </w:rPr>
        <w:t>inu</w:t>
      </w:r>
      <w:r w:rsidR="00971830">
        <w:rPr>
          <w:rFonts w:ascii="Arial" w:hAnsi="Arial" w:cs="Arial"/>
          <w:b/>
          <w:bCs/>
          <w:color w:val="747678"/>
        </w:rPr>
        <w:t>ed</w:t>
      </w:r>
      <w:r w:rsidR="00815E65" w:rsidRPr="00CE3053">
        <w:rPr>
          <w:rFonts w:ascii="Arial" w:hAnsi="Arial" w:cs="Arial"/>
          <w:b/>
          <w:bCs/>
          <w:color w:val="747678"/>
          <w:lang w:val="mk-MK"/>
        </w:rPr>
        <w:t>)</w:t>
      </w:r>
    </w:p>
    <w:p w14:paraId="1975BDF4" w14:textId="34DE9251" w:rsidR="00815E65" w:rsidRPr="00CE3053" w:rsidRDefault="00CB724B" w:rsidP="00815E65">
      <w:pPr>
        <w:pStyle w:val="BodyText"/>
        <w:jc w:val="both"/>
        <w:rPr>
          <w:rFonts w:ascii="Arial" w:hAnsi="Arial" w:cs="Arial"/>
          <w:lang w:val="mk-MK"/>
        </w:rPr>
      </w:pPr>
      <w:proofErr w:type="spellStart"/>
      <w:r w:rsidRPr="00CB724B">
        <w:rPr>
          <w:rFonts w:ascii="Arial" w:hAnsi="Arial" w:cs="Arial"/>
          <w:lang w:val="mk-MK"/>
        </w:rPr>
        <w:t>Following</w:t>
      </w:r>
      <w:proofErr w:type="spellEnd"/>
      <w:r w:rsidRPr="00CB724B">
        <w:rPr>
          <w:rFonts w:ascii="Arial" w:hAnsi="Arial" w:cs="Arial"/>
          <w:lang w:val="mk-MK"/>
        </w:rPr>
        <w:t xml:space="preserve"> </w:t>
      </w:r>
      <w:proofErr w:type="spellStart"/>
      <w:r w:rsidRPr="00CB724B">
        <w:rPr>
          <w:rFonts w:ascii="Arial" w:hAnsi="Arial" w:cs="Arial"/>
          <w:lang w:val="mk-MK"/>
        </w:rPr>
        <w:t>individuals</w:t>
      </w:r>
      <w:proofErr w:type="spellEnd"/>
      <w:r w:rsidRPr="00CB724B">
        <w:rPr>
          <w:rFonts w:ascii="Arial" w:hAnsi="Arial" w:cs="Arial"/>
          <w:lang w:val="mk-MK"/>
        </w:rPr>
        <w:t xml:space="preserve">’ </w:t>
      </w:r>
      <w:proofErr w:type="spellStart"/>
      <w:r w:rsidRPr="00CB724B">
        <w:rPr>
          <w:rFonts w:ascii="Arial" w:hAnsi="Arial" w:cs="Arial"/>
          <w:lang w:val="mk-MK"/>
        </w:rPr>
        <w:t>deposits</w:t>
      </w:r>
      <w:proofErr w:type="spellEnd"/>
      <w:r w:rsidRPr="00CB724B">
        <w:rPr>
          <w:rFonts w:ascii="Arial" w:hAnsi="Arial" w:cs="Arial"/>
          <w:lang w:val="mk-MK"/>
        </w:rPr>
        <w:t xml:space="preserve"> </w:t>
      </w:r>
      <w:proofErr w:type="spellStart"/>
      <w:r w:rsidRPr="00CB724B">
        <w:rPr>
          <w:rFonts w:ascii="Arial" w:hAnsi="Arial" w:cs="Arial"/>
          <w:lang w:val="mk-MK"/>
        </w:rPr>
        <w:t>are</w:t>
      </w:r>
      <w:proofErr w:type="spellEnd"/>
      <w:r w:rsidRPr="00CB724B">
        <w:rPr>
          <w:rFonts w:ascii="Arial" w:hAnsi="Arial" w:cs="Arial"/>
          <w:lang w:val="mk-MK"/>
        </w:rPr>
        <w:t xml:space="preserve"> </w:t>
      </w:r>
      <w:proofErr w:type="spellStart"/>
      <w:r w:rsidRPr="00CB724B">
        <w:rPr>
          <w:rFonts w:ascii="Arial" w:hAnsi="Arial" w:cs="Arial"/>
          <w:lang w:val="mk-MK"/>
        </w:rPr>
        <w:t>not</w:t>
      </w:r>
      <w:proofErr w:type="spellEnd"/>
      <w:r w:rsidRPr="00CB724B">
        <w:rPr>
          <w:rFonts w:ascii="Arial" w:hAnsi="Arial" w:cs="Arial"/>
          <w:lang w:val="mk-MK"/>
        </w:rPr>
        <w:t xml:space="preserve"> </w:t>
      </w:r>
      <w:proofErr w:type="spellStart"/>
      <w:r w:rsidRPr="00CB724B">
        <w:rPr>
          <w:rFonts w:ascii="Arial" w:hAnsi="Arial" w:cs="Arial"/>
          <w:lang w:val="mk-MK"/>
        </w:rPr>
        <w:t>insured</w:t>
      </w:r>
      <w:proofErr w:type="spellEnd"/>
      <w:r w:rsidRPr="00CB724B">
        <w:rPr>
          <w:rFonts w:ascii="Arial" w:hAnsi="Arial" w:cs="Arial"/>
          <w:lang w:val="mk-MK"/>
        </w:rPr>
        <w:t xml:space="preserve"> </w:t>
      </w:r>
      <w:proofErr w:type="spellStart"/>
      <w:r w:rsidRPr="00CB724B">
        <w:rPr>
          <w:rFonts w:ascii="Arial" w:hAnsi="Arial" w:cs="Arial"/>
          <w:lang w:val="mk-MK"/>
        </w:rPr>
        <w:t>by</w:t>
      </w:r>
      <w:proofErr w:type="spellEnd"/>
      <w:r w:rsidRPr="00CB724B">
        <w:rPr>
          <w:rFonts w:ascii="Arial" w:hAnsi="Arial" w:cs="Arial"/>
          <w:lang w:val="mk-MK"/>
        </w:rPr>
        <w:t xml:space="preserve"> </w:t>
      </w:r>
      <w:proofErr w:type="spellStart"/>
      <w:r w:rsidRPr="00CB724B">
        <w:rPr>
          <w:rFonts w:ascii="Arial" w:hAnsi="Arial" w:cs="Arial"/>
          <w:lang w:val="mk-MK"/>
        </w:rPr>
        <w:t>the</w:t>
      </w:r>
      <w:proofErr w:type="spellEnd"/>
      <w:r w:rsidRPr="00CB724B">
        <w:rPr>
          <w:rFonts w:ascii="Arial" w:hAnsi="Arial" w:cs="Arial"/>
          <w:lang w:val="mk-MK"/>
        </w:rPr>
        <w:t xml:space="preserve"> </w:t>
      </w:r>
      <w:proofErr w:type="spellStart"/>
      <w:r w:rsidRPr="00CB724B">
        <w:rPr>
          <w:rFonts w:ascii="Arial" w:hAnsi="Arial" w:cs="Arial"/>
          <w:lang w:val="mk-MK"/>
        </w:rPr>
        <w:t>Fund</w:t>
      </w:r>
      <w:proofErr w:type="spellEnd"/>
      <w:r w:rsidR="00815E65" w:rsidRPr="00CE3053">
        <w:rPr>
          <w:rFonts w:ascii="Arial" w:hAnsi="Arial" w:cs="Arial"/>
          <w:lang w:val="mk-MK"/>
        </w:rPr>
        <w:t>:</w:t>
      </w:r>
    </w:p>
    <w:p w14:paraId="55050C36" w14:textId="4B1925CA" w:rsidR="00815E65" w:rsidRPr="00CE3053" w:rsidRDefault="00905700" w:rsidP="0061511C">
      <w:pPr>
        <w:pStyle w:val="ListBullet2"/>
        <w:numPr>
          <w:ilvl w:val="1"/>
          <w:numId w:val="20"/>
        </w:numPr>
        <w:spacing w:after="20" w:line="280" w:lineRule="atLeast"/>
        <w:jc w:val="both"/>
        <w:rPr>
          <w:rFonts w:ascii="Arial" w:hAnsi="Arial" w:cs="Arial"/>
          <w:lang w:val="mk-MK"/>
        </w:rPr>
      </w:pPr>
      <w:r>
        <w:rPr>
          <w:rFonts w:ascii="Arial" w:hAnsi="Arial" w:cs="Arial"/>
          <w:lang w:val="en-US"/>
        </w:rPr>
        <w:t>d</w:t>
      </w:r>
      <w:proofErr w:type="spellStart"/>
      <w:r w:rsidRPr="00905700">
        <w:rPr>
          <w:rFonts w:ascii="Arial" w:hAnsi="Arial" w:cs="Arial"/>
          <w:lang w:val="mk-MK"/>
        </w:rPr>
        <w:t>eposits</w:t>
      </w:r>
      <w:proofErr w:type="spellEnd"/>
      <w:r w:rsidRPr="00905700">
        <w:rPr>
          <w:rFonts w:ascii="Arial" w:hAnsi="Arial" w:cs="Arial"/>
          <w:lang w:val="mk-MK"/>
        </w:rPr>
        <w:t xml:space="preserve"> </w:t>
      </w:r>
      <w:proofErr w:type="spellStart"/>
      <w:r w:rsidRPr="00905700">
        <w:rPr>
          <w:rFonts w:ascii="Arial" w:hAnsi="Arial" w:cs="Arial"/>
          <w:lang w:val="mk-MK"/>
        </w:rPr>
        <w:t>extended</w:t>
      </w:r>
      <w:proofErr w:type="spellEnd"/>
      <w:r w:rsidRPr="00905700">
        <w:rPr>
          <w:rFonts w:ascii="Arial" w:hAnsi="Arial" w:cs="Arial"/>
          <w:lang w:val="mk-MK"/>
        </w:rPr>
        <w:t xml:space="preserve"> </w:t>
      </w:r>
      <w:proofErr w:type="spellStart"/>
      <w:r w:rsidRPr="00905700">
        <w:rPr>
          <w:rFonts w:ascii="Arial" w:hAnsi="Arial" w:cs="Arial"/>
          <w:lang w:val="mk-MK"/>
        </w:rPr>
        <w:t>under</w:t>
      </w:r>
      <w:proofErr w:type="spellEnd"/>
      <w:r w:rsidRPr="00905700">
        <w:rPr>
          <w:rFonts w:ascii="Arial" w:hAnsi="Arial" w:cs="Arial"/>
          <w:lang w:val="mk-MK"/>
        </w:rPr>
        <w:t xml:space="preserve"> </w:t>
      </w:r>
      <w:proofErr w:type="spellStart"/>
      <w:r w:rsidRPr="00905700">
        <w:rPr>
          <w:rFonts w:ascii="Arial" w:hAnsi="Arial" w:cs="Arial"/>
          <w:lang w:val="mk-MK"/>
        </w:rPr>
        <w:t>privileged</w:t>
      </w:r>
      <w:proofErr w:type="spellEnd"/>
      <w:r w:rsidRPr="00905700">
        <w:rPr>
          <w:rFonts w:ascii="Arial" w:hAnsi="Arial" w:cs="Arial"/>
          <w:lang w:val="mk-MK"/>
        </w:rPr>
        <w:t xml:space="preserve"> </w:t>
      </w:r>
      <w:proofErr w:type="spellStart"/>
      <w:r w:rsidRPr="00905700">
        <w:rPr>
          <w:rFonts w:ascii="Arial" w:hAnsi="Arial" w:cs="Arial"/>
          <w:lang w:val="mk-MK"/>
        </w:rPr>
        <w:t>interest</w:t>
      </w:r>
      <w:proofErr w:type="spellEnd"/>
      <w:r w:rsidRPr="00905700">
        <w:rPr>
          <w:rFonts w:ascii="Arial" w:hAnsi="Arial" w:cs="Arial"/>
          <w:lang w:val="mk-MK"/>
        </w:rPr>
        <w:t xml:space="preserve"> </w:t>
      </w:r>
      <w:proofErr w:type="spellStart"/>
      <w:r w:rsidRPr="00905700">
        <w:rPr>
          <w:rFonts w:ascii="Arial" w:hAnsi="Arial" w:cs="Arial"/>
          <w:lang w:val="mk-MK"/>
        </w:rPr>
        <w:t>terms</w:t>
      </w:r>
      <w:proofErr w:type="spellEnd"/>
      <w:r w:rsidRPr="00905700">
        <w:rPr>
          <w:rFonts w:ascii="Arial" w:hAnsi="Arial" w:cs="Arial"/>
          <w:lang w:val="mk-MK"/>
        </w:rPr>
        <w:t xml:space="preserve">, </w:t>
      </w:r>
      <w:proofErr w:type="spellStart"/>
      <w:r w:rsidRPr="00905700">
        <w:rPr>
          <w:rFonts w:ascii="Arial" w:hAnsi="Arial" w:cs="Arial"/>
          <w:lang w:val="mk-MK"/>
        </w:rPr>
        <w:t>other</w:t>
      </w:r>
      <w:proofErr w:type="spellEnd"/>
      <w:r w:rsidRPr="00905700">
        <w:rPr>
          <w:rFonts w:ascii="Arial" w:hAnsi="Arial" w:cs="Arial"/>
          <w:lang w:val="mk-MK"/>
        </w:rPr>
        <w:t xml:space="preserve"> </w:t>
      </w:r>
      <w:proofErr w:type="spellStart"/>
      <w:r w:rsidRPr="00905700">
        <w:rPr>
          <w:rFonts w:ascii="Arial" w:hAnsi="Arial" w:cs="Arial"/>
          <w:lang w:val="mk-MK"/>
        </w:rPr>
        <w:t>than</w:t>
      </w:r>
      <w:proofErr w:type="spellEnd"/>
      <w:r w:rsidRPr="00905700">
        <w:rPr>
          <w:rFonts w:ascii="Arial" w:hAnsi="Arial" w:cs="Arial"/>
          <w:lang w:val="mk-MK"/>
        </w:rPr>
        <w:t xml:space="preserve"> </w:t>
      </w:r>
      <w:proofErr w:type="spellStart"/>
      <w:r w:rsidRPr="00905700">
        <w:rPr>
          <w:rFonts w:ascii="Arial" w:hAnsi="Arial" w:cs="Arial"/>
          <w:lang w:val="mk-MK"/>
        </w:rPr>
        <w:t>the</w:t>
      </w:r>
      <w:proofErr w:type="spellEnd"/>
      <w:r w:rsidRPr="00905700">
        <w:rPr>
          <w:rFonts w:ascii="Arial" w:hAnsi="Arial" w:cs="Arial"/>
          <w:lang w:val="mk-MK"/>
        </w:rPr>
        <w:t xml:space="preserve"> </w:t>
      </w:r>
      <w:proofErr w:type="spellStart"/>
      <w:r w:rsidRPr="00905700">
        <w:rPr>
          <w:rFonts w:ascii="Arial" w:hAnsi="Arial" w:cs="Arial"/>
          <w:lang w:val="mk-MK"/>
        </w:rPr>
        <w:t>ones</w:t>
      </w:r>
      <w:proofErr w:type="spellEnd"/>
      <w:r w:rsidRPr="00905700">
        <w:rPr>
          <w:rFonts w:ascii="Arial" w:hAnsi="Arial" w:cs="Arial"/>
          <w:lang w:val="mk-MK"/>
        </w:rPr>
        <w:t xml:space="preserve"> </w:t>
      </w:r>
      <w:proofErr w:type="spellStart"/>
      <w:r w:rsidRPr="00905700">
        <w:rPr>
          <w:rFonts w:ascii="Arial" w:hAnsi="Arial" w:cs="Arial"/>
          <w:lang w:val="mk-MK"/>
        </w:rPr>
        <w:t>published</w:t>
      </w:r>
      <w:proofErr w:type="spellEnd"/>
      <w:r w:rsidRPr="00905700">
        <w:rPr>
          <w:rFonts w:ascii="Arial" w:hAnsi="Arial" w:cs="Arial"/>
          <w:lang w:val="mk-MK"/>
        </w:rPr>
        <w:t xml:space="preserve"> </w:t>
      </w:r>
      <w:proofErr w:type="spellStart"/>
      <w:r w:rsidRPr="00905700">
        <w:rPr>
          <w:rFonts w:ascii="Arial" w:hAnsi="Arial" w:cs="Arial"/>
          <w:lang w:val="mk-MK"/>
        </w:rPr>
        <w:t>by</w:t>
      </w:r>
      <w:proofErr w:type="spellEnd"/>
      <w:r w:rsidRPr="00905700">
        <w:rPr>
          <w:rFonts w:ascii="Arial" w:hAnsi="Arial" w:cs="Arial"/>
          <w:lang w:val="mk-MK"/>
        </w:rPr>
        <w:t xml:space="preserve"> </w:t>
      </w:r>
      <w:proofErr w:type="spellStart"/>
      <w:r w:rsidRPr="00905700">
        <w:rPr>
          <w:rFonts w:ascii="Arial" w:hAnsi="Arial" w:cs="Arial"/>
          <w:lang w:val="mk-MK"/>
        </w:rPr>
        <w:t>the</w:t>
      </w:r>
      <w:proofErr w:type="spellEnd"/>
      <w:r w:rsidRPr="00905700">
        <w:rPr>
          <w:rFonts w:ascii="Arial" w:hAnsi="Arial" w:cs="Arial"/>
          <w:lang w:val="mk-MK"/>
        </w:rPr>
        <w:t xml:space="preserve"> </w:t>
      </w:r>
      <w:proofErr w:type="spellStart"/>
      <w:r w:rsidRPr="00905700">
        <w:rPr>
          <w:rFonts w:ascii="Arial" w:hAnsi="Arial" w:cs="Arial"/>
          <w:lang w:val="mk-MK"/>
        </w:rPr>
        <w:t>bank</w:t>
      </w:r>
      <w:proofErr w:type="spellEnd"/>
      <w:r w:rsidRPr="00905700">
        <w:rPr>
          <w:rFonts w:ascii="Arial" w:hAnsi="Arial" w:cs="Arial"/>
          <w:lang w:val="mk-MK"/>
        </w:rPr>
        <w:t xml:space="preserve">, </w:t>
      </w:r>
      <w:proofErr w:type="spellStart"/>
      <w:r w:rsidRPr="00905700">
        <w:rPr>
          <w:rFonts w:ascii="Arial" w:hAnsi="Arial" w:cs="Arial"/>
          <w:lang w:val="mk-MK"/>
        </w:rPr>
        <w:t>foreign</w:t>
      </w:r>
      <w:proofErr w:type="spellEnd"/>
      <w:r w:rsidRPr="00905700">
        <w:rPr>
          <w:rFonts w:ascii="Arial" w:hAnsi="Arial" w:cs="Arial"/>
          <w:lang w:val="mk-MK"/>
        </w:rPr>
        <w:t xml:space="preserve"> </w:t>
      </w:r>
      <w:proofErr w:type="spellStart"/>
      <w:r w:rsidRPr="00905700">
        <w:rPr>
          <w:rFonts w:ascii="Arial" w:hAnsi="Arial" w:cs="Arial"/>
          <w:lang w:val="mk-MK"/>
        </w:rPr>
        <w:t>bank</w:t>
      </w:r>
      <w:proofErr w:type="spellEnd"/>
      <w:r w:rsidRPr="00905700">
        <w:rPr>
          <w:rFonts w:ascii="Arial" w:hAnsi="Arial" w:cs="Arial"/>
          <w:lang w:val="mk-MK"/>
        </w:rPr>
        <w:t xml:space="preserve"> </w:t>
      </w:r>
      <w:proofErr w:type="spellStart"/>
      <w:r w:rsidRPr="00905700">
        <w:rPr>
          <w:rFonts w:ascii="Arial" w:hAnsi="Arial" w:cs="Arial"/>
          <w:lang w:val="mk-MK"/>
        </w:rPr>
        <w:t>branch</w:t>
      </w:r>
      <w:proofErr w:type="spellEnd"/>
      <w:r w:rsidRPr="00905700">
        <w:rPr>
          <w:rFonts w:ascii="Arial" w:hAnsi="Arial" w:cs="Arial"/>
          <w:lang w:val="mk-MK"/>
        </w:rPr>
        <w:t xml:space="preserve"> </w:t>
      </w:r>
      <w:proofErr w:type="spellStart"/>
      <w:r w:rsidRPr="00905700">
        <w:rPr>
          <w:rFonts w:ascii="Arial" w:hAnsi="Arial" w:cs="Arial"/>
          <w:lang w:val="mk-MK"/>
        </w:rPr>
        <w:t>or</w:t>
      </w:r>
      <w:proofErr w:type="spellEnd"/>
      <w:r w:rsidRPr="00905700">
        <w:rPr>
          <w:rFonts w:ascii="Arial" w:hAnsi="Arial" w:cs="Arial"/>
          <w:lang w:val="mk-MK"/>
        </w:rPr>
        <w:t xml:space="preserve"> </w:t>
      </w:r>
      <w:proofErr w:type="spellStart"/>
      <w:r w:rsidRPr="00905700">
        <w:rPr>
          <w:rFonts w:ascii="Arial" w:hAnsi="Arial" w:cs="Arial"/>
          <w:lang w:val="mk-MK"/>
        </w:rPr>
        <w:t>savings</w:t>
      </w:r>
      <w:proofErr w:type="spellEnd"/>
      <w:r w:rsidRPr="00905700">
        <w:rPr>
          <w:rFonts w:ascii="Arial" w:hAnsi="Arial" w:cs="Arial"/>
          <w:lang w:val="mk-MK"/>
        </w:rPr>
        <w:t xml:space="preserve"> </w:t>
      </w:r>
      <w:proofErr w:type="spellStart"/>
      <w:r w:rsidRPr="00905700">
        <w:rPr>
          <w:rFonts w:ascii="Arial" w:hAnsi="Arial" w:cs="Arial"/>
          <w:lang w:val="mk-MK"/>
        </w:rPr>
        <w:t>house</w:t>
      </w:r>
      <w:proofErr w:type="spellEnd"/>
      <w:r w:rsidR="00815E65" w:rsidRPr="00CE3053">
        <w:rPr>
          <w:rFonts w:ascii="Arial" w:hAnsi="Arial" w:cs="Arial"/>
          <w:lang w:val="mk-MK"/>
        </w:rPr>
        <w:t>;</w:t>
      </w:r>
    </w:p>
    <w:p w14:paraId="3DB253E7" w14:textId="39FFBB4E" w:rsidR="00815E65" w:rsidRPr="00CE3053" w:rsidRDefault="00905700" w:rsidP="0061511C">
      <w:pPr>
        <w:pStyle w:val="ListBullet2"/>
        <w:numPr>
          <w:ilvl w:val="1"/>
          <w:numId w:val="20"/>
        </w:numPr>
        <w:spacing w:after="20" w:line="280" w:lineRule="atLeast"/>
        <w:jc w:val="both"/>
        <w:rPr>
          <w:rFonts w:ascii="Arial" w:hAnsi="Arial" w:cs="Arial"/>
          <w:lang w:val="mk-MK"/>
        </w:rPr>
      </w:pPr>
      <w:r>
        <w:rPr>
          <w:rFonts w:ascii="Arial" w:hAnsi="Arial" w:cs="Arial"/>
          <w:lang w:val="en-US"/>
        </w:rPr>
        <w:t>d</w:t>
      </w:r>
      <w:proofErr w:type="spellStart"/>
      <w:r w:rsidRPr="00905700">
        <w:rPr>
          <w:rFonts w:ascii="Arial" w:hAnsi="Arial" w:cs="Arial"/>
          <w:lang w:val="mk-MK"/>
        </w:rPr>
        <w:t>eposits</w:t>
      </w:r>
      <w:proofErr w:type="spellEnd"/>
      <w:r w:rsidRPr="00905700">
        <w:rPr>
          <w:rFonts w:ascii="Arial" w:hAnsi="Arial" w:cs="Arial"/>
          <w:lang w:val="mk-MK"/>
        </w:rPr>
        <w:t xml:space="preserve"> </w:t>
      </w:r>
      <w:proofErr w:type="spellStart"/>
      <w:r w:rsidRPr="00905700">
        <w:rPr>
          <w:rFonts w:ascii="Arial" w:hAnsi="Arial" w:cs="Arial"/>
          <w:lang w:val="mk-MK"/>
        </w:rPr>
        <w:t>of</w:t>
      </w:r>
      <w:proofErr w:type="spellEnd"/>
      <w:r w:rsidRPr="00905700">
        <w:rPr>
          <w:rFonts w:ascii="Arial" w:hAnsi="Arial" w:cs="Arial"/>
          <w:lang w:val="mk-MK"/>
        </w:rPr>
        <w:t xml:space="preserve"> </w:t>
      </w:r>
      <w:proofErr w:type="spellStart"/>
      <w:r w:rsidRPr="00905700">
        <w:rPr>
          <w:rFonts w:ascii="Arial" w:hAnsi="Arial" w:cs="Arial"/>
          <w:lang w:val="mk-MK"/>
        </w:rPr>
        <w:t>the</w:t>
      </w:r>
      <w:proofErr w:type="spellEnd"/>
      <w:r w:rsidRPr="00905700">
        <w:rPr>
          <w:rFonts w:ascii="Arial" w:hAnsi="Arial" w:cs="Arial"/>
          <w:lang w:val="mk-MK"/>
        </w:rPr>
        <w:t xml:space="preserve"> </w:t>
      </w:r>
      <w:proofErr w:type="spellStart"/>
      <w:r w:rsidRPr="00905700">
        <w:rPr>
          <w:rFonts w:ascii="Arial" w:hAnsi="Arial" w:cs="Arial"/>
          <w:lang w:val="mk-MK"/>
        </w:rPr>
        <w:t>owners</w:t>
      </w:r>
      <w:proofErr w:type="spellEnd"/>
      <w:r w:rsidRPr="00905700">
        <w:rPr>
          <w:rFonts w:ascii="Arial" w:hAnsi="Arial" w:cs="Arial"/>
          <w:lang w:val="mk-MK"/>
        </w:rPr>
        <w:t xml:space="preserve"> </w:t>
      </w:r>
      <w:proofErr w:type="spellStart"/>
      <w:r w:rsidRPr="00905700">
        <w:rPr>
          <w:rFonts w:ascii="Arial" w:hAnsi="Arial" w:cs="Arial"/>
          <w:lang w:val="mk-MK"/>
        </w:rPr>
        <w:t>of</w:t>
      </w:r>
      <w:proofErr w:type="spellEnd"/>
      <w:r w:rsidRPr="00905700">
        <w:rPr>
          <w:rFonts w:ascii="Arial" w:hAnsi="Arial" w:cs="Arial"/>
          <w:lang w:val="mk-MK"/>
        </w:rPr>
        <w:t xml:space="preserve"> </w:t>
      </w:r>
      <w:proofErr w:type="spellStart"/>
      <w:r w:rsidRPr="00905700">
        <w:rPr>
          <w:rFonts w:ascii="Arial" w:hAnsi="Arial" w:cs="Arial"/>
          <w:lang w:val="mk-MK"/>
        </w:rPr>
        <w:t>over</w:t>
      </w:r>
      <w:proofErr w:type="spellEnd"/>
      <w:r w:rsidRPr="00905700">
        <w:rPr>
          <w:rFonts w:ascii="Arial" w:hAnsi="Arial" w:cs="Arial"/>
          <w:lang w:val="mk-MK"/>
        </w:rPr>
        <w:t xml:space="preserve"> 5% </w:t>
      </w:r>
      <w:proofErr w:type="spellStart"/>
      <w:r w:rsidRPr="00905700">
        <w:rPr>
          <w:rFonts w:ascii="Arial" w:hAnsi="Arial" w:cs="Arial"/>
          <w:lang w:val="mk-MK"/>
        </w:rPr>
        <w:t>of</w:t>
      </w:r>
      <w:proofErr w:type="spellEnd"/>
      <w:r w:rsidRPr="00905700">
        <w:rPr>
          <w:rFonts w:ascii="Arial" w:hAnsi="Arial" w:cs="Arial"/>
          <w:lang w:val="mk-MK"/>
        </w:rPr>
        <w:t xml:space="preserve"> </w:t>
      </w:r>
      <w:proofErr w:type="spellStart"/>
      <w:r w:rsidRPr="00905700">
        <w:rPr>
          <w:rFonts w:ascii="Arial" w:hAnsi="Arial" w:cs="Arial"/>
          <w:lang w:val="mk-MK"/>
        </w:rPr>
        <w:t>the</w:t>
      </w:r>
      <w:proofErr w:type="spellEnd"/>
      <w:r w:rsidRPr="00905700">
        <w:rPr>
          <w:rFonts w:ascii="Arial" w:hAnsi="Arial" w:cs="Arial"/>
          <w:lang w:val="mk-MK"/>
        </w:rPr>
        <w:t xml:space="preserve"> </w:t>
      </w:r>
      <w:proofErr w:type="spellStart"/>
      <w:r w:rsidRPr="00905700">
        <w:rPr>
          <w:rFonts w:ascii="Arial" w:hAnsi="Arial" w:cs="Arial"/>
          <w:lang w:val="mk-MK"/>
        </w:rPr>
        <w:t>voting</w:t>
      </w:r>
      <w:proofErr w:type="spellEnd"/>
      <w:r w:rsidRPr="00905700">
        <w:rPr>
          <w:rFonts w:ascii="Arial" w:hAnsi="Arial" w:cs="Arial"/>
          <w:lang w:val="mk-MK"/>
        </w:rPr>
        <w:t xml:space="preserve"> </w:t>
      </w:r>
      <w:proofErr w:type="spellStart"/>
      <w:r w:rsidRPr="00905700">
        <w:rPr>
          <w:rFonts w:ascii="Arial" w:hAnsi="Arial" w:cs="Arial"/>
          <w:lang w:val="mk-MK"/>
        </w:rPr>
        <w:t>shares</w:t>
      </w:r>
      <w:proofErr w:type="spellEnd"/>
      <w:r w:rsidRPr="00905700">
        <w:rPr>
          <w:rFonts w:ascii="Arial" w:hAnsi="Arial" w:cs="Arial"/>
          <w:lang w:val="mk-MK"/>
        </w:rPr>
        <w:t xml:space="preserve"> </w:t>
      </w:r>
      <w:proofErr w:type="spellStart"/>
      <w:r w:rsidRPr="00905700">
        <w:rPr>
          <w:rFonts w:ascii="Arial" w:hAnsi="Arial" w:cs="Arial"/>
          <w:lang w:val="mk-MK"/>
        </w:rPr>
        <w:t>in</w:t>
      </w:r>
      <w:proofErr w:type="spellEnd"/>
      <w:r w:rsidRPr="00905700">
        <w:rPr>
          <w:rFonts w:ascii="Arial" w:hAnsi="Arial" w:cs="Arial"/>
          <w:lang w:val="mk-MK"/>
        </w:rPr>
        <w:t xml:space="preserve"> </w:t>
      </w:r>
      <w:proofErr w:type="spellStart"/>
      <w:r w:rsidRPr="00905700">
        <w:rPr>
          <w:rFonts w:ascii="Arial" w:hAnsi="Arial" w:cs="Arial"/>
          <w:lang w:val="mk-MK"/>
        </w:rPr>
        <w:t>the</w:t>
      </w:r>
      <w:proofErr w:type="spellEnd"/>
      <w:r w:rsidRPr="00905700">
        <w:rPr>
          <w:rFonts w:ascii="Arial" w:hAnsi="Arial" w:cs="Arial"/>
          <w:lang w:val="mk-MK"/>
        </w:rPr>
        <w:t xml:space="preserve"> </w:t>
      </w:r>
      <w:proofErr w:type="spellStart"/>
      <w:r w:rsidRPr="00905700">
        <w:rPr>
          <w:rFonts w:ascii="Arial" w:hAnsi="Arial" w:cs="Arial"/>
          <w:lang w:val="mk-MK"/>
        </w:rPr>
        <w:t>bank</w:t>
      </w:r>
      <w:proofErr w:type="spellEnd"/>
      <w:r w:rsidRPr="00905700">
        <w:rPr>
          <w:rFonts w:ascii="Arial" w:hAnsi="Arial" w:cs="Arial"/>
          <w:lang w:val="mk-MK"/>
        </w:rPr>
        <w:t xml:space="preserve">, </w:t>
      </w:r>
      <w:proofErr w:type="spellStart"/>
      <w:r w:rsidRPr="00905700">
        <w:rPr>
          <w:rFonts w:ascii="Arial" w:hAnsi="Arial" w:cs="Arial"/>
          <w:lang w:val="mk-MK"/>
        </w:rPr>
        <w:t>foreign</w:t>
      </w:r>
      <w:proofErr w:type="spellEnd"/>
      <w:r w:rsidRPr="00905700">
        <w:rPr>
          <w:rFonts w:ascii="Arial" w:hAnsi="Arial" w:cs="Arial"/>
          <w:lang w:val="mk-MK"/>
        </w:rPr>
        <w:t xml:space="preserve"> </w:t>
      </w:r>
      <w:proofErr w:type="spellStart"/>
      <w:r w:rsidRPr="00905700">
        <w:rPr>
          <w:rFonts w:ascii="Arial" w:hAnsi="Arial" w:cs="Arial"/>
          <w:lang w:val="mk-MK"/>
        </w:rPr>
        <w:t>bank</w:t>
      </w:r>
      <w:proofErr w:type="spellEnd"/>
      <w:r w:rsidRPr="00905700">
        <w:rPr>
          <w:rFonts w:ascii="Arial" w:hAnsi="Arial" w:cs="Arial"/>
          <w:lang w:val="mk-MK"/>
        </w:rPr>
        <w:t xml:space="preserve"> </w:t>
      </w:r>
      <w:proofErr w:type="spellStart"/>
      <w:r w:rsidRPr="00905700">
        <w:rPr>
          <w:rFonts w:ascii="Arial" w:hAnsi="Arial" w:cs="Arial"/>
          <w:lang w:val="mk-MK"/>
        </w:rPr>
        <w:t>branch</w:t>
      </w:r>
      <w:proofErr w:type="spellEnd"/>
      <w:r w:rsidRPr="00905700">
        <w:rPr>
          <w:rFonts w:ascii="Arial" w:hAnsi="Arial" w:cs="Arial"/>
          <w:lang w:val="mk-MK"/>
        </w:rPr>
        <w:t xml:space="preserve"> </w:t>
      </w:r>
      <w:proofErr w:type="spellStart"/>
      <w:r w:rsidRPr="00905700">
        <w:rPr>
          <w:rFonts w:ascii="Arial" w:hAnsi="Arial" w:cs="Arial"/>
          <w:lang w:val="mk-MK"/>
        </w:rPr>
        <w:t>or</w:t>
      </w:r>
      <w:proofErr w:type="spellEnd"/>
      <w:r w:rsidRPr="00905700">
        <w:rPr>
          <w:rFonts w:ascii="Arial" w:hAnsi="Arial" w:cs="Arial"/>
          <w:lang w:val="mk-MK"/>
        </w:rPr>
        <w:t xml:space="preserve"> </w:t>
      </w:r>
      <w:proofErr w:type="spellStart"/>
      <w:r w:rsidRPr="00905700">
        <w:rPr>
          <w:rFonts w:ascii="Arial" w:hAnsi="Arial" w:cs="Arial"/>
          <w:lang w:val="mk-MK"/>
        </w:rPr>
        <w:t>savings</w:t>
      </w:r>
      <w:proofErr w:type="spellEnd"/>
      <w:r w:rsidRPr="00905700">
        <w:rPr>
          <w:rFonts w:ascii="Arial" w:hAnsi="Arial" w:cs="Arial"/>
          <w:lang w:val="mk-MK"/>
        </w:rPr>
        <w:t xml:space="preserve"> </w:t>
      </w:r>
      <w:proofErr w:type="spellStart"/>
      <w:r w:rsidRPr="00905700">
        <w:rPr>
          <w:rFonts w:ascii="Arial" w:hAnsi="Arial" w:cs="Arial"/>
          <w:lang w:val="mk-MK"/>
        </w:rPr>
        <w:t>house</w:t>
      </w:r>
      <w:proofErr w:type="spellEnd"/>
      <w:r w:rsidR="00815E65" w:rsidRPr="00CE3053">
        <w:rPr>
          <w:rFonts w:ascii="Arial" w:hAnsi="Arial" w:cs="Arial"/>
          <w:lang w:val="mk-MK"/>
        </w:rPr>
        <w:t>;</w:t>
      </w:r>
    </w:p>
    <w:p w14:paraId="7D49880D" w14:textId="57481813" w:rsidR="00815E65" w:rsidRPr="00CE3053" w:rsidRDefault="00211CDD" w:rsidP="0061511C">
      <w:pPr>
        <w:pStyle w:val="ListBullet2"/>
        <w:numPr>
          <w:ilvl w:val="1"/>
          <w:numId w:val="20"/>
        </w:numPr>
        <w:spacing w:after="20" w:line="280" w:lineRule="atLeast"/>
        <w:jc w:val="both"/>
        <w:rPr>
          <w:rFonts w:ascii="Arial" w:hAnsi="Arial" w:cs="Arial"/>
          <w:lang w:val="mk-MK"/>
        </w:rPr>
      </w:pPr>
      <w:r>
        <w:rPr>
          <w:rFonts w:ascii="Arial" w:hAnsi="Arial" w:cs="Arial"/>
          <w:lang w:val="en-US"/>
        </w:rPr>
        <w:t>d</w:t>
      </w:r>
      <w:proofErr w:type="spellStart"/>
      <w:r w:rsidRPr="00211CDD">
        <w:rPr>
          <w:rFonts w:ascii="Arial" w:hAnsi="Arial" w:cs="Arial"/>
          <w:lang w:val="mk-MK"/>
        </w:rPr>
        <w:t>eposits</w:t>
      </w:r>
      <w:proofErr w:type="spellEnd"/>
      <w:r w:rsidRPr="00211CDD">
        <w:rPr>
          <w:rFonts w:ascii="Arial" w:hAnsi="Arial" w:cs="Arial"/>
          <w:lang w:val="mk-MK"/>
        </w:rPr>
        <w:t xml:space="preserve"> </w:t>
      </w:r>
      <w:proofErr w:type="spellStart"/>
      <w:r w:rsidRPr="00211CDD">
        <w:rPr>
          <w:rFonts w:ascii="Arial" w:hAnsi="Arial" w:cs="Arial"/>
          <w:lang w:val="mk-MK"/>
        </w:rPr>
        <w:t>of</w:t>
      </w:r>
      <w:proofErr w:type="spellEnd"/>
      <w:r w:rsidRPr="00211CDD">
        <w:rPr>
          <w:rFonts w:ascii="Arial" w:hAnsi="Arial" w:cs="Arial"/>
          <w:lang w:val="mk-MK"/>
        </w:rPr>
        <w:t xml:space="preserve"> </w:t>
      </w:r>
      <w:proofErr w:type="spellStart"/>
      <w:r w:rsidRPr="00211CDD">
        <w:rPr>
          <w:rFonts w:ascii="Arial" w:hAnsi="Arial" w:cs="Arial"/>
          <w:lang w:val="mk-MK"/>
        </w:rPr>
        <w:t>members</w:t>
      </w:r>
      <w:proofErr w:type="spellEnd"/>
      <w:r w:rsidRPr="00211CDD">
        <w:rPr>
          <w:rFonts w:ascii="Arial" w:hAnsi="Arial" w:cs="Arial"/>
          <w:lang w:val="mk-MK"/>
        </w:rPr>
        <w:t xml:space="preserve"> </w:t>
      </w:r>
      <w:proofErr w:type="spellStart"/>
      <w:r w:rsidRPr="00211CDD">
        <w:rPr>
          <w:rFonts w:ascii="Arial" w:hAnsi="Arial" w:cs="Arial"/>
          <w:lang w:val="mk-MK"/>
        </w:rPr>
        <w:t>of</w:t>
      </w:r>
      <w:proofErr w:type="spellEnd"/>
      <w:r w:rsidRPr="00211CDD">
        <w:rPr>
          <w:rFonts w:ascii="Arial" w:hAnsi="Arial" w:cs="Arial"/>
          <w:lang w:val="mk-MK"/>
        </w:rPr>
        <w:t xml:space="preserve"> </w:t>
      </w:r>
      <w:proofErr w:type="spellStart"/>
      <w:r w:rsidRPr="00211CDD">
        <w:rPr>
          <w:rFonts w:ascii="Arial" w:hAnsi="Arial" w:cs="Arial"/>
          <w:lang w:val="mk-MK"/>
        </w:rPr>
        <w:t>Management</w:t>
      </w:r>
      <w:proofErr w:type="spellEnd"/>
      <w:r w:rsidRPr="00211CDD">
        <w:rPr>
          <w:rFonts w:ascii="Arial" w:hAnsi="Arial" w:cs="Arial"/>
          <w:lang w:val="mk-MK"/>
        </w:rPr>
        <w:t xml:space="preserve"> </w:t>
      </w:r>
      <w:proofErr w:type="spellStart"/>
      <w:r w:rsidRPr="00211CDD">
        <w:rPr>
          <w:rFonts w:ascii="Arial" w:hAnsi="Arial" w:cs="Arial"/>
          <w:lang w:val="mk-MK"/>
        </w:rPr>
        <w:t>bodies</w:t>
      </w:r>
      <w:proofErr w:type="spellEnd"/>
      <w:r w:rsidRPr="00211CDD">
        <w:rPr>
          <w:rFonts w:ascii="Arial" w:hAnsi="Arial" w:cs="Arial"/>
          <w:lang w:val="mk-MK"/>
        </w:rPr>
        <w:t xml:space="preserve"> </w:t>
      </w:r>
      <w:proofErr w:type="spellStart"/>
      <w:r w:rsidRPr="00211CDD">
        <w:rPr>
          <w:rFonts w:ascii="Arial" w:hAnsi="Arial" w:cs="Arial"/>
          <w:lang w:val="mk-MK"/>
        </w:rPr>
        <w:t>of</w:t>
      </w:r>
      <w:proofErr w:type="spellEnd"/>
      <w:r w:rsidRPr="00211CDD">
        <w:rPr>
          <w:rFonts w:ascii="Arial" w:hAnsi="Arial" w:cs="Arial"/>
          <w:lang w:val="mk-MK"/>
        </w:rPr>
        <w:t xml:space="preserve"> </w:t>
      </w:r>
      <w:proofErr w:type="spellStart"/>
      <w:r w:rsidRPr="00211CDD">
        <w:rPr>
          <w:rFonts w:ascii="Arial" w:hAnsi="Arial" w:cs="Arial"/>
          <w:lang w:val="mk-MK"/>
        </w:rPr>
        <w:t>the</w:t>
      </w:r>
      <w:proofErr w:type="spellEnd"/>
      <w:r w:rsidRPr="00211CDD">
        <w:rPr>
          <w:rFonts w:ascii="Arial" w:hAnsi="Arial" w:cs="Arial"/>
          <w:lang w:val="mk-MK"/>
        </w:rPr>
        <w:t xml:space="preserve"> </w:t>
      </w:r>
      <w:proofErr w:type="spellStart"/>
      <w:r w:rsidRPr="00211CDD">
        <w:rPr>
          <w:rFonts w:ascii="Arial" w:hAnsi="Arial" w:cs="Arial"/>
          <w:lang w:val="mk-MK"/>
        </w:rPr>
        <w:t>bank</w:t>
      </w:r>
      <w:proofErr w:type="spellEnd"/>
      <w:r w:rsidRPr="00211CDD">
        <w:rPr>
          <w:rFonts w:ascii="Arial" w:hAnsi="Arial" w:cs="Arial"/>
          <w:lang w:val="mk-MK"/>
        </w:rPr>
        <w:t xml:space="preserve">, </w:t>
      </w:r>
      <w:proofErr w:type="spellStart"/>
      <w:r w:rsidRPr="00211CDD">
        <w:rPr>
          <w:rFonts w:ascii="Arial" w:hAnsi="Arial" w:cs="Arial"/>
          <w:lang w:val="mk-MK"/>
        </w:rPr>
        <w:t>foreign</w:t>
      </w:r>
      <w:proofErr w:type="spellEnd"/>
      <w:r w:rsidRPr="00211CDD">
        <w:rPr>
          <w:rFonts w:ascii="Arial" w:hAnsi="Arial" w:cs="Arial"/>
          <w:lang w:val="mk-MK"/>
        </w:rPr>
        <w:t xml:space="preserve"> </w:t>
      </w:r>
      <w:proofErr w:type="spellStart"/>
      <w:r w:rsidRPr="00211CDD">
        <w:rPr>
          <w:rFonts w:ascii="Arial" w:hAnsi="Arial" w:cs="Arial"/>
          <w:lang w:val="mk-MK"/>
        </w:rPr>
        <w:t>bank</w:t>
      </w:r>
      <w:proofErr w:type="spellEnd"/>
      <w:r w:rsidRPr="00211CDD">
        <w:rPr>
          <w:rFonts w:ascii="Arial" w:hAnsi="Arial" w:cs="Arial"/>
          <w:lang w:val="mk-MK"/>
        </w:rPr>
        <w:t xml:space="preserve"> </w:t>
      </w:r>
      <w:proofErr w:type="spellStart"/>
      <w:r w:rsidRPr="00211CDD">
        <w:rPr>
          <w:rFonts w:ascii="Arial" w:hAnsi="Arial" w:cs="Arial"/>
          <w:lang w:val="mk-MK"/>
        </w:rPr>
        <w:t>branch</w:t>
      </w:r>
      <w:proofErr w:type="spellEnd"/>
      <w:r w:rsidRPr="00211CDD">
        <w:rPr>
          <w:rFonts w:ascii="Arial" w:hAnsi="Arial" w:cs="Arial"/>
          <w:lang w:val="mk-MK"/>
        </w:rPr>
        <w:t xml:space="preserve"> </w:t>
      </w:r>
      <w:proofErr w:type="spellStart"/>
      <w:r w:rsidRPr="00211CDD">
        <w:rPr>
          <w:rFonts w:ascii="Arial" w:hAnsi="Arial" w:cs="Arial"/>
          <w:lang w:val="mk-MK"/>
        </w:rPr>
        <w:t>or</w:t>
      </w:r>
      <w:proofErr w:type="spellEnd"/>
      <w:r w:rsidRPr="00211CDD">
        <w:rPr>
          <w:rFonts w:ascii="Arial" w:hAnsi="Arial" w:cs="Arial"/>
          <w:lang w:val="mk-MK"/>
        </w:rPr>
        <w:t xml:space="preserve"> </w:t>
      </w:r>
      <w:proofErr w:type="spellStart"/>
      <w:r w:rsidRPr="00211CDD">
        <w:rPr>
          <w:rFonts w:ascii="Arial" w:hAnsi="Arial" w:cs="Arial"/>
          <w:lang w:val="mk-MK"/>
        </w:rPr>
        <w:t>savings</w:t>
      </w:r>
      <w:proofErr w:type="spellEnd"/>
      <w:r w:rsidRPr="00211CDD">
        <w:rPr>
          <w:rFonts w:ascii="Arial" w:hAnsi="Arial" w:cs="Arial"/>
          <w:lang w:val="mk-MK"/>
        </w:rPr>
        <w:t xml:space="preserve"> </w:t>
      </w:r>
      <w:proofErr w:type="spellStart"/>
      <w:r w:rsidRPr="00211CDD">
        <w:rPr>
          <w:rFonts w:ascii="Arial" w:hAnsi="Arial" w:cs="Arial"/>
          <w:lang w:val="mk-MK"/>
        </w:rPr>
        <w:t>house</w:t>
      </w:r>
      <w:proofErr w:type="spellEnd"/>
      <w:r w:rsidR="00815E65" w:rsidRPr="00CE3053">
        <w:rPr>
          <w:rFonts w:ascii="Arial" w:hAnsi="Arial" w:cs="Arial"/>
          <w:lang w:val="mk-MK"/>
        </w:rPr>
        <w:t>;</w:t>
      </w:r>
    </w:p>
    <w:p w14:paraId="08F55156" w14:textId="589B2579" w:rsidR="00815E65" w:rsidRPr="00CE3053" w:rsidRDefault="00211CDD" w:rsidP="0061511C">
      <w:pPr>
        <w:pStyle w:val="ListBullet2"/>
        <w:numPr>
          <w:ilvl w:val="1"/>
          <w:numId w:val="20"/>
        </w:numPr>
        <w:spacing w:after="20" w:line="280" w:lineRule="atLeast"/>
        <w:jc w:val="both"/>
        <w:rPr>
          <w:rFonts w:ascii="Arial" w:hAnsi="Arial" w:cs="Arial"/>
          <w:lang w:val="mk-MK"/>
        </w:rPr>
      </w:pPr>
      <w:r>
        <w:rPr>
          <w:rFonts w:ascii="Arial" w:hAnsi="Arial" w:cs="Arial"/>
          <w:lang w:val="en-US"/>
        </w:rPr>
        <w:t>d</w:t>
      </w:r>
      <w:proofErr w:type="spellStart"/>
      <w:r w:rsidRPr="00211CDD">
        <w:rPr>
          <w:rFonts w:ascii="Arial" w:hAnsi="Arial" w:cs="Arial"/>
          <w:lang w:val="mk-MK"/>
        </w:rPr>
        <w:t>eposits</w:t>
      </w:r>
      <w:proofErr w:type="spellEnd"/>
      <w:r w:rsidRPr="00211CDD">
        <w:rPr>
          <w:rFonts w:ascii="Arial" w:hAnsi="Arial" w:cs="Arial"/>
          <w:lang w:val="mk-MK"/>
        </w:rPr>
        <w:t xml:space="preserve"> </w:t>
      </w:r>
      <w:proofErr w:type="spellStart"/>
      <w:r w:rsidRPr="00211CDD">
        <w:rPr>
          <w:rFonts w:ascii="Arial" w:hAnsi="Arial" w:cs="Arial"/>
          <w:lang w:val="mk-MK"/>
        </w:rPr>
        <w:t>of</w:t>
      </w:r>
      <w:proofErr w:type="spellEnd"/>
      <w:r w:rsidRPr="00211CDD">
        <w:rPr>
          <w:rFonts w:ascii="Arial" w:hAnsi="Arial" w:cs="Arial"/>
          <w:lang w:val="mk-MK"/>
        </w:rPr>
        <w:t xml:space="preserve"> </w:t>
      </w:r>
      <w:proofErr w:type="spellStart"/>
      <w:r w:rsidRPr="00211CDD">
        <w:rPr>
          <w:rFonts w:ascii="Arial" w:hAnsi="Arial" w:cs="Arial"/>
          <w:lang w:val="mk-MK"/>
        </w:rPr>
        <w:t>family</w:t>
      </w:r>
      <w:proofErr w:type="spellEnd"/>
      <w:r w:rsidRPr="00211CDD">
        <w:rPr>
          <w:rFonts w:ascii="Arial" w:hAnsi="Arial" w:cs="Arial"/>
          <w:lang w:val="mk-MK"/>
        </w:rPr>
        <w:t xml:space="preserve"> </w:t>
      </w:r>
      <w:proofErr w:type="spellStart"/>
      <w:r w:rsidRPr="00211CDD">
        <w:rPr>
          <w:rFonts w:ascii="Arial" w:hAnsi="Arial" w:cs="Arial"/>
          <w:lang w:val="mk-MK"/>
        </w:rPr>
        <w:t>members</w:t>
      </w:r>
      <w:proofErr w:type="spellEnd"/>
      <w:r w:rsidRPr="00211CDD">
        <w:rPr>
          <w:rFonts w:ascii="Arial" w:hAnsi="Arial" w:cs="Arial"/>
          <w:lang w:val="mk-MK"/>
        </w:rPr>
        <w:t xml:space="preserve"> </w:t>
      </w:r>
      <w:proofErr w:type="spellStart"/>
      <w:r w:rsidRPr="00211CDD">
        <w:rPr>
          <w:rFonts w:ascii="Arial" w:hAnsi="Arial" w:cs="Arial"/>
          <w:lang w:val="mk-MK"/>
        </w:rPr>
        <w:t>of</w:t>
      </w:r>
      <w:proofErr w:type="spellEnd"/>
      <w:r w:rsidRPr="00211CDD">
        <w:rPr>
          <w:rFonts w:ascii="Arial" w:hAnsi="Arial" w:cs="Arial"/>
          <w:lang w:val="mk-MK"/>
        </w:rPr>
        <w:t xml:space="preserve"> </w:t>
      </w:r>
      <w:proofErr w:type="spellStart"/>
      <w:r w:rsidRPr="00211CDD">
        <w:rPr>
          <w:rFonts w:ascii="Arial" w:hAnsi="Arial" w:cs="Arial"/>
          <w:lang w:val="mk-MK"/>
        </w:rPr>
        <w:t>direct</w:t>
      </w:r>
      <w:proofErr w:type="spellEnd"/>
      <w:r w:rsidRPr="00211CDD">
        <w:rPr>
          <w:rFonts w:ascii="Arial" w:hAnsi="Arial" w:cs="Arial"/>
          <w:lang w:val="mk-MK"/>
        </w:rPr>
        <w:t xml:space="preserve"> </w:t>
      </w:r>
      <w:proofErr w:type="spellStart"/>
      <w:r w:rsidRPr="00211CDD">
        <w:rPr>
          <w:rFonts w:ascii="Arial" w:hAnsi="Arial" w:cs="Arial"/>
          <w:lang w:val="mk-MK"/>
        </w:rPr>
        <w:t>lineage</w:t>
      </w:r>
      <w:proofErr w:type="spellEnd"/>
      <w:r w:rsidRPr="00211CDD">
        <w:rPr>
          <w:rFonts w:ascii="Arial" w:hAnsi="Arial" w:cs="Arial"/>
          <w:lang w:val="mk-MK"/>
        </w:rPr>
        <w:t xml:space="preserve"> </w:t>
      </w:r>
      <w:proofErr w:type="spellStart"/>
      <w:r w:rsidRPr="00211CDD">
        <w:rPr>
          <w:rFonts w:ascii="Arial" w:hAnsi="Arial" w:cs="Arial"/>
          <w:lang w:val="mk-MK"/>
        </w:rPr>
        <w:t>of</w:t>
      </w:r>
      <w:proofErr w:type="spellEnd"/>
      <w:r w:rsidRPr="00211CDD">
        <w:rPr>
          <w:rFonts w:ascii="Arial" w:hAnsi="Arial" w:cs="Arial"/>
          <w:lang w:val="mk-MK"/>
        </w:rPr>
        <w:t xml:space="preserve"> 1st </w:t>
      </w:r>
      <w:proofErr w:type="spellStart"/>
      <w:r w:rsidRPr="00211CDD">
        <w:rPr>
          <w:rFonts w:ascii="Arial" w:hAnsi="Arial" w:cs="Arial"/>
          <w:lang w:val="mk-MK"/>
        </w:rPr>
        <w:t>degree</w:t>
      </w:r>
      <w:proofErr w:type="spellEnd"/>
      <w:r w:rsidRPr="00211CDD">
        <w:rPr>
          <w:rFonts w:ascii="Arial" w:hAnsi="Arial" w:cs="Arial"/>
          <w:lang w:val="mk-MK"/>
        </w:rPr>
        <w:t xml:space="preserve"> </w:t>
      </w:r>
      <w:proofErr w:type="spellStart"/>
      <w:r w:rsidRPr="00211CDD">
        <w:rPr>
          <w:rFonts w:ascii="Arial" w:hAnsi="Arial" w:cs="Arial"/>
          <w:lang w:val="mk-MK"/>
        </w:rPr>
        <w:t>of</w:t>
      </w:r>
      <w:proofErr w:type="spellEnd"/>
      <w:r w:rsidRPr="00211CDD">
        <w:rPr>
          <w:rFonts w:ascii="Arial" w:hAnsi="Arial" w:cs="Arial"/>
          <w:lang w:val="mk-MK"/>
        </w:rPr>
        <w:t xml:space="preserve"> </w:t>
      </w:r>
      <w:proofErr w:type="spellStart"/>
      <w:r w:rsidRPr="00211CDD">
        <w:rPr>
          <w:rFonts w:ascii="Arial" w:hAnsi="Arial" w:cs="Arial"/>
          <w:lang w:val="mk-MK"/>
        </w:rPr>
        <w:t>the</w:t>
      </w:r>
      <w:proofErr w:type="spellEnd"/>
      <w:r w:rsidRPr="00211CDD">
        <w:rPr>
          <w:rFonts w:ascii="Arial" w:hAnsi="Arial" w:cs="Arial"/>
          <w:lang w:val="mk-MK"/>
        </w:rPr>
        <w:t xml:space="preserve"> </w:t>
      </w:r>
      <w:proofErr w:type="spellStart"/>
      <w:r w:rsidRPr="00211CDD">
        <w:rPr>
          <w:rFonts w:ascii="Arial" w:hAnsi="Arial" w:cs="Arial"/>
          <w:lang w:val="mk-MK"/>
        </w:rPr>
        <w:t>depositors</w:t>
      </w:r>
      <w:proofErr w:type="spellEnd"/>
      <w:r w:rsidRPr="00211CDD">
        <w:rPr>
          <w:rFonts w:ascii="Arial" w:hAnsi="Arial" w:cs="Arial"/>
          <w:lang w:val="mk-MK"/>
        </w:rPr>
        <w:t xml:space="preserve"> </w:t>
      </w:r>
      <w:proofErr w:type="spellStart"/>
      <w:r w:rsidRPr="00211CDD">
        <w:rPr>
          <w:rFonts w:ascii="Arial" w:hAnsi="Arial" w:cs="Arial"/>
          <w:lang w:val="mk-MK"/>
        </w:rPr>
        <w:t>referred</w:t>
      </w:r>
      <w:proofErr w:type="spellEnd"/>
      <w:r w:rsidRPr="00211CDD">
        <w:rPr>
          <w:rFonts w:ascii="Arial" w:hAnsi="Arial" w:cs="Arial"/>
          <w:lang w:val="mk-MK"/>
        </w:rPr>
        <w:t xml:space="preserve"> </w:t>
      </w:r>
      <w:proofErr w:type="spellStart"/>
      <w:r w:rsidRPr="00211CDD">
        <w:rPr>
          <w:rFonts w:ascii="Arial" w:hAnsi="Arial" w:cs="Arial"/>
          <w:lang w:val="mk-MK"/>
        </w:rPr>
        <w:t>to</w:t>
      </w:r>
      <w:proofErr w:type="spellEnd"/>
      <w:r w:rsidRPr="00211CDD">
        <w:rPr>
          <w:rFonts w:ascii="Arial" w:hAnsi="Arial" w:cs="Arial"/>
          <w:lang w:val="mk-MK"/>
        </w:rPr>
        <w:t xml:space="preserve"> </w:t>
      </w:r>
      <w:proofErr w:type="spellStart"/>
      <w:r w:rsidRPr="00211CDD">
        <w:rPr>
          <w:rFonts w:ascii="Arial" w:hAnsi="Arial" w:cs="Arial"/>
          <w:lang w:val="mk-MK"/>
        </w:rPr>
        <w:t>in</w:t>
      </w:r>
      <w:proofErr w:type="spellEnd"/>
      <w:r w:rsidRPr="00211CDD">
        <w:rPr>
          <w:rFonts w:ascii="Arial" w:hAnsi="Arial" w:cs="Arial"/>
          <w:lang w:val="mk-MK"/>
        </w:rPr>
        <w:t xml:space="preserve"> </w:t>
      </w:r>
      <w:proofErr w:type="spellStart"/>
      <w:r w:rsidRPr="00211CDD">
        <w:rPr>
          <w:rFonts w:ascii="Arial" w:hAnsi="Arial" w:cs="Arial"/>
          <w:lang w:val="mk-MK"/>
        </w:rPr>
        <w:t>the</w:t>
      </w:r>
      <w:proofErr w:type="spellEnd"/>
      <w:r w:rsidRPr="00211CDD">
        <w:rPr>
          <w:rFonts w:ascii="Arial" w:hAnsi="Arial" w:cs="Arial"/>
          <w:lang w:val="mk-MK"/>
        </w:rPr>
        <w:t xml:space="preserve"> </w:t>
      </w:r>
      <w:proofErr w:type="spellStart"/>
      <w:r w:rsidRPr="00211CDD">
        <w:rPr>
          <w:rFonts w:ascii="Arial" w:hAnsi="Arial" w:cs="Arial"/>
          <w:lang w:val="mk-MK"/>
        </w:rPr>
        <w:t>two</w:t>
      </w:r>
      <w:proofErr w:type="spellEnd"/>
      <w:r w:rsidRPr="00211CDD">
        <w:rPr>
          <w:rFonts w:ascii="Arial" w:hAnsi="Arial" w:cs="Arial"/>
          <w:lang w:val="mk-MK"/>
        </w:rPr>
        <w:t xml:space="preserve"> </w:t>
      </w:r>
      <w:proofErr w:type="spellStart"/>
      <w:r w:rsidRPr="00211CDD">
        <w:rPr>
          <w:rFonts w:ascii="Arial" w:hAnsi="Arial" w:cs="Arial"/>
          <w:lang w:val="mk-MK"/>
        </w:rPr>
        <w:t>aforementioned</w:t>
      </w:r>
      <w:proofErr w:type="spellEnd"/>
      <w:r w:rsidRPr="00211CDD">
        <w:rPr>
          <w:rFonts w:ascii="Arial" w:hAnsi="Arial" w:cs="Arial"/>
          <w:lang w:val="mk-MK"/>
        </w:rPr>
        <w:t xml:space="preserve"> </w:t>
      </w:r>
      <w:proofErr w:type="spellStart"/>
      <w:r w:rsidRPr="00211CDD">
        <w:rPr>
          <w:rFonts w:ascii="Arial" w:hAnsi="Arial" w:cs="Arial"/>
          <w:lang w:val="mk-MK"/>
        </w:rPr>
        <w:t>items</w:t>
      </w:r>
      <w:proofErr w:type="spellEnd"/>
      <w:r w:rsidR="00815E65" w:rsidRPr="00CE3053">
        <w:rPr>
          <w:rFonts w:ascii="Arial" w:hAnsi="Arial" w:cs="Arial"/>
          <w:lang w:val="mk-MK"/>
        </w:rPr>
        <w:t>;</w:t>
      </w:r>
    </w:p>
    <w:p w14:paraId="463E1866" w14:textId="10AC0D62" w:rsidR="00815E65" w:rsidRPr="00CE3053" w:rsidRDefault="00BA0212" w:rsidP="0061511C">
      <w:pPr>
        <w:pStyle w:val="ListBullet2"/>
        <w:numPr>
          <w:ilvl w:val="1"/>
          <w:numId w:val="20"/>
        </w:numPr>
        <w:spacing w:after="284" w:line="280" w:lineRule="atLeast"/>
        <w:ind w:left="460" w:hanging="230"/>
        <w:jc w:val="both"/>
        <w:rPr>
          <w:rFonts w:ascii="Arial" w:hAnsi="Arial" w:cs="Arial"/>
          <w:b/>
          <w:bCs/>
          <w:color w:val="747678"/>
          <w:lang w:val="mk-MK"/>
        </w:rPr>
      </w:pPr>
      <w:r>
        <w:rPr>
          <w:rFonts w:ascii="Arial" w:hAnsi="Arial" w:cs="Arial"/>
          <w:lang w:val="en-US"/>
        </w:rPr>
        <w:t>d</w:t>
      </w:r>
      <w:proofErr w:type="spellStart"/>
      <w:r w:rsidRPr="00BA0212">
        <w:rPr>
          <w:rFonts w:ascii="Arial" w:hAnsi="Arial" w:cs="Arial"/>
          <w:lang w:val="mk-MK"/>
        </w:rPr>
        <w:t>eposits</w:t>
      </w:r>
      <w:proofErr w:type="spellEnd"/>
      <w:r w:rsidRPr="00BA0212">
        <w:rPr>
          <w:rFonts w:ascii="Arial" w:hAnsi="Arial" w:cs="Arial"/>
          <w:lang w:val="mk-MK"/>
        </w:rPr>
        <w:t xml:space="preserve"> </w:t>
      </w:r>
      <w:proofErr w:type="spellStart"/>
      <w:r w:rsidRPr="00BA0212">
        <w:rPr>
          <w:rFonts w:ascii="Arial" w:hAnsi="Arial" w:cs="Arial"/>
          <w:lang w:val="mk-MK"/>
        </w:rPr>
        <w:t>related</w:t>
      </w:r>
      <w:proofErr w:type="spellEnd"/>
      <w:r w:rsidRPr="00BA0212">
        <w:rPr>
          <w:rFonts w:ascii="Arial" w:hAnsi="Arial" w:cs="Arial"/>
          <w:lang w:val="mk-MK"/>
        </w:rPr>
        <w:t xml:space="preserve"> </w:t>
      </w:r>
      <w:proofErr w:type="spellStart"/>
      <w:r w:rsidRPr="00BA0212">
        <w:rPr>
          <w:rFonts w:ascii="Arial" w:hAnsi="Arial" w:cs="Arial"/>
          <w:lang w:val="mk-MK"/>
        </w:rPr>
        <w:t>to</w:t>
      </w:r>
      <w:proofErr w:type="spellEnd"/>
      <w:r w:rsidRPr="00BA0212">
        <w:rPr>
          <w:rFonts w:ascii="Arial" w:hAnsi="Arial" w:cs="Arial"/>
          <w:lang w:val="mk-MK"/>
        </w:rPr>
        <w:t xml:space="preserve"> </w:t>
      </w:r>
      <w:proofErr w:type="spellStart"/>
      <w:r w:rsidRPr="00BA0212">
        <w:rPr>
          <w:rFonts w:ascii="Arial" w:hAnsi="Arial" w:cs="Arial"/>
          <w:lang w:val="mk-MK"/>
        </w:rPr>
        <w:t>transactions</w:t>
      </w:r>
      <w:proofErr w:type="spellEnd"/>
      <w:r w:rsidRPr="00BA0212">
        <w:rPr>
          <w:rFonts w:ascii="Arial" w:hAnsi="Arial" w:cs="Arial"/>
          <w:lang w:val="mk-MK"/>
        </w:rPr>
        <w:t xml:space="preserve"> </w:t>
      </w:r>
      <w:proofErr w:type="spellStart"/>
      <w:r w:rsidRPr="00BA0212">
        <w:rPr>
          <w:rFonts w:ascii="Arial" w:hAnsi="Arial" w:cs="Arial"/>
          <w:lang w:val="mk-MK"/>
        </w:rPr>
        <w:t>used</w:t>
      </w:r>
      <w:proofErr w:type="spellEnd"/>
      <w:r w:rsidRPr="00BA0212">
        <w:rPr>
          <w:rFonts w:ascii="Arial" w:hAnsi="Arial" w:cs="Arial"/>
          <w:lang w:val="mk-MK"/>
        </w:rPr>
        <w:t xml:space="preserve"> </w:t>
      </w:r>
      <w:proofErr w:type="spellStart"/>
      <w:r w:rsidRPr="00BA0212">
        <w:rPr>
          <w:rFonts w:ascii="Arial" w:hAnsi="Arial" w:cs="Arial"/>
          <w:lang w:val="mk-MK"/>
        </w:rPr>
        <w:t>for</w:t>
      </w:r>
      <w:proofErr w:type="spellEnd"/>
      <w:r w:rsidRPr="00BA0212">
        <w:rPr>
          <w:rFonts w:ascii="Arial" w:hAnsi="Arial" w:cs="Arial"/>
          <w:lang w:val="mk-MK"/>
        </w:rPr>
        <w:t xml:space="preserve"> </w:t>
      </w:r>
      <w:proofErr w:type="spellStart"/>
      <w:r w:rsidRPr="00BA0212">
        <w:rPr>
          <w:rFonts w:ascii="Arial" w:hAnsi="Arial" w:cs="Arial"/>
          <w:lang w:val="mk-MK"/>
        </w:rPr>
        <w:t>money</w:t>
      </w:r>
      <w:proofErr w:type="spellEnd"/>
      <w:r w:rsidRPr="00BA0212">
        <w:rPr>
          <w:rFonts w:ascii="Arial" w:hAnsi="Arial" w:cs="Arial"/>
          <w:lang w:val="mk-MK"/>
        </w:rPr>
        <w:t xml:space="preserve"> </w:t>
      </w:r>
      <w:proofErr w:type="spellStart"/>
      <w:r w:rsidRPr="00BA0212">
        <w:rPr>
          <w:rFonts w:ascii="Arial" w:hAnsi="Arial" w:cs="Arial"/>
          <w:lang w:val="mk-MK"/>
        </w:rPr>
        <w:t>laundering</w:t>
      </w:r>
      <w:proofErr w:type="spellEnd"/>
      <w:r w:rsidRPr="00BA0212">
        <w:rPr>
          <w:rFonts w:ascii="Arial" w:hAnsi="Arial" w:cs="Arial"/>
          <w:lang w:val="mk-MK"/>
        </w:rPr>
        <w:t xml:space="preserve"> </w:t>
      </w:r>
      <w:proofErr w:type="spellStart"/>
      <w:r w:rsidRPr="00BA0212">
        <w:rPr>
          <w:rFonts w:ascii="Arial" w:hAnsi="Arial" w:cs="Arial"/>
          <w:lang w:val="mk-MK"/>
        </w:rPr>
        <w:t>if</w:t>
      </w:r>
      <w:proofErr w:type="spellEnd"/>
      <w:r w:rsidRPr="00BA0212">
        <w:rPr>
          <w:rFonts w:ascii="Arial" w:hAnsi="Arial" w:cs="Arial"/>
          <w:lang w:val="mk-MK"/>
        </w:rPr>
        <w:t xml:space="preserve"> </w:t>
      </w:r>
      <w:proofErr w:type="spellStart"/>
      <w:r w:rsidRPr="00BA0212">
        <w:rPr>
          <w:rFonts w:ascii="Arial" w:hAnsi="Arial" w:cs="Arial"/>
          <w:lang w:val="mk-MK"/>
        </w:rPr>
        <w:t>the</w:t>
      </w:r>
      <w:proofErr w:type="spellEnd"/>
      <w:r w:rsidRPr="00BA0212">
        <w:rPr>
          <w:rFonts w:ascii="Arial" w:hAnsi="Arial" w:cs="Arial"/>
          <w:lang w:val="mk-MK"/>
        </w:rPr>
        <w:t xml:space="preserve"> </w:t>
      </w:r>
      <w:proofErr w:type="spellStart"/>
      <w:r w:rsidRPr="00BA0212">
        <w:rPr>
          <w:rFonts w:ascii="Arial" w:hAnsi="Arial" w:cs="Arial"/>
          <w:lang w:val="mk-MK"/>
        </w:rPr>
        <w:t>perpetrator</w:t>
      </w:r>
      <w:proofErr w:type="spellEnd"/>
      <w:r w:rsidRPr="00BA0212">
        <w:rPr>
          <w:rFonts w:ascii="Arial" w:hAnsi="Arial" w:cs="Arial"/>
          <w:lang w:val="mk-MK"/>
        </w:rPr>
        <w:t xml:space="preserve"> </w:t>
      </w:r>
      <w:proofErr w:type="spellStart"/>
      <w:r w:rsidRPr="00BA0212">
        <w:rPr>
          <w:rFonts w:ascii="Arial" w:hAnsi="Arial" w:cs="Arial"/>
          <w:lang w:val="mk-MK"/>
        </w:rPr>
        <w:t>has</w:t>
      </w:r>
      <w:proofErr w:type="spellEnd"/>
      <w:r w:rsidRPr="00BA0212">
        <w:rPr>
          <w:rFonts w:ascii="Arial" w:hAnsi="Arial" w:cs="Arial"/>
          <w:lang w:val="mk-MK"/>
        </w:rPr>
        <w:t xml:space="preserve"> </w:t>
      </w:r>
      <w:proofErr w:type="spellStart"/>
      <w:r w:rsidRPr="00BA0212">
        <w:rPr>
          <w:rFonts w:ascii="Arial" w:hAnsi="Arial" w:cs="Arial"/>
          <w:lang w:val="mk-MK"/>
        </w:rPr>
        <w:t>been</w:t>
      </w:r>
      <w:proofErr w:type="spellEnd"/>
      <w:r w:rsidRPr="00BA0212">
        <w:rPr>
          <w:rFonts w:ascii="Arial" w:hAnsi="Arial" w:cs="Arial"/>
          <w:lang w:val="mk-MK"/>
        </w:rPr>
        <w:t xml:space="preserve"> </w:t>
      </w:r>
      <w:proofErr w:type="spellStart"/>
      <w:r w:rsidRPr="00BA0212">
        <w:rPr>
          <w:rFonts w:ascii="Arial" w:hAnsi="Arial" w:cs="Arial"/>
          <w:lang w:val="mk-MK"/>
        </w:rPr>
        <w:t>convicted</w:t>
      </w:r>
      <w:proofErr w:type="spellEnd"/>
      <w:r w:rsidRPr="00BA0212">
        <w:rPr>
          <w:rFonts w:ascii="Arial" w:hAnsi="Arial" w:cs="Arial"/>
          <w:lang w:val="mk-MK"/>
        </w:rPr>
        <w:t xml:space="preserve"> </w:t>
      </w:r>
      <w:proofErr w:type="spellStart"/>
      <w:r w:rsidRPr="00BA0212">
        <w:rPr>
          <w:rFonts w:ascii="Arial" w:hAnsi="Arial" w:cs="Arial"/>
          <w:lang w:val="mk-MK"/>
        </w:rPr>
        <w:t>and</w:t>
      </w:r>
      <w:proofErr w:type="spellEnd"/>
      <w:r w:rsidRPr="00BA0212">
        <w:rPr>
          <w:rFonts w:ascii="Arial" w:hAnsi="Arial" w:cs="Arial"/>
          <w:lang w:val="mk-MK"/>
        </w:rPr>
        <w:t xml:space="preserve"> </w:t>
      </w:r>
      <w:proofErr w:type="spellStart"/>
      <w:r w:rsidRPr="00BA0212">
        <w:rPr>
          <w:rFonts w:ascii="Arial" w:hAnsi="Arial" w:cs="Arial"/>
          <w:lang w:val="mk-MK"/>
        </w:rPr>
        <w:t>the</w:t>
      </w:r>
      <w:proofErr w:type="spellEnd"/>
      <w:r w:rsidRPr="00BA0212">
        <w:rPr>
          <w:rFonts w:ascii="Arial" w:hAnsi="Arial" w:cs="Arial"/>
          <w:lang w:val="mk-MK"/>
        </w:rPr>
        <w:t xml:space="preserve"> </w:t>
      </w:r>
      <w:proofErr w:type="spellStart"/>
      <w:r w:rsidRPr="00BA0212">
        <w:rPr>
          <w:rFonts w:ascii="Arial" w:hAnsi="Arial" w:cs="Arial"/>
          <w:lang w:val="mk-MK"/>
        </w:rPr>
        <w:t>sentence</w:t>
      </w:r>
      <w:proofErr w:type="spellEnd"/>
      <w:r w:rsidRPr="00BA0212">
        <w:rPr>
          <w:rFonts w:ascii="Arial" w:hAnsi="Arial" w:cs="Arial"/>
          <w:lang w:val="mk-MK"/>
        </w:rPr>
        <w:t xml:space="preserve"> </w:t>
      </w:r>
      <w:proofErr w:type="spellStart"/>
      <w:r w:rsidRPr="00BA0212">
        <w:rPr>
          <w:rFonts w:ascii="Arial" w:hAnsi="Arial" w:cs="Arial"/>
          <w:lang w:val="mk-MK"/>
        </w:rPr>
        <w:t>is</w:t>
      </w:r>
      <w:proofErr w:type="spellEnd"/>
      <w:r w:rsidRPr="00BA0212">
        <w:rPr>
          <w:rFonts w:ascii="Arial" w:hAnsi="Arial" w:cs="Arial"/>
          <w:lang w:val="mk-MK"/>
        </w:rPr>
        <w:t xml:space="preserve"> </w:t>
      </w:r>
      <w:proofErr w:type="spellStart"/>
      <w:r w:rsidRPr="00BA0212">
        <w:rPr>
          <w:rFonts w:ascii="Arial" w:hAnsi="Arial" w:cs="Arial"/>
          <w:lang w:val="mk-MK"/>
        </w:rPr>
        <w:t>effective</w:t>
      </w:r>
      <w:proofErr w:type="spellEnd"/>
      <w:r w:rsidR="00815E65" w:rsidRPr="00CE3053">
        <w:rPr>
          <w:rFonts w:ascii="Arial" w:hAnsi="Arial" w:cs="Arial"/>
          <w:lang w:val="mk-MK"/>
        </w:rPr>
        <w:t>.</w:t>
      </w:r>
      <w:r w:rsidR="00815E65" w:rsidRPr="001E6526">
        <w:rPr>
          <w:rFonts w:ascii="Arial" w:hAnsi="Arial" w:cs="Arial"/>
          <w:lang w:val="mk-MK"/>
        </w:rPr>
        <w:t xml:space="preserve"> </w:t>
      </w:r>
    </w:p>
    <w:p w14:paraId="573AD7D2" w14:textId="6CAE1A68" w:rsidR="00815E65" w:rsidRPr="008E09B1" w:rsidRDefault="0063412F" w:rsidP="00815E65">
      <w:pPr>
        <w:spacing w:after="284" w:line="280" w:lineRule="atLeast"/>
        <w:jc w:val="both"/>
        <w:rPr>
          <w:rFonts w:ascii="Arial" w:hAnsi="Arial" w:cs="Arial"/>
          <w:spacing w:val="-3"/>
        </w:rPr>
      </w:pPr>
      <w:r w:rsidRPr="008E09B1">
        <w:rPr>
          <w:rFonts w:ascii="Arial" w:hAnsi="Arial" w:cs="Arial"/>
          <w:spacing w:val="-3"/>
        </w:rPr>
        <w:t>The day of occurrence of a risk event is considered the day when the Governor of the NBRNM will pass final decision for termination of the permit for establishing and operating of the bank, the foreign banks’ branch or the saving house. The Fund is obliged to commence indemnification of the insured deposits within 20 days after the day of occurrence of the risk event. Amounts paid due to risk events are recovered by proceeds from the liquidation or bankruptcy mass of the member over which liquidation or bankruptcy procedure has been raised</w:t>
      </w:r>
      <w:r w:rsidR="00815E65" w:rsidRPr="008E09B1">
        <w:rPr>
          <w:rFonts w:ascii="Arial" w:hAnsi="Arial" w:cs="Arial"/>
          <w:spacing w:val="-3"/>
        </w:rPr>
        <w:t>.</w:t>
      </w:r>
    </w:p>
    <w:p w14:paraId="4BA5CBE6" w14:textId="4D2B65EC" w:rsidR="003A5B21" w:rsidRPr="001E6526" w:rsidRDefault="003A5B21" w:rsidP="004F415F">
      <w:pPr>
        <w:spacing w:after="284" w:line="280" w:lineRule="atLeast"/>
        <w:jc w:val="both"/>
        <w:rPr>
          <w:rFonts w:ascii="Arial" w:hAnsi="Arial" w:cs="Arial"/>
          <w:lang w:val="mk-MK"/>
        </w:rPr>
      </w:pPr>
      <w:r w:rsidRPr="008E09B1">
        <w:rPr>
          <w:rFonts w:ascii="Arial" w:hAnsi="Arial" w:cs="Arial"/>
          <w:spacing w:val="-3"/>
        </w:rPr>
        <w:t xml:space="preserve">According to the last case of risk event in the banking system of the Republic of </w:t>
      </w:r>
      <w:r w:rsidR="00B5375C" w:rsidRPr="008E09B1">
        <w:rPr>
          <w:rFonts w:ascii="Arial" w:hAnsi="Arial" w:cs="Arial"/>
          <w:spacing w:val="-3"/>
        </w:rPr>
        <w:t>North</w:t>
      </w:r>
      <w:r w:rsidRPr="008E09B1">
        <w:rPr>
          <w:rFonts w:ascii="Arial" w:hAnsi="Arial" w:cs="Arial"/>
          <w:spacing w:val="-3"/>
        </w:rPr>
        <w:t xml:space="preserve"> Macedonia, from</w:t>
      </w:r>
      <w:r w:rsidR="00AB38BE">
        <w:rPr>
          <w:rFonts w:ascii="Arial" w:hAnsi="Arial" w:cs="Arial"/>
          <w:spacing w:val="-3"/>
        </w:rPr>
        <w:t xml:space="preserve"> 12</w:t>
      </w:r>
      <w:r w:rsidRPr="008E09B1">
        <w:rPr>
          <w:rFonts w:ascii="Arial" w:hAnsi="Arial" w:cs="Arial"/>
          <w:spacing w:val="-3"/>
        </w:rPr>
        <w:t xml:space="preserve"> August 2020, when the Governor of the NBRNM made a decision to revoke the license for establishment and operation of </w:t>
      </w:r>
      <w:proofErr w:type="spellStart"/>
      <w:r w:rsidRPr="008E09B1">
        <w:rPr>
          <w:rFonts w:ascii="Arial" w:hAnsi="Arial" w:cs="Arial"/>
          <w:spacing w:val="-3"/>
        </w:rPr>
        <w:t>Eurostandard</w:t>
      </w:r>
      <w:proofErr w:type="spellEnd"/>
      <w:r w:rsidRPr="008E09B1">
        <w:rPr>
          <w:rFonts w:ascii="Arial" w:hAnsi="Arial" w:cs="Arial"/>
          <w:spacing w:val="-3"/>
        </w:rPr>
        <w:t xml:space="preserve"> Bank AD Skopje, a total claim in the amount of 4.178.537 thousand denars was calculated, out of which 4,177,253 thousand </w:t>
      </w:r>
      <w:r w:rsidR="005A64E7" w:rsidRPr="008E09B1">
        <w:rPr>
          <w:rFonts w:ascii="Arial" w:hAnsi="Arial" w:cs="Arial"/>
          <w:spacing w:val="-3"/>
        </w:rPr>
        <w:t xml:space="preserve">denars </w:t>
      </w:r>
      <w:r w:rsidRPr="008E09B1">
        <w:rPr>
          <w:rFonts w:ascii="Arial" w:hAnsi="Arial" w:cs="Arial"/>
          <w:spacing w:val="-3"/>
        </w:rPr>
        <w:t>represent accrued compensation to the depositors of "</w:t>
      </w:r>
      <w:proofErr w:type="spellStart"/>
      <w:r w:rsidRPr="008E09B1">
        <w:rPr>
          <w:rFonts w:ascii="Arial" w:hAnsi="Arial" w:cs="Arial"/>
          <w:spacing w:val="-3"/>
        </w:rPr>
        <w:t>Eurostandard</w:t>
      </w:r>
      <w:proofErr w:type="spellEnd"/>
      <w:r w:rsidRPr="008E09B1">
        <w:rPr>
          <w:rFonts w:ascii="Arial" w:hAnsi="Arial" w:cs="Arial"/>
          <w:spacing w:val="-3"/>
        </w:rPr>
        <w:t xml:space="preserve"> Bank AD Skopje", as well as the amount of 1,284 thousand </w:t>
      </w:r>
      <w:r w:rsidR="005A64E7" w:rsidRPr="008E09B1">
        <w:rPr>
          <w:rFonts w:ascii="Arial" w:hAnsi="Arial" w:cs="Arial"/>
          <w:spacing w:val="-3"/>
        </w:rPr>
        <w:t>denars</w:t>
      </w:r>
      <w:r w:rsidR="00CB6215" w:rsidRPr="008E09B1">
        <w:rPr>
          <w:rFonts w:ascii="Arial" w:hAnsi="Arial" w:cs="Arial"/>
          <w:spacing w:val="-3"/>
        </w:rPr>
        <w:t xml:space="preserve">, </w:t>
      </w:r>
      <w:r w:rsidRPr="008E09B1">
        <w:rPr>
          <w:rFonts w:ascii="Arial" w:hAnsi="Arial" w:cs="Arial"/>
          <w:spacing w:val="-3"/>
        </w:rPr>
        <w:t>which is the overdue deposit insurance premium. Additionally, with the Decision of the Board of Directors No. 02-389 dated 19.07.2021, and at the request of the NBR</w:t>
      </w:r>
      <w:r w:rsidR="005A64E7" w:rsidRPr="008E09B1">
        <w:rPr>
          <w:rFonts w:ascii="Arial" w:hAnsi="Arial" w:cs="Arial"/>
          <w:spacing w:val="-3"/>
        </w:rPr>
        <w:t>N</w:t>
      </w:r>
      <w:r w:rsidRPr="008E09B1">
        <w:rPr>
          <w:rFonts w:ascii="Arial" w:hAnsi="Arial" w:cs="Arial"/>
          <w:spacing w:val="-3"/>
        </w:rPr>
        <w:t xml:space="preserve">M, the final list with additional 4 depositors </w:t>
      </w:r>
      <w:proofErr w:type="gramStart"/>
      <w:r w:rsidRPr="008E09B1">
        <w:rPr>
          <w:rFonts w:ascii="Arial" w:hAnsi="Arial" w:cs="Arial"/>
          <w:spacing w:val="-3"/>
        </w:rPr>
        <w:t>was</w:t>
      </w:r>
      <w:proofErr w:type="gramEnd"/>
      <w:r w:rsidRPr="008E09B1">
        <w:rPr>
          <w:rFonts w:ascii="Arial" w:hAnsi="Arial" w:cs="Arial"/>
          <w:spacing w:val="-3"/>
        </w:rPr>
        <w:t xml:space="preserve"> corrected, with a total amount o</w:t>
      </w:r>
      <w:r w:rsidR="005A64E7" w:rsidRPr="008E09B1">
        <w:rPr>
          <w:rFonts w:ascii="Arial" w:hAnsi="Arial" w:cs="Arial"/>
          <w:spacing w:val="-3"/>
        </w:rPr>
        <w:t xml:space="preserve">f </w:t>
      </w:r>
      <w:r w:rsidRPr="008E09B1">
        <w:rPr>
          <w:rFonts w:ascii="Arial" w:hAnsi="Arial" w:cs="Arial"/>
          <w:spacing w:val="-3"/>
        </w:rPr>
        <w:t>2,354 thousand</w:t>
      </w:r>
      <w:r w:rsidR="005A64E7" w:rsidRPr="008E09B1">
        <w:rPr>
          <w:rFonts w:ascii="Arial" w:hAnsi="Arial" w:cs="Arial"/>
          <w:spacing w:val="-3"/>
        </w:rPr>
        <w:t xml:space="preserve"> denars</w:t>
      </w:r>
      <w:r w:rsidRPr="008E09B1">
        <w:rPr>
          <w:rFonts w:ascii="Arial" w:hAnsi="Arial" w:cs="Arial"/>
          <w:spacing w:val="-3"/>
        </w:rPr>
        <w:t xml:space="preserve">, after which the Fund's claim to </w:t>
      </w:r>
      <w:r w:rsidR="00AB38BE">
        <w:rPr>
          <w:rFonts w:ascii="Arial" w:hAnsi="Arial" w:cs="Arial"/>
          <w:spacing w:val="-3"/>
        </w:rPr>
        <w:t>“</w:t>
      </w:r>
      <w:proofErr w:type="spellStart"/>
      <w:r w:rsidRPr="008E09B1">
        <w:rPr>
          <w:rFonts w:ascii="Arial" w:hAnsi="Arial" w:cs="Arial"/>
          <w:spacing w:val="-3"/>
        </w:rPr>
        <w:t>Eurostandard</w:t>
      </w:r>
      <w:proofErr w:type="spellEnd"/>
      <w:r w:rsidRPr="008E09B1">
        <w:rPr>
          <w:rFonts w:ascii="Arial" w:hAnsi="Arial" w:cs="Arial"/>
          <w:spacing w:val="-3"/>
        </w:rPr>
        <w:t xml:space="preserve"> Bank AD Skopje”</w:t>
      </w:r>
      <w:r w:rsidR="005A64E7" w:rsidRPr="008E09B1">
        <w:rPr>
          <w:rFonts w:ascii="Arial" w:hAnsi="Arial" w:cs="Arial"/>
          <w:spacing w:val="-3"/>
        </w:rPr>
        <w:t xml:space="preserve"> </w:t>
      </w:r>
      <w:r w:rsidRPr="008E09B1">
        <w:rPr>
          <w:rFonts w:ascii="Arial" w:hAnsi="Arial" w:cs="Arial"/>
          <w:spacing w:val="-3"/>
        </w:rPr>
        <w:t>amounts to 4,180,891 thousand denars</w:t>
      </w:r>
      <w:r w:rsidRPr="003A5B21">
        <w:rPr>
          <w:rFonts w:ascii="Arial" w:hAnsi="Arial" w:cs="Arial"/>
          <w:lang w:val="mk-MK"/>
        </w:rPr>
        <w:t>.</w:t>
      </w:r>
    </w:p>
    <w:p w14:paraId="50997230" w14:textId="14F1EF52" w:rsidR="007B63BB" w:rsidRPr="008E09B1" w:rsidRDefault="007B63BB" w:rsidP="008E09B1">
      <w:pPr>
        <w:pStyle w:val="BodyText"/>
        <w:jc w:val="both"/>
        <w:rPr>
          <w:rFonts w:ascii="Arial" w:hAnsi="Arial" w:cs="Arial"/>
          <w:spacing w:val="-3"/>
          <w:lang w:val="en-US"/>
        </w:rPr>
      </w:pPr>
      <w:r w:rsidRPr="008E09B1">
        <w:rPr>
          <w:rFonts w:ascii="Arial" w:hAnsi="Arial" w:cs="Arial"/>
          <w:spacing w:val="-3"/>
          <w:lang w:val="en-US"/>
        </w:rPr>
        <w:t xml:space="preserve">Additionally, on </w:t>
      </w:r>
      <w:r w:rsidR="00AB38BE">
        <w:rPr>
          <w:rFonts w:ascii="Arial" w:hAnsi="Arial" w:cs="Arial"/>
          <w:spacing w:val="-3"/>
          <w:lang w:val="en-US"/>
        </w:rPr>
        <w:t xml:space="preserve">25 </w:t>
      </w:r>
      <w:r w:rsidRPr="008E09B1">
        <w:rPr>
          <w:rFonts w:ascii="Arial" w:hAnsi="Arial" w:cs="Arial"/>
          <w:spacing w:val="-3"/>
          <w:lang w:val="en-US"/>
        </w:rPr>
        <w:t>May  2021, the Constitutional Court of the Republic of North Macedonia, based on Articles 110 and 112 of the Constitution of the Republic of North Macedonia and Article 70 of the Rules of Procedure of the Constitutional Court of the Republic of Macedonia ("Official Gazette of the Republic of Macedonia" no. 70 / 1992 and "Official Gazette of the Republic of North Macedonia" no. 202/2019, 256/2020 and 65/2021) adopted a Decision repealing Article 163 paragraph 3 of the Law on Banks ("Official Gazette of the Republic of Macedonia" no. 67/ 2007, 90/2009, 67/2010, 26/2013, 15/2015, 153/2015, 190/2016, 7/2019 and "Official Gazette of the Republic of North Macedonia" No. 101/2019).</w:t>
      </w:r>
    </w:p>
    <w:p w14:paraId="50CE8278" w14:textId="77777777" w:rsidR="00126FCB" w:rsidRDefault="007B63BB" w:rsidP="008E09B1">
      <w:pPr>
        <w:pStyle w:val="BodyText"/>
        <w:jc w:val="both"/>
        <w:rPr>
          <w:rFonts w:ascii="Arial" w:hAnsi="Arial" w:cs="Arial"/>
          <w:spacing w:val="-3"/>
          <w:lang w:val="en-US"/>
        </w:rPr>
      </w:pPr>
      <w:r w:rsidRPr="008E09B1">
        <w:rPr>
          <w:rFonts w:ascii="Arial" w:hAnsi="Arial" w:cs="Arial"/>
          <w:spacing w:val="-3"/>
          <w:lang w:val="en-US"/>
        </w:rPr>
        <w:t>With this Decision of the Constitutional Court, the Deposit Insurance Fund lost the right to priority collection of its claim from the bankruptcy estate of the bank or savings house for which a bankruptcy or liquidation procedure has been opened.</w:t>
      </w:r>
    </w:p>
    <w:p w14:paraId="1D70204B" w14:textId="09E6E975" w:rsidR="00126FCB" w:rsidRPr="008E09B1" w:rsidRDefault="00126FCB" w:rsidP="00126FCB">
      <w:pPr>
        <w:pStyle w:val="BodyText"/>
        <w:jc w:val="both"/>
        <w:rPr>
          <w:rFonts w:ascii="Arial" w:hAnsi="Arial" w:cs="Arial"/>
          <w:spacing w:val="-3"/>
          <w:lang w:val="en-US"/>
        </w:rPr>
      </w:pPr>
      <w:r w:rsidRPr="008E09B1">
        <w:rPr>
          <w:rFonts w:ascii="Arial" w:hAnsi="Arial" w:cs="Arial"/>
          <w:spacing w:val="-3"/>
          <w:lang w:val="en-US"/>
        </w:rPr>
        <w:t xml:space="preserve">In continuation of this process, on </w:t>
      </w:r>
      <w:r w:rsidR="00AB38BE">
        <w:rPr>
          <w:rFonts w:ascii="Arial" w:hAnsi="Arial" w:cs="Arial"/>
          <w:spacing w:val="-3"/>
          <w:lang w:val="en-US"/>
        </w:rPr>
        <w:t xml:space="preserve">7 </w:t>
      </w:r>
      <w:r w:rsidRPr="008E09B1">
        <w:rPr>
          <w:rFonts w:ascii="Arial" w:hAnsi="Arial" w:cs="Arial"/>
          <w:spacing w:val="-3"/>
          <w:lang w:val="en-US"/>
        </w:rPr>
        <w:t xml:space="preserve">July 7 2021, the Constitutional Court of the Republic of North Macedonia, based on Article 110 of the Constitution of the Republic of North Macedonia, Article 28 lines 2 and 3 and Article 71 of the Rules of Procedure of the Constitutional Court of the Republic of North Macedonia ( "Official Gazette of the Republic of Macedonia" no. 70/1992 and "Official Gazette of the Republic of North Macedonia" no. 202/2019, 256/2020 and 65/2021) at the session held on </w:t>
      </w:r>
      <w:r w:rsidR="00150F49">
        <w:rPr>
          <w:rFonts w:ascii="Arial" w:hAnsi="Arial" w:cs="Arial"/>
          <w:spacing w:val="-3"/>
          <w:lang w:val="en-US"/>
        </w:rPr>
        <w:t xml:space="preserve">7 </w:t>
      </w:r>
      <w:r w:rsidRPr="008E09B1">
        <w:rPr>
          <w:rFonts w:ascii="Arial" w:hAnsi="Arial" w:cs="Arial"/>
          <w:spacing w:val="-3"/>
          <w:lang w:val="en-US"/>
        </w:rPr>
        <w:t>July 2021, adopted a Decision rejecting the initiative for assessment of the constitutionality of Article 163 paragraph 3 of the Law on Banks ("Official Gazette of the Republic of Macedonia" no. 67/2007, 90/2009, 67/2010, 26/2013, 15/2015, 153/2015, 190/2016 , 7/2019 and 101/2019) because it has already been acted upon, as well as a Decision not to initiate a procedure for assessment of the constitutionality and legality of Article 17 of the Statute of the Deposit Insurance Fund ("Official Gazette of the Republic of Macedonia" no. .46 / 2001, 68/2002, 31/2003 and 69/2003) and Decisions on amendments to the Statute of the Fund for deposit insurance, number 02-312 / 1-2011 from 22.12.2011, number 02-176/1 from 26.06.2014 and no.02-94/1 from 10.02.2015.</w:t>
      </w:r>
    </w:p>
    <w:p w14:paraId="7F388BDC" w14:textId="6A22B6DF" w:rsidR="007F0494" w:rsidRPr="00CE3053" w:rsidRDefault="007F0494" w:rsidP="008E09B1">
      <w:pPr>
        <w:pStyle w:val="BodyText"/>
        <w:jc w:val="both"/>
        <w:rPr>
          <w:rFonts w:ascii="Arial" w:hAnsi="Arial" w:cs="Arial"/>
          <w:b/>
          <w:bCs/>
          <w:color w:val="747678"/>
          <w:lang w:val="mk-MK"/>
        </w:rPr>
      </w:pPr>
      <w:r w:rsidRPr="00CE3053">
        <w:rPr>
          <w:rFonts w:ascii="Arial" w:hAnsi="Arial" w:cs="Arial"/>
          <w:b/>
          <w:bCs/>
          <w:color w:val="747678"/>
          <w:lang w:val="mk-MK"/>
        </w:rPr>
        <w:br w:type="page"/>
      </w:r>
    </w:p>
    <w:p w14:paraId="69C7C830" w14:textId="77777777" w:rsidR="007B63BB" w:rsidRDefault="007B63BB" w:rsidP="004F415F">
      <w:pPr>
        <w:spacing w:after="284" w:line="280" w:lineRule="atLeast"/>
        <w:jc w:val="both"/>
        <w:rPr>
          <w:rFonts w:ascii="Arial" w:hAnsi="Arial" w:cs="Arial"/>
          <w:b/>
          <w:bCs/>
          <w:color w:val="747678"/>
          <w:lang w:val="mk-MK"/>
        </w:rPr>
      </w:pPr>
      <w:proofErr w:type="spellStart"/>
      <w:r w:rsidRPr="007B63BB">
        <w:rPr>
          <w:rFonts w:ascii="Arial" w:hAnsi="Arial" w:cs="Arial"/>
          <w:b/>
          <w:bCs/>
          <w:color w:val="747678"/>
          <w:lang w:val="mk-MK"/>
        </w:rPr>
        <w:lastRenderedPageBreak/>
        <w:t>General</w:t>
      </w:r>
      <w:proofErr w:type="spellEnd"/>
      <w:r w:rsidRPr="007B63BB">
        <w:rPr>
          <w:rFonts w:ascii="Arial" w:hAnsi="Arial" w:cs="Arial"/>
          <w:b/>
          <w:bCs/>
          <w:color w:val="747678"/>
          <w:lang w:val="mk-MK"/>
        </w:rPr>
        <w:t xml:space="preserve"> (</w:t>
      </w:r>
      <w:proofErr w:type="spellStart"/>
      <w:r w:rsidRPr="007B63BB">
        <w:rPr>
          <w:rFonts w:ascii="Arial" w:hAnsi="Arial" w:cs="Arial"/>
          <w:b/>
          <w:bCs/>
          <w:color w:val="747678"/>
          <w:lang w:val="mk-MK"/>
        </w:rPr>
        <w:t>continued</w:t>
      </w:r>
      <w:proofErr w:type="spellEnd"/>
      <w:r w:rsidRPr="007B63BB">
        <w:rPr>
          <w:rFonts w:ascii="Arial" w:hAnsi="Arial" w:cs="Arial"/>
          <w:b/>
          <w:bCs/>
          <w:color w:val="747678"/>
          <w:lang w:val="mk-MK"/>
        </w:rPr>
        <w:t>)</w:t>
      </w:r>
    </w:p>
    <w:p w14:paraId="5C772AD2" w14:textId="1BD813BE" w:rsidR="004F415F" w:rsidRPr="008E09B1" w:rsidRDefault="00057CE3" w:rsidP="008E09B1">
      <w:pPr>
        <w:pStyle w:val="BodyText"/>
        <w:jc w:val="both"/>
        <w:rPr>
          <w:rFonts w:ascii="Arial" w:hAnsi="Arial" w:cs="Arial"/>
          <w:spacing w:val="-3"/>
          <w:lang w:val="en-US"/>
        </w:rPr>
      </w:pPr>
      <w:r w:rsidRPr="008E09B1">
        <w:rPr>
          <w:rFonts w:ascii="Arial" w:hAnsi="Arial" w:cs="Arial"/>
          <w:spacing w:val="-3"/>
          <w:lang w:val="en-US"/>
        </w:rPr>
        <w:t>With this Decision of the Constitutional Court, the Deposit Insurance Fund cannot be denied the status of a creditor, but it is indisputable that the Fund is in an equal capacity with the other creditors in the bankruptcy or liquidation procedure of a bank or savings house.</w:t>
      </w:r>
    </w:p>
    <w:p w14:paraId="55FEAC52" w14:textId="3B567351" w:rsidR="004F415F" w:rsidRPr="008E09B1" w:rsidRDefault="00057CE3" w:rsidP="008E09B1">
      <w:pPr>
        <w:pStyle w:val="BodyText"/>
        <w:jc w:val="both"/>
        <w:rPr>
          <w:rFonts w:ascii="Arial" w:hAnsi="Arial" w:cs="Arial"/>
          <w:spacing w:val="-3"/>
          <w:lang w:val="en-US"/>
        </w:rPr>
      </w:pPr>
      <w:r w:rsidRPr="008E09B1">
        <w:rPr>
          <w:rFonts w:ascii="Arial" w:hAnsi="Arial" w:cs="Arial"/>
          <w:spacing w:val="-3"/>
          <w:lang w:val="en-US"/>
        </w:rPr>
        <w:t>Until 31.12.2021, the Deposit Insurance Fund did not make any collection of its claim to "</w:t>
      </w:r>
      <w:proofErr w:type="spellStart"/>
      <w:r w:rsidRPr="008E09B1">
        <w:rPr>
          <w:rFonts w:ascii="Arial" w:hAnsi="Arial" w:cs="Arial"/>
          <w:spacing w:val="-3"/>
          <w:lang w:val="en-US"/>
        </w:rPr>
        <w:t>Eurostandard</w:t>
      </w:r>
      <w:proofErr w:type="spellEnd"/>
      <w:r w:rsidRPr="008E09B1">
        <w:rPr>
          <w:rFonts w:ascii="Arial" w:hAnsi="Arial" w:cs="Arial"/>
          <w:spacing w:val="-3"/>
          <w:lang w:val="en-US"/>
        </w:rPr>
        <w:t xml:space="preserve"> Bank" in bankruptcy</w:t>
      </w:r>
      <w:r w:rsidR="00AD2F7E" w:rsidRPr="008E09B1">
        <w:rPr>
          <w:rFonts w:ascii="Arial" w:hAnsi="Arial" w:cs="Arial"/>
          <w:spacing w:val="-3"/>
          <w:lang w:val="en-US"/>
        </w:rPr>
        <w:t>.</w:t>
      </w:r>
    </w:p>
    <w:p w14:paraId="07767A2B" w14:textId="5DE7862B" w:rsidR="00815E65" w:rsidRPr="00CE3053" w:rsidRDefault="00B62EB7" w:rsidP="00CE3053">
      <w:pPr>
        <w:pStyle w:val="Heading3"/>
        <w:numPr>
          <w:ilvl w:val="0"/>
          <w:numId w:val="21"/>
        </w:numPr>
        <w:tabs>
          <w:tab w:val="left" w:pos="360"/>
        </w:tabs>
        <w:ind w:hanging="720"/>
        <w:rPr>
          <w:rFonts w:asciiTheme="majorHAnsi" w:hAnsiTheme="majorHAnsi" w:cstheme="majorHAnsi"/>
          <w:lang w:val="mk-MK"/>
        </w:rPr>
      </w:pPr>
      <w:r>
        <w:rPr>
          <w:rFonts w:asciiTheme="majorHAnsi" w:hAnsiTheme="majorHAnsi" w:cstheme="majorHAnsi"/>
          <w:lang w:val="en-US"/>
        </w:rPr>
        <w:t>Accounting policies</w:t>
      </w:r>
    </w:p>
    <w:p w14:paraId="782BCAB8" w14:textId="000FD844" w:rsidR="009854CA" w:rsidRPr="00CE3053" w:rsidRDefault="005E7987" w:rsidP="00815E65">
      <w:pPr>
        <w:pStyle w:val="BodyText"/>
        <w:jc w:val="both"/>
        <w:rPr>
          <w:rFonts w:ascii="Arial" w:hAnsi="Arial" w:cs="Arial"/>
          <w:lang w:val="mk-MK"/>
        </w:rPr>
      </w:pPr>
      <w:proofErr w:type="spellStart"/>
      <w:r w:rsidRPr="005E7987">
        <w:rPr>
          <w:rFonts w:ascii="Arial" w:hAnsi="Arial" w:cs="Arial"/>
          <w:lang w:val="mk-MK"/>
        </w:rPr>
        <w:t>The</w:t>
      </w:r>
      <w:proofErr w:type="spellEnd"/>
      <w:r w:rsidRPr="005E7987">
        <w:rPr>
          <w:rFonts w:ascii="Arial" w:hAnsi="Arial" w:cs="Arial"/>
          <w:lang w:val="mk-MK"/>
        </w:rPr>
        <w:t xml:space="preserve"> </w:t>
      </w:r>
      <w:proofErr w:type="spellStart"/>
      <w:r w:rsidRPr="005E7987">
        <w:rPr>
          <w:rFonts w:ascii="Arial" w:hAnsi="Arial" w:cs="Arial"/>
          <w:lang w:val="mk-MK"/>
        </w:rPr>
        <w:t>principal</w:t>
      </w:r>
      <w:proofErr w:type="spellEnd"/>
      <w:r w:rsidRPr="005E7987">
        <w:rPr>
          <w:rFonts w:ascii="Arial" w:hAnsi="Arial" w:cs="Arial"/>
          <w:lang w:val="mk-MK"/>
        </w:rPr>
        <w:t xml:space="preserve"> </w:t>
      </w:r>
      <w:proofErr w:type="spellStart"/>
      <w:r w:rsidRPr="005E7987">
        <w:rPr>
          <w:rFonts w:ascii="Arial" w:hAnsi="Arial" w:cs="Arial"/>
          <w:lang w:val="mk-MK"/>
        </w:rPr>
        <w:t>accounting</w:t>
      </w:r>
      <w:proofErr w:type="spellEnd"/>
      <w:r w:rsidRPr="005E7987">
        <w:rPr>
          <w:rFonts w:ascii="Arial" w:hAnsi="Arial" w:cs="Arial"/>
          <w:lang w:val="mk-MK"/>
        </w:rPr>
        <w:t xml:space="preserve"> </w:t>
      </w:r>
      <w:proofErr w:type="spellStart"/>
      <w:r w:rsidRPr="005E7987">
        <w:rPr>
          <w:rFonts w:ascii="Arial" w:hAnsi="Arial" w:cs="Arial"/>
          <w:lang w:val="mk-MK"/>
        </w:rPr>
        <w:t>policies</w:t>
      </w:r>
      <w:proofErr w:type="spellEnd"/>
      <w:r w:rsidRPr="005E7987">
        <w:rPr>
          <w:rFonts w:ascii="Arial" w:hAnsi="Arial" w:cs="Arial"/>
          <w:lang w:val="mk-MK"/>
        </w:rPr>
        <w:t xml:space="preserve"> </w:t>
      </w:r>
      <w:proofErr w:type="spellStart"/>
      <w:r w:rsidRPr="005E7987">
        <w:rPr>
          <w:rFonts w:ascii="Arial" w:hAnsi="Arial" w:cs="Arial"/>
          <w:lang w:val="mk-MK"/>
        </w:rPr>
        <w:t>that</w:t>
      </w:r>
      <w:proofErr w:type="spellEnd"/>
      <w:r w:rsidRPr="005E7987">
        <w:rPr>
          <w:rFonts w:ascii="Arial" w:hAnsi="Arial" w:cs="Arial"/>
          <w:lang w:val="mk-MK"/>
        </w:rPr>
        <w:t xml:space="preserve"> </w:t>
      </w:r>
      <w:proofErr w:type="spellStart"/>
      <w:r w:rsidRPr="005E7987">
        <w:rPr>
          <w:rFonts w:ascii="Arial" w:hAnsi="Arial" w:cs="Arial"/>
          <w:lang w:val="mk-MK"/>
        </w:rPr>
        <w:t>were</w:t>
      </w:r>
      <w:proofErr w:type="spellEnd"/>
      <w:r w:rsidRPr="005E7987">
        <w:rPr>
          <w:rFonts w:ascii="Arial" w:hAnsi="Arial" w:cs="Arial"/>
          <w:lang w:val="mk-MK"/>
        </w:rPr>
        <w:t xml:space="preserve"> </w:t>
      </w:r>
      <w:proofErr w:type="spellStart"/>
      <w:r w:rsidRPr="005E7987">
        <w:rPr>
          <w:rFonts w:ascii="Arial" w:hAnsi="Arial" w:cs="Arial"/>
          <w:lang w:val="mk-MK"/>
        </w:rPr>
        <w:t>adopted</w:t>
      </w:r>
      <w:proofErr w:type="spellEnd"/>
      <w:r w:rsidRPr="005E7987">
        <w:rPr>
          <w:rFonts w:ascii="Arial" w:hAnsi="Arial" w:cs="Arial"/>
          <w:lang w:val="mk-MK"/>
        </w:rPr>
        <w:t xml:space="preserve"> </w:t>
      </w:r>
      <w:proofErr w:type="spellStart"/>
      <w:r w:rsidRPr="005E7987">
        <w:rPr>
          <w:rFonts w:ascii="Arial" w:hAnsi="Arial" w:cs="Arial"/>
          <w:lang w:val="mk-MK"/>
        </w:rPr>
        <w:t>in</w:t>
      </w:r>
      <w:proofErr w:type="spellEnd"/>
      <w:r w:rsidRPr="005E7987">
        <w:rPr>
          <w:rFonts w:ascii="Arial" w:hAnsi="Arial" w:cs="Arial"/>
          <w:lang w:val="mk-MK"/>
        </w:rPr>
        <w:t xml:space="preserve"> </w:t>
      </w:r>
      <w:proofErr w:type="spellStart"/>
      <w:r w:rsidRPr="005E7987">
        <w:rPr>
          <w:rFonts w:ascii="Arial" w:hAnsi="Arial" w:cs="Arial"/>
          <w:lang w:val="mk-MK"/>
        </w:rPr>
        <w:t>the</w:t>
      </w:r>
      <w:proofErr w:type="spellEnd"/>
      <w:r w:rsidRPr="005E7987">
        <w:rPr>
          <w:rFonts w:ascii="Arial" w:hAnsi="Arial" w:cs="Arial"/>
          <w:lang w:val="mk-MK"/>
        </w:rPr>
        <w:t xml:space="preserve"> </w:t>
      </w:r>
      <w:proofErr w:type="spellStart"/>
      <w:r w:rsidRPr="005E7987">
        <w:rPr>
          <w:rFonts w:ascii="Arial" w:hAnsi="Arial" w:cs="Arial"/>
          <w:lang w:val="mk-MK"/>
        </w:rPr>
        <w:t>preparation</w:t>
      </w:r>
      <w:proofErr w:type="spellEnd"/>
      <w:r w:rsidRPr="005E7987">
        <w:rPr>
          <w:rFonts w:ascii="Arial" w:hAnsi="Arial" w:cs="Arial"/>
          <w:lang w:val="mk-MK"/>
        </w:rPr>
        <w:t xml:space="preserve"> </w:t>
      </w:r>
      <w:proofErr w:type="spellStart"/>
      <w:r w:rsidRPr="005E7987">
        <w:rPr>
          <w:rFonts w:ascii="Arial" w:hAnsi="Arial" w:cs="Arial"/>
          <w:lang w:val="mk-MK"/>
        </w:rPr>
        <w:t>of</w:t>
      </w:r>
      <w:proofErr w:type="spellEnd"/>
      <w:r w:rsidRPr="005E7987">
        <w:rPr>
          <w:rFonts w:ascii="Arial" w:hAnsi="Arial" w:cs="Arial"/>
          <w:lang w:val="mk-MK"/>
        </w:rPr>
        <w:t xml:space="preserve"> </w:t>
      </w:r>
      <w:proofErr w:type="spellStart"/>
      <w:r w:rsidRPr="005E7987">
        <w:rPr>
          <w:rFonts w:ascii="Arial" w:hAnsi="Arial" w:cs="Arial"/>
          <w:lang w:val="mk-MK"/>
        </w:rPr>
        <w:t>these</w:t>
      </w:r>
      <w:proofErr w:type="spellEnd"/>
      <w:r w:rsidRPr="005E7987">
        <w:rPr>
          <w:rFonts w:ascii="Arial" w:hAnsi="Arial" w:cs="Arial"/>
          <w:lang w:val="mk-MK"/>
        </w:rPr>
        <w:t xml:space="preserve"> </w:t>
      </w:r>
      <w:proofErr w:type="spellStart"/>
      <w:r w:rsidRPr="005E7987">
        <w:rPr>
          <w:rFonts w:ascii="Arial" w:hAnsi="Arial" w:cs="Arial"/>
          <w:lang w:val="mk-MK"/>
        </w:rPr>
        <w:t>financial</w:t>
      </w:r>
      <w:proofErr w:type="spellEnd"/>
      <w:r w:rsidRPr="005E7987">
        <w:rPr>
          <w:rFonts w:ascii="Arial" w:hAnsi="Arial" w:cs="Arial"/>
          <w:lang w:val="mk-MK"/>
        </w:rPr>
        <w:t xml:space="preserve"> </w:t>
      </w:r>
      <w:proofErr w:type="spellStart"/>
      <w:r w:rsidRPr="005E7987">
        <w:rPr>
          <w:rFonts w:ascii="Arial" w:hAnsi="Arial" w:cs="Arial"/>
          <w:lang w:val="mk-MK"/>
        </w:rPr>
        <w:t>statements</w:t>
      </w:r>
      <w:proofErr w:type="spellEnd"/>
      <w:r w:rsidRPr="005E7987">
        <w:rPr>
          <w:rFonts w:ascii="Arial" w:hAnsi="Arial" w:cs="Arial"/>
          <w:lang w:val="mk-MK"/>
        </w:rPr>
        <w:t xml:space="preserve"> </w:t>
      </w:r>
      <w:proofErr w:type="spellStart"/>
      <w:r w:rsidRPr="005E7987">
        <w:rPr>
          <w:rFonts w:ascii="Arial" w:hAnsi="Arial" w:cs="Arial"/>
          <w:lang w:val="mk-MK"/>
        </w:rPr>
        <w:t>are</w:t>
      </w:r>
      <w:proofErr w:type="spellEnd"/>
      <w:r w:rsidRPr="005E7987">
        <w:rPr>
          <w:rFonts w:ascii="Arial" w:hAnsi="Arial" w:cs="Arial"/>
          <w:lang w:val="mk-MK"/>
        </w:rPr>
        <w:t xml:space="preserve"> </w:t>
      </w:r>
      <w:proofErr w:type="spellStart"/>
      <w:r w:rsidRPr="005E7987">
        <w:rPr>
          <w:rFonts w:ascii="Arial" w:hAnsi="Arial" w:cs="Arial"/>
          <w:lang w:val="mk-MK"/>
        </w:rPr>
        <w:t>set</w:t>
      </w:r>
      <w:proofErr w:type="spellEnd"/>
      <w:r w:rsidRPr="005E7987">
        <w:rPr>
          <w:rFonts w:ascii="Arial" w:hAnsi="Arial" w:cs="Arial"/>
          <w:lang w:val="mk-MK"/>
        </w:rPr>
        <w:t xml:space="preserve"> </w:t>
      </w:r>
      <w:proofErr w:type="spellStart"/>
      <w:r w:rsidRPr="005E7987">
        <w:rPr>
          <w:rFonts w:ascii="Arial" w:hAnsi="Arial" w:cs="Arial"/>
          <w:lang w:val="mk-MK"/>
        </w:rPr>
        <w:t>out</w:t>
      </w:r>
      <w:proofErr w:type="spellEnd"/>
      <w:r w:rsidRPr="005E7987">
        <w:rPr>
          <w:rFonts w:ascii="Arial" w:hAnsi="Arial" w:cs="Arial"/>
          <w:lang w:val="mk-MK"/>
        </w:rPr>
        <w:t xml:space="preserve"> </w:t>
      </w:r>
      <w:proofErr w:type="spellStart"/>
      <w:r w:rsidRPr="005E7987">
        <w:rPr>
          <w:rFonts w:ascii="Arial" w:hAnsi="Arial" w:cs="Arial"/>
          <w:lang w:val="mk-MK"/>
        </w:rPr>
        <w:t>bellow</w:t>
      </w:r>
      <w:proofErr w:type="spellEnd"/>
      <w:r w:rsidRPr="005E7987">
        <w:rPr>
          <w:rFonts w:ascii="Arial" w:hAnsi="Arial" w:cs="Arial"/>
          <w:lang w:val="mk-MK"/>
        </w:rPr>
        <w:t xml:space="preserve">. </w:t>
      </w:r>
      <w:proofErr w:type="spellStart"/>
      <w:r w:rsidRPr="005E7987">
        <w:rPr>
          <w:rFonts w:ascii="Arial" w:hAnsi="Arial" w:cs="Arial"/>
          <w:lang w:val="mk-MK"/>
        </w:rPr>
        <w:t>These</w:t>
      </w:r>
      <w:proofErr w:type="spellEnd"/>
      <w:r w:rsidRPr="005E7987">
        <w:rPr>
          <w:rFonts w:ascii="Arial" w:hAnsi="Arial" w:cs="Arial"/>
          <w:lang w:val="mk-MK"/>
        </w:rPr>
        <w:t xml:space="preserve"> </w:t>
      </w:r>
      <w:proofErr w:type="spellStart"/>
      <w:r w:rsidRPr="005E7987">
        <w:rPr>
          <w:rFonts w:ascii="Arial" w:hAnsi="Arial" w:cs="Arial"/>
          <w:lang w:val="mk-MK"/>
        </w:rPr>
        <w:t>policies</w:t>
      </w:r>
      <w:proofErr w:type="spellEnd"/>
      <w:r w:rsidRPr="005E7987">
        <w:rPr>
          <w:rFonts w:ascii="Arial" w:hAnsi="Arial" w:cs="Arial"/>
          <w:lang w:val="mk-MK"/>
        </w:rPr>
        <w:t xml:space="preserve"> </w:t>
      </w:r>
      <w:proofErr w:type="spellStart"/>
      <w:r w:rsidRPr="005E7987">
        <w:rPr>
          <w:rFonts w:ascii="Arial" w:hAnsi="Arial" w:cs="Arial"/>
          <w:lang w:val="mk-MK"/>
        </w:rPr>
        <w:t>have</w:t>
      </w:r>
      <w:proofErr w:type="spellEnd"/>
      <w:r w:rsidRPr="005E7987">
        <w:rPr>
          <w:rFonts w:ascii="Arial" w:hAnsi="Arial" w:cs="Arial"/>
          <w:lang w:val="mk-MK"/>
        </w:rPr>
        <w:t xml:space="preserve"> </w:t>
      </w:r>
      <w:proofErr w:type="spellStart"/>
      <w:r w:rsidRPr="005E7987">
        <w:rPr>
          <w:rFonts w:ascii="Arial" w:hAnsi="Arial" w:cs="Arial"/>
          <w:lang w:val="mk-MK"/>
        </w:rPr>
        <w:t>been</w:t>
      </w:r>
      <w:proofErr w:type="spellEnd"/>
      <w:r w:rsidRPr="005E7987">
        <w:rPr>
          <w:rFonts w:ascii="Arial" w:hAnsi="Arial" w:cs="Arial"/>
          <w:lang w:val="mk-MK"/>
        </w:rPr>
        <w:t xml:space="preserve"> </w:t>
      </w:r>
      <w:proofErr w:type="spellStart"/>
      <w:r w:rsidRPr="005E7987">
        <w:rPr>
          <w:rFonts w:ascii="Arial" w:hAnsi="Arial" w:cs="Arial"/>
          <w:lang w:val="mk-MK"/>
        </w:rPr>
        <w:t>consistently</w:t>
      </w:r>
      <w:proofErr w:type="spellEnd"/>
      <w:r w:rsidRPr="005E7987">
        <w:rPr>
          <w:rFonts w:ascii="Arial" w:hAnsi="Arial" w:cs="Arial"/>
          <w:lang w:val="mk-MK"/>
        </w:rPr>
        <w:t xml:space="preserve"> </w:t>
      </w:r>
      <w:proofErr w:type="spellStart"/>
      <w:r w:rsidRPr="005E7987">
        <w:rPr>
          <w:rFonts w:ascii="Arial" w:hAnsi="Arial" w:cs="Arial"/>
          <w:lang w:val="mk-MK"/>
        </w:rPr>
        <w:t>applied</w:t>
      </w:r>
      <w:proofErr w:type="spellEnd"/>
      <w:r w:rsidRPr="005E7987">
        <w:rPr>
          <w:rFonts w:ascii="Arial" w:hAnsi="Arial" w:cs="Arial"/>
          <w:lang w:val="mk-MK"/>
        </w:rPr>
        <w:t xml:space="preserve"> </w:t>
      </w:r>
      <w:proofErr w:type="spellStart"/>
      <w:r w:rsidRPr="005E7987">
        <w:rPr>
          <w:rFonts w:ascii="Arial" w:hAnsi="Arial" w:cs="Arial"/>
          <w:lang w:val="mk-MK"/>
        </w:rPr>
        <w:t>to</w:t>
      </w:r>
      <w:proofErr w:type="spellEnd"/>
      <w:r w:rsidRPr="005E7987">
        <w:rPr>
          <w:rFonts w:ascii="Arial" w:hAnsi="Arial" w:cs="Arial"/>
          <w:lang w:val="mk-MK"/>
        </w:rPr>
        <w:t xml:space="preserve"> </w:t>
      </w:r>
      <w:proofErr w:type="spellStart"/>
      <w:r w:rsidRPr="005E7987">
        <w:rPr>
          <w:rFonts w:ascii="Arial" w:hAnsi="Arial" w:cs="Arial"/>
          <w:lang w:val="mk-MK"/>
        </w:rPr>
        <w:t>all</w:t>
      </w:r>
      <w:proofErr w:type="spellEnd"/>
      <w:r w:rsidRPr="005E7987">
        <w:rPr>
          <w:rFonts w:ascii="Arial" w:hAnsi="Arial" w:cs="Arial"/>
          <w:lang w:val="mk-MK"/>
        </w:rPr>
        <w:t xml:space="preserve"> </w:t>
      </w:r>
      <w:proofErr w:type="spellStart"/>
      <w:r w:rsidRPr="005E7987">
        <w:rPr>
          <w:rFonts w:ascii="Arial" w:hAnsi="Arial" w:cs="Arial"/>
          <w:lang w:val="mk-MK"/>
        </w:rPr>
        <w:t>the</w:t>
      </w:r>
      <w:proofErr w:type="spellEnd"/>
      <w:r w:rsidRPr="005E7987">
        <w:rPr>
          <w:rFonts w:ascii="Arial" w:hAnsi="Arial" w:cs="Arial"/>
          <w:lang w:val="mk-MK"/>
        </w:rPr>
        <w:t xml:space="preserve"> </w:t>
      </w:r>
      <w:proofErr w:type="spellStart"/>
      <w:r w:rsidRPr="005E7987">
        <w:rPr>
          <w:rFonts w:ascii="Arial" w:hAnsi="Arial" w:cs="Arial"/>
          <w:lang w:val="mk-MK"/>
        </w:rPr>
        <w:t>years</w:t>
      </w:r>
      <w:proofErr w:type="spellEnd"/>
      <w:r w:rsidRPr="005E7987">
        <w:rPr>
          <w:rFonts w:ascii="Arial" w:hAnsi="Arial" w:cs="Arial"/>
          <w:lang w:val="mk-MK"/>
        </w:rPr>
        <w:t xml:space="preserve"> </w:t>
      </w:r>
      <w:proofErr w:type="spellStart"/>
      <w:r w:rsidRPr="005E7987">
        <w:rPr>
          <w:rFonts w:ascii="Arial" w:hAnsi="Arial" w:cs="Arial"/>
          <w:lang w:val="mk-MK"/>
        </w:rPr>
        <w:t>presented</w:t>
      </w:r>
      <w:proofErr w:type="spellEnd"/>
      <w:r w:rsidRPr="005E7987">
        <w:rPr>
          <w:rFonts w:ascii="Arial" w:hAnsi="Arial" w:cs="Arial"/>
          <w:lang w:val="mk-MK"/>
        </w:rPr>
        <w:t xml:space="preserve">, </w:t>
      </w:r>
      <w:proofErr w:type="spellStart"/>
      <w:r w:rsidRPr="005E7987">
        <w:rPr>
          <w:rFonts w:ascii="Arial" w:hAnsi="Arial" w:cs="Arial"/>
          <w:lang w:val="mk-MK"/>
        </w:rPr>
        <w:t>unless</w:t>
      </w:r>
      <w:proofErr w:type="spellEnd"/>
      <w:r w:rsidRPr="005E7987">
        <w:rPr>
          <w:rFonts w:ascii="Arial" w:hAnsi="Arial" w:cs="Arial"/>
          <w:lang w:val="mk-MK"/>
        </w:rPr>
        <w:t xml:space="preserve"> </w:t>
      </w:r>
      <w:proofErr w:type="spellStart"/>
      <w:r w:rsidRPr="005E7987">
        <w:rPr>
          <w:rFonts w:ascii="Arial" w:hAnsi="Arial" w:cs="Arial"/>
          <w:lang w:val="mk-MK"/>
        </w:rPr>
        <w:t>otherwise</w:t>
      </w:r>
      <w:proofErr w:type="spellEnd"/>
      <w:r w:rsidRPr="005E7987">
        <w:rPr>
          <w:rFonts w:ascii="Arial" w:hAnsi="Arial" w:cs="Arial"/>
          <w:lang w:val="mk-MK"/>
        </w:rPr>
        <w:t xml:space="preserve"> </w:t>
      </w:r>
      <w:proofErr w:type="spellStart"/>
      <w:r w:rsidRPr="005E7987">
        <w:rPr>
          <w:rFonts w:ascii="Arial" w:hAnsi="Arial" w:cs="Arial"/>
          <w:lang w:val="mk-MK"/>
        </w:rPr>
        <w:t>stated</w:t>
      </w:r>
      <w:proofErr w:type="spellEnd"/>
      <w:r w:rsidRPr="005E7987">
        <w:rPr>
          <w:rFonts w:ascii="Arial" w:hAnsi="Arial" w:cs="Arial"/>
          <w:lang w:val="mk-MK"/>
        </w:rPr>
        <w:t>.</w:t>
      </w:r>
    </w:p>
    <w:p w14:paraId="3CD0A887" w14:textId="6DFC6B85" w:rsidR="00815E65" w:rsidRPr="00CE3053" w:rsidRDefault="005E7987" w:rsidP="0061511C">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Pr>
          <w:rFonts w:ascii="Arial" w:hAnsi="Arial" w:cs="Arial"/>
          <w:b/>
          <w:color w:val="4F2D7F"/>
          <w:sz w:val="18"/>
          <w:lang w:val="en-US"/>
        </w:rPr>
        <w:t>Basis of preparation of the financial statements</w:t>
      </w:r>
    </w:p>
    <w:p w14:paraId="219938A8" w14:textId="27ECFEAB" w:rsidR="005E7987" w:rsidRPr="005E7987" w:rsidRDefault="005E7987" w:rsidP="005E7987">
      <w:pPr>
        <w:pStyle w:val="BodyText"/>
        <w:jc w:val="both"/>
        <w:rPr>
          <w:rFonts w:ascii="Arial" w:hAnsi="Arial" w:cs="Arial"/>
          <w:spacing w:val="-3"/>
          <w:lang w:val="en-US"/>
        </w:rPr>
      </w:pPr>
      <w:r w:rsidRPr="005E7987">
        <w:rPr>
          <w:rFonts w:ascii="Arial" w:hAnsi="Arial" w:cs="Arial"/>
          <w:spacing w:val="-3"/>
          <w:lang w:val="en-US"/>
        </w:rPr>
        <w:t>These financial statements are prepared in accordance with the Rulebook on Accounting (“Official Gazette of RM” no. 159 from 29 December 20</w:t>
      </w:r>
      <w:r>
        <w:rPr>
          <w:rFonts w:ascii="Arial" w:hAnsi="Arial" w:cs="Arial"/>
          <w:spacing w:val="-3"/>
          <w:lang w:val="en-US"/>
        </w:rPr>
        <w:t>09</w:t>
      </w:r>
      <w:r w:rsidRPr="005E7987">
        <w:rPr>
          <w:rFonts w:ascii="Arial" w:hAnsi="Arial" w:cs="Arial"/>
          <w:spacing w:val="-3"/>
          <w:lang w:val="en-US"/>
        </w:rPr>
        <w:t xml:space="preserve">, no. 164 from 2010 and 107 from 2011). </w:t>
      </w:r>
      <w:proofErr w:type="spellStart"/>
      <w:r w:rsidRPr="005E7987">
        <w:rPr>
          <w:rFonts w:ascii="Arial" w:hAnsi="Arial" w:cs="Arial"/>
          <w:spacing w:val="-3"/>
          <w:lang w:val="en-US"/>
        </w:rPr>
        <w:t>Тhis</w:t>
      </w:r>
      <w:proofErr w:type="spellEnd"/>
      <w:r w:rsidRPr="005E7987">
        <w:rPr>
          <w:rFonts w:ascii="Arial" w:hAnsi="Arial" w:cs="Arial"/>
          <w:spacing w:val="-3"/>
          <w:lang w:val="en-US"/>
        </w:rPr>
        <w:t xml:space="preserve"> Rulebook prescribes accounting in accordance with the International Financial Reporting Standards (IFRS), including Standing Interpretation Committee (SIC) and International Financial Reporting Interpretations Committee (IFRIC) issued by International Accounting Standards Board (IASB) on 1 January 2009.</w:t>
      </w:r>
    </w:p>
    <w:p w14:paraId="0112B248" w14:textId="50F80208" w:rsidR="00815E65" w:rsidRPr="001E6526" w:rsidRDefault="005E7987" w:rsidP="005E7987">
      <w:pPr>
        <w:pStyle w:val="BodyText"/>
        <w:jc w:val="both"/>
        <w:rPr>
          <w:rFonts w:ascii="Arial" w:hAnsi="Arial" w:cs="Arial"/>
          <w:lang w:val="mk-MK"/>
        </w:rPr>
      </w:pPr>
      <w:proofErr w:type="spellStart"/>
      <w:r w:rsidRPr="005E7987">
        <w:rPr>
          <w:rFonts w:ascii="Arial" w:hAnsi="Arial" w:cs="Arial"/>
          <w:lang w:val="mk-MK"/>
        </w:rPr>
        <w:t>The</w:t>
      </w:r>
      <w:proofErr w:type="spellEnd"/>
      <w:r w:rsidRPr="005E7987">
        <w:rPr>
          <w:rFonts w:ascii="Arial" w:hAnsi="Arial" w:cs="Arial"/>
          <w:lang w:val="mk-MK"/>
        </w:rPr>
        <w:t xml:space="preserve"> </w:t>
      </w:r>
      <w:proofErr w:type="spellStart"/>
      <w:r w:rsidRPr="005E7987">
        <w:rPr>
          <w:rFonts w:ascii="Arial" w:hAnsi="Arial" w:cs="Arial"/>
          <w:lang w:val="mk-MK"/>
        </w:rPr>
        <w:t>financial</w:t>
      </w:r>
      <w:proofErr w:type="spellEnd"/>
      <w:r w:rsidRPr="005E7987">
        <w:rPr>
          <w:rFonts w:ascii="Arial" w:hAnsi="Arial" w:cs="Arial"/>
          <w:lang w:val="mk-MK"/>
        </w:rPr>
        <w:t xml:space="preserve"> </w:t>
      </w:r>
      <w:proofErr w:type="spellStart"/>
      <w:r w:rsidRPr="005E7987">
        <w:rPr>
          <w:rFonts w:ascii="Arial" w:hAnsi="Arial" w:cs="Arial"/>
          <w:lang w:val="mk-MK"/>
        </w:rPr>
        <w:t>statements</w:t>
      </w:r>
      <w:proofErr w:type="spellEnd"/>
      <w:r w:rsidRPr="005E7987">
        <w:rPr>
          <w:rFonts w:ascii="Arial" w:hAnsi="Arial" w:cs="Arial"/>
          <w:lang w:val="mk-MK"/>
        </w:rPr>
        <w:t xml:space="preserve"> </w:t>
      </w:r>
      <w:proofErr w:type="spellStart"/>
      <w:r w:rsidRPr="005E7987">
        <w:rPr>
          <w:rFonts w:ascii="Arial" w:hAnsi="Arial" w:cs="Arial"/>
          <w:lang w:val="mk-MK"/>
        </w:rPr>
        <w:t>have</w:t>
      </w:r>
      <w:proofErr w:type="spellEnd"/>
      <w:r w:rsidRPr="005E7987">
        <w:rPr>
          <w:rFonts w:ascii="Arial" w:hAnsi="Arial" w:cs="Arial"/>
          <w:lang w:val="mk-MK"/>
        </w:rPr>
        <w:t xml:space="preserve"> </w:t>
      </w:r>
      <w:proofErr w:type="spellStart"/>
      <w:r w:rsidRPr="005E7987">
        <w:rPr>
          <w:rFonts w:ascii="Arial" w:hAnsi="Arial" w:cs="Arial"/>
          <w:lang w:val="mk-MK"/>
        </w:rPr>
        <w:t>been</w:t>
      </w:r>
      <w:proofErr w:type="spellEnd"/>
      <w:r w:rsidRPr="005E7987">
        <w:rPr>
          <w:rFonts w:ascii="Arial" w:hAnsi="Arial" w:cs="Arial"/>
          <w:lang w:val="mk-MK"/>
        </w:rPr>
        <w:t xml:space="preserve"> </w:t>
      </w:r>
      <w:proofErr w:type="spellStart"/>
      <w:r w:rsidRPr="005E7987">
        <w:rPr>
          <w:rFonts w:ascii="Arial" w:hAnsi="Arial" w:cs="Arial"/>
          <w:lang w:val="mk-MK"/>
        </w:rPr>
        <w:t>prepared</w:t>
      </w:r>
      <w:proofErr w:type="spellEnd"/>
      <w:r w:rsidRPr="005E7987">
        <w:rPr>
          <w:rFonts w:ascii="Arial" w:hAnsi="Arial" w:cs="Arial"/>
          <w:lang w:val="mk-MK"/>
        </w:rPr>
        <w:t xml:space="preserve"> </w:t>
      </w:r>
      <w:proofErr w:type="spellStart"/>
      <w:r w:rsidRPr="005E7987">
        <w:rPr>
          <w:rFonts w:ascii="Arial" w:hAnsi="Arial" w:cs="Arial"/>
          <w:lang w:val="mk-MK"/>
        </w:rPr>
        <w:t>on</w:t>
      </w:r>
      <w:proofErr w:type="spellEnd"/>
      <w:r w:rsidRPr="005E7987">
        <w:rPr>
          <w:rFonts w:ascii="Arial" w:hAnsi="Arial" w:cs="Arial"/>
          <w:lang w:val="mk-MK"/>
        </w:rPr>
        <w:t xml:space="preserve"> </w:t>
      </w:r>
      <w:proofErr w:type="spellStart"/>
      <w:r w:rsidRPr="005E7987">
        <w:rPr>
          <w:rFonts w:ascii="Arial" w:hAnsi="Arial" w:cs="Arial"/>
          <w:lang w:val="mk-MK"/>
        </w:rPr>
        <w:t>the</w:t>
      </w:r>
      <w:proofErr w:type="spellEnd"/>
      <w:r w:rsidRPr="005E7987">
        <w:rPr>
          <w:rFonts w:ascii="Arial" w:hAnsi="Arial" w:cs="Arial"/>
          <w:lang w:val="mk-MK"/>
        </w:rPr>
        <w:t xml:space="preserve"> </w:t>
      </w:r>
      <w:proofErr w:type="spellStart"/>
      <w:r w:rsidRPr="005E7987">
        <w:rPr>
          <w:rFonts w:ascii="Arial" w:hAnsi="Arial" w:cs="Arial"/>
          <w:lang w:val="mk-MK"/>
        </w:rPr>
        <w:t>historical</w:t>
      </w:r>
      <w:proofErr w:type="spellEnd"/>
      <w:r w:rsidRPr="005E7987">
        <w:rPr>
          <w:rFonts w:ascii="Arial" w:hAnsi="Arial" w:cs="Arial"/>
          <w:lang w:val="mk-MK"/>
        </w:rPr>
        <w:t xml:space="preserve"> </w:t>
      </w:r>
      <w:proofErr w:type="spellStart"/>
      <w:r w:rsidRPr="005E7987">
        <w:rPr>
          <w:rFonts w:ascii="Arial" w:hAnsi="Arial" w:cs="Arial"/>
          <w:lang w:val="mk-MK"/>
        </w:rPr>
        <w:t>cost</w:t>
      </w:r>
      <w:proofErr w:type="spellEnd"/>
      <w:r w:rsidRPr="005E7987">
        <w:rPr>
          <w:rFonts w:ascii="Arial" w:hAnsi="Arial" w:cs="Arial"/>
          <w:lang w:val="mk-MK"/>
        </w:rPr>
        <w:t xml:space="preserve"> </w:t>
      </w:r>
      <w:proofErr w:type="spellStart"/>
      <w:r w:rsidRPr="005E7987">
        <w:rPr>
          <w:rFonts w:ascii="Arial" w:hAnsi="Arial" w:cs="Arial"/>
          <w:lang w:val="mk-MK"/>
        </w:rPr>
        <w:t>basis</w:t>
      </w:r>
      <w:proofErr w:type="spellEnd"/>
      <w:r w:rsidRPr="005E7987">
        <w:rPr>
          <w:rFonts w:ascii="Arial" w:hAnsi="Arial" w:cs="Arial"/>
          <w:lang w:val="mk-MK"/>
        </w:rPr>
        <w:t xml:space="preserve"> </w:t>
      </w:r>
      <w:proofErr w:type="spellStart"/>
      <w:r w:rsidRPr="005E7987">
        <w:rPr>
          <w:rFonts w:ascii="Arial" w:hAnsi="Arial" w:cs="Arial"/>
          <w:lang w:val="mk-MK"/>
        </w:rPr>
        <w:t>except</w:t>
      </w:r>
      <w:proofErr w:type="spellEnd"/>
      <w:r w:rsidRPr="005E7987">
        <w:rPr>
          <w:rFonts w:ascii="Arial" w:hAnsi="Arial" w:cs="Arial"/>
          <w:lang w:val="mk-MK"/>
        </w:rPr>
        <w:t xml:space="preserve"> </w:t>
      </w:r>
      <w:proofErr w:type="spellStart"/>
      <w:r w:rsidRPr="005E7987">
        <w:rPr>
          <w:rFonts w:ascii="Arial" w:hAnsi="Arial" w:cs="Arial"/>
          <w:lang w:val="mk-MK"/>
        </w:rPr>
        <w:t>for</w:t>
      </w:r>
      <w:proofErr w:type="spellEnd"/>
      <w:r w:rsidRPr="005E7987">
        <w:rPr>
          <w:rFonts w:ascii="Arial" w:hAnsi="Arial" w:cs="Arial"/>
          <w:lang w:val="mk-MK"/>
        </w:rPr>
        <w:t xml:space="preserve"> </w:t>
      </w:r>
      <w:proofErr w:type="spellStart"/>
      <w:r w:rsidRPr="005E7987">
        <w:rPr>
          <w:rFonts w:ascii="Arial" w:hAnsi="Arial" w:cs="Arial"/>
          <w:lang w:val="mk-MK"/>
        </w:rPr>
        <w:t>the</w:t>
      </w:r>
      <w:proofErr w:type="spellEnd"/>
      <w:r w:rsidRPr="005E7987">
        <w:rPr>
          <w:rFonts w:ascii="Arial" w:hAnsi="Arial" w:cs="Arial"/>
          <w:lang w:val="mk-MK"/>
        </w:rPr>
        <w:t xml:space="preserve"> </w:t>
      </w:r>
      <w:proofErr w:type="spellStart"/>
      <w:r w:rsidRPr="005E7987">
        <w:rPr>
          <w:rFonts w:ascii="Arial" w:hAnsi="Arial" w:cs="Arial"/>
          <w:lang w:val="mk-MK"/>
        </w:rPr>
        <w:t>following</w:t>
      </w:r>
      <w:proofErr w:type="spellEnd"/>
      <w:r w:rsidR="00815E65" w:rsidRPr="001E6526">
        <w:rPr>
          <w:rFonts w:ascii="Arial" w:hAnsi="Arial" w:cs="Arial"/>
          <w:lang w:val="mk-MK"/>
        </w:rPr>
        <w:t xml:space="preserve">: </w:t>
      </w:r>
    </w:p>
    <w:p w14:paraId="454E1B58" w14:textId="47F401E2" w:rsidR="00815E65" w:rsidRPr="001E6526" w:rsidRDefault="006952D0" w:rsidP="0061511C">
      <w:pPr>
        <w:pStyle w:val="BodyTextIndent2"/>
        <w:numPr>
          <w:ilvl w:val="0"/>
          <w:numId w:val="24"/>
        </w:numPr>
        <w:autoSpaceDE w:val="0"/>
        <w:autoSpaceDN w:val="0"/>
        <w:adjustRightInd w:val="0"/>
        <w:spacing w:before="120" w:line="240" w:lineRule="atLeast"/>
        <w:jc w:val="both"/>
        <w:rPr>
          <w:rFonts w:ascii="Arial" w:hAnsi="Arial" w:cs="Arial"/>
          <w:lang w:val="mk-MK"/>
        </w:rPr>
      </w:pPr>
      <w:r>
        <w:rPr>
          <w:rFonts w:ascii="Arial" w:hAnsi="Arial" w:cs="Arial"/>
        </w:rPr>
        <w:t>f</w:t>
      </w:r>
      <w:proofErr w:type="spellStart"/>
      <w:r w:rsidRPr="006952D0">
        <w:rPr>
          <w:rFonts w:ascii="Arial" w:hAnsi="Arial" w:cs="Arial"/>
          <w:lang w:val="mk-MK"/>
        </w:rPr>
        <w:t>inancial</w:t>
      </w:r>
      <w:proofErr w:type="spellEnd"/>
      <w:r w:rsidRPr="006952D0">
        <w:rPr>
          <w:rFonts w:ascii="Arial" w:hAnsi="Arial" w:cs="Arial"/>
          <w:lang w:val="mk-MK"/>
        </w:rPr>
        <w:t xml:space="preserve"> </w:t>
      </w:r>
      <w:proofErr w:type="spellStart"/>
      <w:r w:rsidRPr="006952D0">
        <w:rPr>
          <w:rFonts w:ascii="Arial" w:hAnsi="Arial" w:cs="Arial"/>
          <w:lang w:val="mk-MK"/>
        </w:rPr>
        <w:t>instruments</w:t>
      </w:r>
      <w:proofErr w:type="spellEnd"/>
      <w:r w:rsidRPr="006952D0">
        <w:rPr>
          <w:rFonts w:ascii="Arial" w:hAnsi="Arial" w:cs="Arial"/>
          <w:lang w:val="mk-MK"/>
        </w:rPr>
        <w:t xml:space="preserve"> </w:t>
      </w:r>
      <w:proofErr w:type="spellStart"/>
      <w:r w:rsidRPr="006952D0">
        <w:rPr>
          <w:rFonts w:ascii="Arial" w:hAnsi="Arial" w:cs="Arial"/>
          <w:lang w:val="mk-MK"/>
        </w:rPr>
        <w:t>at</w:t>
      </w:r>
      <w:proofErr w:type="spellEnd"/>
      <w:r w:rsidRPr="006952D0">
        <w:rPr>
          <w:rFonts w:ascii="Arial" w:hAnsi="Arial" w:cs="Arial"/>
          <w:lang w:val="mk-MK"/>
        </w:rPr>
        <w:t xml:space="preserve"> </w:t>
      </w:r>
      <w:proofErr w:type="spellStart"/>
      <w:r w:rsidRPr="006952D0">
        <w:rPr>
          <w:rFonts w:ascii="Arial" w:hAnsi="Arial" w:cs="Arial"/>
          <w:lang w:val="mk-MK"/>
        </w:rPr>
        <w:t>fair</w:t>
      </w:r>
      <w:proofErr w:type="spellEnd"/>
      <w:r w:rsidRPr="006952D0">
        <w:rPr>
          <w:rFonts w:ascii="Arial" w:hAnsi="Arial" w:cs="Arial"/>
          <w:lang w:val="mk-MK"/>
        </w:rPr>
        <w:t xml:space="preserve"> </w:t>
      </w:r>
      <w:proofErr w:type="spellStart"/>
      <w:r w:rsidRPr="006952D0">
        <w:rPr>
          <w:rFonts w:ascii="Arial" w:hAnsi="Arial" w:cs="Arial"/>
          <w:lang w:val="mk-MK"/>
        </w:rPr>
        <w:t>value</w:t>
      </w:r>
      <w:proofErr w:type="spellEnd"/>
      <w:r w:rsidRPr="006952D0">
        <w:rPr>
          <w:rFonts w:ascii="Arial" w:hAnsi="Arial" w:cs="Arial"/>
          <w:lang w:val="mk-MK"/>
        </w:rPr>
        <w:t xml:space="preserve"> </w:t>
      </w:r>
      <w:proofErr w:type="spellStart"/>
      <w:r w:rsidRPr="006952D0">
        <w:rPr>
          <w:rFonts w:ascii="Arial" w:hAnsi="Arial" w:cs="Arial"/>
          <w:lang w:val="mk-MK"/>
        </w:rPr>
        <w:t>through</w:t>
      </w:r>
      <w:proofErr w:type="spellEnd"/>
      <w:r w:rsidRPr="006952D0">
        <w:rPr>
          <w:rFonts w:ascii="Arial" w:hAnsi="Arial" w:cs="Arial"/>
          <w:lang w:val="mk-MK"/>
        </w:rPr>
        <w:t xml:space="preserve"> </w:t>
      </w:r>
      <w:proofErr w:type="spellStart"/>
      <w:r w:rsidRPr="006952D0">
        <w:rPr>
          <w:rFonts w:ascii="Arial" w:hAnsi="Arial" w:cs="Arial"/>
          <w:lang w:val="mk-MK"/>
        </w:rPr>
        <w:t>profit</w:t>
      </w:r>
      <w:proofErr w:type="spellEnd"/>
      <w:r w:rsidRPr="006952D0">
        <w:rPr>
          <w:rFonts w:ascii="Arial" w:hAnsi="Arial" w:cs="Arial"/>
          <w:lang w:val="mk-MK"/>
        </w:rPr>
        <w:t xml:space="preserve"> </w:t>
      </w:r>
      <w:proofErr w:type="spellStart"/>
      <w:r w:rsidRPr="006952D0">
        <w:rPr>
          <w:rFonts w:ascii="Arial" w:hAnsi="Arial" w:cs="Arial"/>
          <w:lang w:val="mk-MK"/>
        </w:rPr>
        <w:t>or</w:t>
      </w:r>
      <w:proofErr w:type="spellEnd"/>
      <w:r w:rsidRPr="006952D0">
        <w:rPr>
          <w:rFonts w:ascii="Arial" w:hAnsi="Arial" w:cs="Arial"/>
          <w:lang w:val="mk-MK"/>
        </w:rPr>
        <w:t xml:space="preserve"> </w:t>
      </w:r>
      <w:proofErr w:type="spellStart"/>
      <w:r w:rsidRPr="006952D0">
        <w:rPr>
          <w:rFonts w:ascii="Arial" w:hAnsi="Arial" w:cs="Arial"/>
          <w:lang w:val="mk-MK"/>
        </w:rPr>
        <w:t>loss</w:t>
      </w:r>
      <w:proofErr w:type="spellEnd"/>
      <w:r>
        <w:rPr>
          <w:rFonts w:ascii="Arial" w:hAnsi="Arial" w:cs="Arial"/>
        </w:rPr>
        <w:t>, which</w:t>
      </w:r>
      <w:r w:rsidRPr="006952D0">
        <w:rPr>
          <w:rFonts w:ascii="Arial" w:hAnsi="Arial" w:cs="Arial"/>
          <w:lang w:val="mk-MK"/>
        </w:rPr>
        <w:t xml:space="preserve"> </w:t>
      </w:r>
      <w:proofErr w:type="spellStart"/>
      <w:r w:rsidRPr="006952D0">
        <w:rPr>
          <w:rFonts w:ascii="Arial" w:hAnsi="Arial" w:cs="Arial"/>
          <w:lang w:val="mk-MK"/>
        </w:rPr>
        <w:t>are</w:t>
      </w:r>
      <w:proofErr w:type="spellEnd"/>
      <w:r w:rsidRPr="006952D0">
        <w:rPr>
          <w:rFonts w:ascii="Arial" w:hAnsi="Arial" w:cs="Arial"/>
          <w:lang w:val="mk-MK"/>
        </w:rPr>
        <w:t xml:space="preserve"> </w:t>
      </w:r>
      <w:proofErr w:type="spellStart"/>
      <w:r w:rsidRPr="006952D0">
        <w:rPr>
          <w:rFonts w:ascii="Arial" w:hAnsi="Arial" w:cs="Arial"/>
          <w:lang w:val="mk-MK"/>
        </w:rPr>
        <w:t>measured</w:t>
      </w:r>
      <w:proofErr w:type="spellEnd"/>
      <w:r w:rsidRPr="006952D0">
        <w:rPr>
          <w:rFonts w:ascii="Arial" w:hAnsi="Arial" w:cs="Arial"/>
          <w:lang w:val="mk-MK"/>
        </w:rPr>
        <w:t xml:space="preserve"> </w:t>
      </w:r>
      <w:proofErr w:type="spellStart"/>
      <w:r w:rsidRPr="006952D0">
        <w:rPr>
          <w:rFonts w:ascii="Arial" w:hAnsi="Arial" w:cs="Arial"/>
          <w:lang w:val="mk-MK"/>
        </w:rPr>
        <w:t>at</w:t>
      </w:r>
      <w:proofErr w:type="spellEnd"/>
      <w:r w:rsidRPr="006952D0">
        <w:rPr>
          <w:rFonts w:ascii="Arial" w:hAnsi="Arial" w:cs="Arial"/>
          <w:lang w:val="mk-MK"/>
        </w:rPr>
        <w:t xml:space="preserve"> </w:t>
      </w:r>
      <w:proofErr w:type="spellStart"/>
      <w:r w:rsidRPr="006952D0">
        <w:rPr>
          <w:rFonts w:ascii="Arial" w:hAnsi="Arial" w:cs="Arial"/>
          <w:lang w:val="mk-MK"/>
        </w:rPr>
        <w:t>fair</w:t>
      </w:r>
      <w:proofErr w:type="spellEnd"/>
      <w:r w:rsidRPr="006952D0">
        <w:rPr>
          <w:rFonts w:ascii="Arial" w:hAnsi="Arial" w:cs="Arial"/>
          <w:lang w:val="mk-MK"/>
        </w:rPr>
        <w:t xml:space="preserve"> </w:t>
      </w:r>
      <w:proofErr w:type="spellStart"/>
      <w:r w:rsidRPr="006952D0">
        <w:rPr>
          <w:rFonts w:ascii="Arial" w:hAnsi="Arial" w:cs="Arial"/>
          <w:lang w:val="mk-MK"/>
        </w:rPr>
        <w:t>value</w:t>
      </w:r>
      <w:proofErr w:type="spellEnd"/>
      <w:r w:rsidR="00815E65" w:rsidRPr="001E6526">
        <w:rPr>
          <w:rFonts w:ascii="Arial" w:hAnsi="Arial" w:cs="Arial"/>
          <w:lang w:val="mk-MK"/>
        </w:rPr>
        <w:t xml:space="preserve">; </w:t>
      </w:r>
      <w:r>
        <w:rPr>
          <w:rFonts w:ascii="Arial" w:hAnsi="Arial" w:cs="Arial"/>
        </w:rPr>
        <w:t>and</w:t>
      </w:r>
    </w:p>
    <w:p w14:paraId="607BD8BB" w14:textId="4FD6C65C" w:rsidR="00815E65" w:rsidRPr="00CE3053" w:rsidRDefault="006952D0" w:rsidP="0025712C">
      <w:pPr>
        <w:pStyle w:val="BodyText"/>
        <w:numPr>
          <w:ilvl w:val="0"/>
          <w:numId w:val="24"/>
        </w:numPr>
        <w:spacing w:afterLines="100" w:after="240" w:line="280" w:lineRule="atLeast"/>
        <w:jc w:val="both"/>
        <w:rPr>
          <w:rFonts w:ascii="Arial" w:hAnsi="Arial" w:cs="Arial"/>
          <w:lang w:val="mk-MK"/>
        </w:rPr>
      </w:pPr>
      <w:proofErr w:type="spellStart"/>
      <w:r w:rsidRPr="006952D0">
        <w:rPr>
          <w:rFonts w:ascii="Arial" w:hAnsi="Arial" w:cs="Arial"/>
          <w:lang w:val="mk-MK"/>
        </w:rPr>
        <w:t>available-for-sale</w:t>
      </w:r>
      <w:proofErr w:type="spellEnd"/>
      <w:r w:rsidRPr="006952D0">
        <w:rPr>
          <w:rFonts w:ascii="Arial" w:hAnsi="Arial" w:cs="Arial"/>
          <w:lang w:val="mk-MK"/>
        </w:rPr>
        <w:t xml:space="preserve"> </w:t>
      </w:r>
      <w:proofErr w:type="spellStart"/>
      <w:r w:rsidRPr="006952D0">
        <w:rPr>
          <w:rFonts w:ascii="Arial" w:hAnsi="Arial" w:cs="Arial"/>
          <w:lang w:val="mk-MK"/>
        </w:rPr>
        <w:t>financial</w:t>
      </w:r>
      <w:proofErr w:type="spellEnd"/>
      <w:r w:rsidRPr="006952D0">
        <w:rPr>
          <w:rFonts w:ascii="Arial" w:hAnsi="Arial" w:cs="Arial"/>
          <w:lang w:val="mk-MK"/>
        </w:rPr>
        <w:t xml:space="preserve"> </w:t>
      </w:r>
      <w:proofErr w:type="spellStart"/>
      <w:r w:rsidRPr="006952D0">
        <w:rPr>
          <w:rFonts w:ascii="Arial" w:hAnsi="Arial" w:cs="Arial"/>
          <w:lang w:val="mk-MK"/>
        </w:rPr>
        <w:t>assets</w:t>
      </w:r>
      <w:proofErr w:type="spellEnd"/>
      <w:r w:rsidRPr="006952D0">
        <w:rPr>
          <w:rFonts w:ascii="Arial" w:hAnsi="Arial" w:cs="Arial"/>
          <w:lang w:val="mk-MK"/>
        </w:rPr>
        <w:t xml:space="preserve"> </w:t>
      </w:r>
      <w:proofErr w:type="spellStart"/>
      <w:r w:rsidRPr="006952D0">
        <w:rPr>
          <w:rFonts w:ascii="Arial" w:hAnsi="Arial" w:cs="Arial"/>
          <w:lang w:val="mk-MK"/>
        </w:rPr>
        <w:t>measured</w:t>
      </w:r>
      <w:proofErr w:type="spellEnd"/>
      <w:r w:rsidRPr="006952D0">
        <w:rPr>
          <w:rFonts w:ascii="Arial" w:hAnsi="Arial" w:cs="Arial"/>
          <w:lang w:val="mk-MK"/>
        </w:rPr>
        <w:t xml:space="preserve"> </w:t>
      </w:r>
      <w:proofErr w:type="spellStart"/>
      <w:r w:rsidRPr="006952D0">
        <w:rPr>
          <w:rFonts w:ascii="Arial" w:hAnsi="Arial" w:cs="Arial"/>
          <w:lang w:val="mk-MK"/>
        </w:rPr>
        <w:t>at</w:t>
      </w:r>
      <w:proofErr w:type="spellEnd"/>
      <w:r w:rsidRPr="006952D0">
        <w:rPr>
          <w:rFonts w:ascii="Arial" w:hAnsi="Arial" w:cs="Arial"/>
          <w:lang w:val="mk-MK"/>
        </w:rPr>
        <w:t xml:space="preserve"> </w:t>
      </w:r>
      <w:proofErr w:type="spellStart"/>
      <w:r w:rsidRPr="006952D0">
        <w:rPr>
          <w:rFonts w:ascii="Arial" w:hAnsi="Arial" w:cs="Arial"/>
          <w:lang w:val="mk-MK"/>
        </w:rPr>
        <w:t>fair</w:t>
      </w:r>
      <w:proofErr w:type="spellEnd"/>
      <w:r w:rsidRPr="006952D0">
        <w:rPr>
          <w:rFonts w:ascii="Arial" w:hAnsi="Arial" w:cs="Arial"/>
          <w:lang w:val="mk-MK"/>
        </w:rPr>
        <w:t xml:space="preserve"> </w:t>
      </w:r>
      <w:proofErr w:type="spellStart"/>
      <w:r w:rsidRPr="006952D0">
        <w:rPr>
          <w:rFonts w:ascii="Arial" w:hAnsi="Arial" w:cs="Arial"/>
          <w:lang w:val="mk-MK"/>
        </w:rPr>
        <w:t>value</w:t>
      </w:r>
      <w:proofErr w:type="spellEnd"/>
      <w:r w:rsidR="00815E65" w:rsidRPr="001E6526">
        <w:rPr>
          <w:rFonts w:ascii="Arial" w:hAnsi="Arial" w:cs="Arial"/>
          <w:lang w:val="mk-MK"/>
        </w:rPr>
        <w:t>.</w:t>
      </w:r>
      <w:r w:rsidR="00815E65" w:rsidRPr="00CE3053">
        <w:rPr>
          <w:rFonts w:ascii="Arial" w:hAnsi="Arial" w:cs="Arial"/>
          <w:lang w:val="mk-MK"/>
        </w:rPr>
        <w:t xml:space="preserve"> </w:t>
      </w:r>
    </w:p>
    <w:p w14:paraId="0A367A78" w14:textId="612E9A8C" w:rsidR="00815E65" w:rsidRPr="00CE3053" w:rsidRDefault="006952D0" w:rsidP="00815E65">
      <w:pPr>
        <w:pStyle w:val="BodyText"/>
        <w:jc w:val="both"/>
        <w:rPr>
          <w:rFonts w:ascii="Arial" w:hAnsi="Arial" w:cs="Arial"/>
          <w:lang w:val="mk-MK"/>
        </w:rPr>
      </w:pPr>
      <w:proofErr w:type="spellStart"/>
      <w:r w:rsidRPr="006952D0">
        <w:rPr>
          <w:rFonts w:ascii="Arial" w:hAnsi="Arial" w:cs="Arial"/>
          <w:lang w:val="mk-MK"/>
        </w:rPr>
        <w:t>The</w:t>
      </w:r>
      <w:proofErr w:type="spellEnd"/>
      <w:r w:rsidRPr="006952D0">
        <w:rPr>
          <w:rFonts w:ascii="Arial" w:hAnsi="Arial" w:cs="Arial"/>
          <w:lang w:val="mk-MK"/>
        </w:rPr>
        <w:t xml:space="preserve"> </w:t>
      </w:r>
      <w:proofErr w:type="spellStart"/>
      <w:r w:rsidRPr="006952D0">
        <w:rPr>
          <w:rFonts w:ascii="Arial" w:hAnsi="Arial" w:cs="Arial"/>
          <w:lang w:val="mk-MK"/>
        </w:rPr>
        <w:t>measurement</w:t>
      </w:r>
      <w:proofErr w:type="spellEnd"/>
      <w:r w:rsidRPr="006952D0">
        <w:rPr>
          <w:rFonts w:ascii="Arial" w:hAnsi="Arial" w:cs="Arial"/>
          <w:lang w:val="mk-MK"/>
        </w:rPr>
        <w:t xml:space="preserve"> </w:t>
      </w:r>
      <w:proofErr w:type="spellStart"/>
      <w:r w:rsidRPr="006952D0">
        <w:rPr>
          <w:rFonts w:ascii="Arial" w:hAnsi="Arial" w:cs="Arial"/>
          <w:lang w:val="mk-MK"/>
        </w:rPr>
        <w:t>bases</w:t>
      </w:r>
      <w:proofErr w:type="spellEnd"/>
      <w:r w:rsidRPr="006952D0">
        <w:rPr>
          <w:rFonts w:ascii="Arial" w:hAnsi="Arial" w:cs="Arial"/>
          <w:lang w:val="mk-MK"/>
        </w:rPr>
        <w:t xml:space="preserve"> </w:t>
      </w:r>
      <w:proofErr w:type="spellStart"/>
      <w:r w:rsidRPr="006952D0">
        <w:rPr>
          <w:rFonts w:ascii="Arial" w:hAnsi="Arial" w:cs="Arial"/>
          <w:lang w:val="mk-MK"/>
        </w:rPr>
        <w:t>are</w:t>
      </w:r>
      <w:proofErr w:type="spellEnd"/>
      <w:r w:rsidRPr="006952D0">
        <w:rPr>
          <w:rFonts w:ascii="Arial" w:hAnsi="Arial" w:cs="Arial"/>
          <w:lang w:val="mk-MK"/>
        </w:rPr>
        <w:t xml:space="preserve"> </w:t>
      </w:r>
      <w:proofErr w:type="spellStart"/>
      <w:r w:rsidRPr="006952D0">
        <w:rPr>
          <w:rFonts w:ascii="Arial" w:hAnsi="Arial" w:cs="Arial"/>
          <w:lang w:val="mk-MK"/>
        </w:rPr>
        <w:t>further</w:t>
      </w:r>
      <w:proofErr w:type="spellEnd"/>
      <w:r w:rsidRPr="006952D0">
        <w:rPr>
          <w:rFonts w:ascii="Arial" w:hAnsi="Arial" w:cs="Arial"/>
          <w:lang w:val="mk-MK"/>
        </w:rPr>
        <w:t xml:space="preserve"> </w:t>
      </w:r>
      <w:proofErr w:type="spellStart"/>
      <w:r w:rsidRPr="006952D0">
        <w:rPr>
          <w:rFonts w:ascii="Arial" w:hAnsi="Arial" w:cs="Arial"/>
          <w:lang w:val="mk-MK"/>
        </w:rPr>
        <w:t>explained</w:t>
      </w:r>
      <w:proofErr w:type="spellEnd"/>
      <w:r w:rsidRPr="006952D0">
        <w:rPr>
          <w:rFonts w:ascii="Arial" w:hAnsi="Arial" w:cs="Arial"/>
          <w:lang w:val="mk-MK"/>
        </w:rPr>
        <w:t xml:space="preserve"> </w:t>
      </w:r>
      <w:proofErr w:type="spellStart"/>
      <w:r w:rsidRPr="006952D0">
        <w:rPr>
          <w:rFonts w:ascii="Arial" w:hAnsi="Arial" w:cs="Arial"/>
          <w:lang w:val="mk-MK"/>
        </w:rPr>
        <w:t>within</w:t>
      </w:r>
      <w:proofErr w:type="spellEnd"/>
      <w:r w:rsidRPr="006952D0">
        <w:rPr>
          <w:rFonts w:ascii="Arial" w:hAnsi="Arial" w:cs="Arial"/>
          <w:lang w:val="mk-MK"/>
        </w:rPr>
        <w:t xml:space="preserve"> </w:t>
      </w:r>
      <w:proofErr w:type="spellStart"/>
      <w:r w:rsidRPr="006952D0">
        <w:rPr>
          <w:rFonts w:ascii="Arial" w:hAnsi="Arial" w:cs="Arial"/>
          <w:lang w:val="mk-MK"/>
        </w:rPr>
        <w:t>this</w:t>
      </w:r>
      <w:proofErr w:type="spellEnd"/>
      <w:r w:rsidRPr="006952D0">
        <w:rPr>
          <w:rFonts w:ascii="Arial" w:hAnsi="Arial" w:cs="Arial"/>
          <w:lang w:val="mk-MK"/>
        </w:rPr>
        <w:t xml:space="preserve"> </w:t>
      </w:r>
      <w:proofErr w:type="spellStart"/>
      <w:r w:rsidRPr="006952D0">
        <w:rPr>
          <w:rFonts w:ascii="Arial" w:hAnsi="Arial" w:cs="Arial"/>
          <w:lang w:val="mk-MK"/>
        </w:rPr>
        <w:t>Note</w:t>
      </w:r>
      <w:proofErr w:type="spellEnd"/>
      <w:r w:rsidRPr="006952D0">
        <w:rPr>
          <w:rFonts w:ascii="Arial" w:hAnsi="Arial" w:cs="Arial"/>
          <w:lang w:val="mk-MK"/>
        </w:rPr>
        <w:t>.</w:t>
      </w:r>
    </w:p>
    <w:p w14:paraId="19B7E5A1" w14:textId="08F0FF8E" w:rsidR="006952D0" w:rsidRPr="00CE3053" w:rsidRDefault="006952D0" w:rsidP="00815E65">
      <w:pPr>
        <w:pStyle w:val="BodyText"/>
        <w:jc w:val="both"/>
        <w:rPr>
          <w:rFonts w:ascii="Arial" w:hAnsi="Arial" w:cs="Arial"/>
          <w:spacing w:val="-3"/>
          <w:lang w:val="mk-MK"/>
        </w:rPr>
      </w:pPr>
      <w:proofErr w:type="spellStart"/>
      <w:r w:rsidRPr="006952D0">
        <w:rPr>
          <w:rFonts w:ascii="Arial" w:hAnsi="Arial" w:cs="Arial"/>
          <w:spacing w:val="-3"/>
          <w:lang w:val="mk-MK"/>
        </w:rPr>
        <w:t>The</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preparation</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of</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these</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financial</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statements</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in</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accordance</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with</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the</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accounting</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standards</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accepted</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in</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the</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Republic</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of</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North</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Macedonia</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requires</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the</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use</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of</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certain</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critical</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accounting</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estimates</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It</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also</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requires</w:t>
      </w:r>
      <w:proofErr w:type="spellEnd"/>
      <w:r w:rsidRPr="006952D0">
        <w:rPr>
          <w:rFonts w:ascii="Arial" w:hAnsi="Arial" w:cs="Arial"/>
          <w:spacing w:val="-3"/>
          <w:lang w:val="mk-MK"/>
        </w:rPr>
        <w:t xml:space="preserve"> </w:t>
      </w:r>
      <w:r w:rsidR="001769C3">
        <w:rPr>
          <w:rFonts w:ascii="Arial" w:hAnsi="Arial" w:cs="Arial"/>
          <w:spacing w:val="-3"/>
          <w:lang w:val="en-US"/>
        </w:rPr>
        <w:t xml:space="preserve">the Fund’s </w:t>
      </w:r>
      <w:proofErr w:type="spellStart"/>
      <w:r w:rsidRPr="006952D0">
        <w:rPr>
          <w:rFonts w:ascii="Arial" w:hAnsi="Arial" w:cs="Arial"/>
          <w:spacing w:val="-3"/>
          <w:lang w:val="mk-MK"/>
        </w:rPr>
        <w:t>management</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to</w:t>
      </w:r>
      <w:proofErr w:type="spellEnd"/>
      <w:r w:rsidRPr="006952D0">
        <w:rPr>
          <w:rFonts w:ascii="Arial" w:hAnsi="Arial" w:cs="Arial"/>
          <w:spacing w:val="-3"/>
          <w:lang w:val="mk-MK"/>
        </w:rPr>
        <w:t xml:space="preserve"> </w:t>
      </w:r>
      <w:r>
        <w:rPr>
          <w:rFonts w:ascii="Arial" w:hAnsi="Arial" w:cs="Arial"/>
          <w:spacing w:val="-3"/>
          <w:lang w:val="en-US"/>
        </w:rPr>
        <w:t>use</w:t>
      </w:r>
      <w:r w:rsidRPr="006952D0">
        <w:rPr>
          <w:rFonts w:ascii="Arial" w:hAnsi="Arial" w:cs="Arial"/>
          <w:spacing w:val="-3"/>
          <w:lang w:val="mk-MK"/>
        </w:rPr>
        <w:t xml:space="preserve"> </w:t>
      </w:r>
      <w:proofErr w:type="spellStart"/>
      <w:r w:rsidRPr="006952D0">
        <w:rPr>
          <w:rFonts w:ascii="Arial" w:hAnsi="Arial" w:cs="Arial"/>
          <w:spacing w:val="-3"/>
          <w:lang w:val="mk-MK"/>
        </w:rPr>
        <w:t>its</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judgment</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in</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the</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process</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of</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applying</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the</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accounting</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policies</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The</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areas</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involving</w:t>
      </w:r>
      <w:proofErr w:type="spellEnd"/>
      <w:r w:rsidRPr="006952D0">
        <w:rPr>
          <w:rFonts w:ascii="Arial" w:hAnsi="Arial" w:cs="Arial"/>
          <w:spacing w:val="-3"/>
          <w:lang w:val="mk-MK"/>
        </w:rPr>
        <w:t xml:space="preserve"> a </w:t>
      </w:r>
      <w:proofErr w:type="spellStart"/>
      <w:r w:rsidRPr="006952D0">
        <w:rPr>
          <w:rFonts w:ascii="Arial" w:hAnsi="Arial" w:cs="Arial"/>
          <w:spacing w:val="-3"/>
          <w:lang w:val="mk-MK"/>
        </w:rPr>
        <w:t>higher</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degree</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of</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judgment</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or</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complexity</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or</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areas</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where</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assumptions</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and</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estimates</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are</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significant</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to</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the</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financial</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statements</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are</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disclosed</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in</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Note</w:t>
      </w:r>
      <w:proofErr w:type="spellEnd"/>
      <w:r w:rsidRPr="006952D0">
        <w:rPr>
          <w:rFonts w:ascii="Arial" w:hAnsi="Arial" w:cs="Arial"/>
          <w:spacing w:val="-3"/>
          <w:lang w:val="mk-MK"/>
        </w:rPr>
        <w:t xml:space="preserve"> 4: </w:t>
      </w:r>
      <w:proofErr w:type="spellStart"/>
      <w:r w:rsidRPr="006952D0">
        <w:rPr>
          <w:rFonts w:ascii="Arial" w:hAnsi="Arial" w:cs="Arial"/>
          <w:spacing w:val="-3"/>
          <w:lang w:val="mk-MK"/>
        </w:rPr>
        <w:t>Critical</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accounting</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estimates</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and</w:t>
      </w:r>
      <w:proofErr w:type="spellEnd"/>
      <w:r w:rsidRPr="006952D0">
        <w:rPr>
          <w:rFonts w:ascii="Arial" w:hAnsi="Arial" w:cs="Arial"/>
          <w:spacing w:val="-3"/>
          <w:lang w:val="mk-MK"/>
        </w:rPr>
        <w:t xml:space="preserve"> </w:t>
      </w:r>
      <w:proofErr w:type="spellStart"/>
      <w:r w:rsidRPr="006952D0">
        <w:rPr>
          <w:rFonts w:ascii="Arial" w:hAnsi="Arial" w:cs="Arial"/>
          <w:spacing w:val="-3"/>
          <w:lang w:val="mk-MK"/>
        </w:rPr>
        <w:t>judgments</w:t>
      </w:r>
      <w:proofErr w:type="spellEnd"/>
      <w:r w:rsidRPr="006952D0">
        <w:rPr>
          <w:rFonts w:ascii="Arial" w:hAnsi="Arial" w:cs="Arial"/>
          <w:spacing w:val="-3"/>
          <w:lang w:val="mk-MK"/>
        </w:rPr>
        <w:t>.</w:t>
      </w:r>
    </w:p>
    <w:p w14:paraId="087B5F9E" w14:textId="3D08BAB3" w:rsidR="008E09B1" w:rsidRDefault="001769C3" w:rsidP="00815E65">
      <w:pPr>
        <w:pStyle w:val="BodyText"/>
        <w:jc w:val="both"/>
        <w:rPr>
          <w:rFonts w:ascii="Arial" w:hAnsi="Arial" w:cs="Arial"/>
          <w:spacing w:val="-3"/>
          <w:lang w:val="mk-MK"/>
        </w:rPr>
      </w:pPr>
      <w:proofErr w:type="spellStart"/>
      <w:r w:rsidRPr="001769C3">
        <w:rPr>
          <w:rFonts w:ascii="Arial" w:hAnsi="Arial" w:cs="Arial"/>
          <w:spacing w:val="-3"/>
          <w:lang w:val="mk-MK"/>
        </w:rPr>
        <w:t>The</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financial</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statements</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have</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been</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prepared</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as</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of</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and</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for</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the</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years</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ended</w:t>
      </w:r>
      <w:proofErr w:type="spellEnd"/>
      <w:r w:rsidRPr="001769C3">
        <w:rPr>
          <w:rFonts w:ascii="Arial" w:hAnsi="Arial" w:cs="Arial"/>
          <w:spacing w:val="-3"/>
          <w:lang w:val="mk-MK"/>
        </w:rPr>
        <w:t xml:space="preserve"> </w:t>
      </w:r>
      <w:r w:rsidR="00815E65" w:rsidRPr="00CE3053">
        <w:rPr>
          <w:rFonts w:ascii="Arial" w:hAnsi="Arial" w:cs="Arial"/>
          <w:spacing w:val="-3"/>
          <w:lang w:val="mk-MK"/>
        </w:rPr>
        <w:t xml:space="preserve">на 31 </w:t>
      </w:r>
      <w:r>
        <w:rPr>
          <w:rFonts w:ascii="Arial" w:hAnsi="Arial" w:cs="Arial"/>
          <w:spacing w:val="-3"/>
          <w:lang w:val="en-US"/>
        </w:rPr>
        <w:t>December</w:t>
      </w:r>
      <w:r w:rsidR="00815E65" w:rsidRPr="00CE3053">
        <w:rPr>
          <w:rFonts w:ascii="Arial" w:hAnsi="Arial" w:cs="Arial"/>
          <w:spacing w:val="-3"/>
          <w:lang w:val="mk-MK"/>
        </w:rPr>
        <w:t xml:space="preserve"> 202</w:t>
      </w:r>
      <w:r w:rsidR="00D562FD" w:rsidRPr="00CE3053">
        <w:rPr>
          <w:rFonts w:ascii="Arial" w:hAnsi="Arial" w:cs="Arial"/>
          <w:spacing w:val="-3"/>
          <w:lang w:val="mk-MK"/>
        </w:rPr>
        <w:t>1</w:t>
      </w:r>
      <w:r w:rsidR="00815E65" w:rsidRPr="00CE3053">
        <w:rPr>
          <w:rFonts w:ascii="Arial" w:hAnsi="Arial" w:cs="Arial"/>
          <w:spacing w:val="-3"/>
          <w:lang w:val="mk-MK"/>
        </w:rPr>
        <w:t xml:space="preserve"> </w:t>
      </w:r>
      <w:r>
        <w:rPr>
          <w:rFonts w:ascii="Arial" w:hAnsi="Arial" w:cs="Arial"/>
          <w:spacing w:val="-3"/>
          <w:lang w:val="en-US"/>
        </w:rPr>
        <w:t>and</w:t>
      </w:r>
      <w:r w:rsidR="00815E65" w:rsidRPr="00CE3053">
        <w:rPr>
          <w:rFonts w:ascii="Arial" w:hAnsi="Arial" w:cs="Arial"/>
          <w:spacing w:val="-3"/>
          <w:lang w:val="mk-MK"/>
        </w:rPr>
        <w:t xml:space="preserve"> 20</w:t>
      </w:r>
      <w:r w:rsidR="00D562FD" w:rsidRPr="00CE3053">
        <w:rPr>
          <w:rFonts w:ascii="Arial" w:hAnsi="Arial" w:cs="Arial"/>
          <w:spacing w:val="-3"/>
          <w:lang w:val="mk-MK"/>
        </w:rPr>
        <w:t>20</w:t>
      </w:r>
      <w:r w:rsidRPr="001769C3">
        <w:rPr>
          <w:rFonts w:ascii="Arial" w:hAnsi="Arial" w:cs="Arial"/>
          <w:spacing w:val="-3"/>
          <w:lang w:val="mk-MK"/>
        </w:rPr>
        <w:t xml:space="preserve">. </w:t>
      </w:r>
      <w:proofErr w:type="spellStart"/>
      <w:r w:rsidRPr="001769C3">
        <w:rPr>
          <w:rFonts w:ascii="Arial" w:hAnsi="Arial" w:cs="Arial"/>
          <w:spacing w:val="-3"/>
          <w:lang w:val="mk-MK"/>
        </w:rPr>
        <w:t>Current</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and</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comparative</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data</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stated</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in</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these</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financial</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statements</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is</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expressed</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in</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Denar</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thousand</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unless</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otherwise</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stated</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Functional</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and</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presentation</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currency</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of</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the</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Fund</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is</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Macedonian</w:t>
      </w:r>
      <w:proofErr w:type="spellEnd"/>
      <w:r w:rsidRPr="001769C3">
        <w:rPr>
          <w:rFonts w:ascii="Arial" w:hAnsi="Arial" w:cs="Arial"/>
          <w:spacing w:val="-3"/>
          <w:lang w:val="mk-MK"/>
        </w:rPr>
        <w:t xml:space="preserve"> </w:t>
      </w:r>
      <w:proofErr w:type="spellStart"/>
      <w:r w:rsidRPr="001769C3">
        <w:rPr>
          <w:rFonts w:ascii="Arial" w:hAnsi="Arial" w:cs="Arial"/>
          <w:spacing w:val="-3"/>
          <w:lang w:val="mk-MK"/>
        </w:rPr>
        <w:t>denar</w:t>
      </w:r>
      <w:proofErr w:type="spellEnd"/>
      <w:r w:rsidRPr="001769C3">
        <w:rPr>
          <w:rFonts w:ascii="Arial" w:hAnsi="Arial" w:cs="Arial"/>
          <w:spacing w:val="-3"/>
          <w:lang w:val="mk-MK"/>
        </w:rPr>
        <w:t>.</w:t>
      </w:r>
    </w:p>
    <w:p w14:paraId="12EF2D56" w14:textId="77777777" w:rsidR="008E09B1" w:rsidRPr="008E09B1" w:rsidRDefault="008E09B1" w:rsidP="00815E65">
      <w:pPr>
        <w:pStyle w:val="BodyText"/>
        <w:jc w:val="both"/>
        <w:rPr>
          <w:rFonts w:ascii="Arial" w:hAnsi="Arial" w:cs="Arial"/>
          <w:spacing w:val="-3"/>
          <w:lang w:val="mk-MK"/>
        </w:rPr>
      </w:pPr>
    </w:p>
    <w:p w14:paraId="4FD53A0B" w14:textId="1D95FE11" w:rsidR="00815E65" w:rsidRPr="001E6526" w:rsidRDefault="00E5225B" w:rsidP="0061511C">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Pr>
          <w:rFonts w:ascii="Arial" w:hAnsi="Arial" w:cs="Arial"/>
          <w:b/>
          <w:color w:val="4F2D7F"/>
          <w:sz w:val="18"/>
          <w:lang w:val="en-US"/>
        </w:rPr>
        <w:t>Foreign currency transactions</w:t>
      </w:r>
    </w:p>
    <w:p w14:paraId="3097FE94" w14:textId="77777777" w:rsidR="00E5225B" w:rsidRDefault="00E5225B" w:rsidP="00815E65">
      <w:pPr>
        <w:pStyle w:val="BodyText"/>
        <w:jc w:val="both"/>
        <w:rPr>
          <w:rFonts w:ascii="Arial" w:hAnsi="Arial" w:cs="Arial"/>
          <w:spacing w:val="-3"/>
          <w:lang w:val="mk-MK"/>
        </w:rPr>
      </w:pPr>
      <w:proofErr w:type="spellStart"/>
      <w:r w:rsidRPr="00E5225B">
        <w:rPr>
          <w:rFonts w:ascii="Arial" w:hAnsi="Arial" w:cs="Arial"/>
          <w:spacing w:val="-3"/>
          <w:lang w:val="mk-MK"/>
        </w:rPr>
        <w:t>Transactions</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denominated</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in</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foreign</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currencies</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have</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been</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translated</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into</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Denar</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at</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rates</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set</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by</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the</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National</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Bank</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of</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the</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Republic</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of</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North</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Macedonia</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at</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the</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dates</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when</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they</w:t>
      </w:r>
      <w:proofErr w:type="spellEnd"/>
      <w:r w:rsidRPr="00E5225B">
        <w:rPr>
          <w:rFonts w:ascii="Arial" w:hAnsi="Arial" w:cs="Arial"/>
          <w:spacing w:val="-3"/>
          <w:lang w:val="mk-MK"/>
        </w:rPr>
        <w:t xml:space="preserve"> </w:t>
      </w:r>
      <w:proofErr w:type="spellStart"/>
      <w:r w:rsidRPr="00E5225B">
        <w:rPr>
          <w:rFonts w:ascii="Arial" w:hAnsi="Arial" w:cs="Arial"/>
          <w:spacing w:val="-3"/>
          <w:lang w:val="mk-MK"/>
        </w:rPr>
        <w:t>occurred</w:t>
      </w:r>
      <w:proofErr w:type="spellEnd"/>
      <w:r w:rsidRPr="00E5225B">
        <w:rPr>
          <w:rFonts w:ascii="Arial" w:hAnsi="Arial" w:cs="Arial"/>
          <w:spacing w:val="-3"/>
          <w:lang w:val="mk-MK"/>
        </w:rPr>
        <w:t>.</w:t>
      </w:r>
    </w:p>
    <w:p w14:paraId="1775E477" w14:textId="16F81E0F" w:rsidR="001F5787" w:rsidRPr="00CE3053" w:rsidRDefault="00E566E3" w:rsidP="00815E65">
      <w:pPr>
        <w:pStyle w:val="BodyText"/>
        <w:jc w:val="both"/>
        <w:rPr>
          <w:rFonts w:ascii="Arial" w:hAnsi="Arial" w:cs="Arial"/>
          <w:spacing w:val="-3"/>
          <w:lang w:val="mk-MK"/>
        </w:rPr>
      </w:pPr>
      <w:proofErr w:type="spellStart"/>
      <w:r w:rsidRPr="00E566E3">
        <w:rPr>
          <w:rFonts w:ascii="Arial" w:hAnsi="Arial" w:cs="Arial"/>
          <w:spacing w:val="-3"/>
          <w:lang w:val="mk-MK"/>
        </w:rPr>
        <w:t>Assets</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and</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liabilities</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denominated</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in</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foreign</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currencies</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are</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translated</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into</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Denar</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at</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the</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reporting</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date</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using</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official</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rates</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of</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exchange</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prevailing</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on</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that</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date</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and</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any</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foreign</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exchange</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gains</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or</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losses</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resulting</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from</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foreign</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currency</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translation</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are</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included</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in</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the</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gains</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and</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losses</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for</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the</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period</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in</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which</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they</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occurred</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The</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middle</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exchange</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rates</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used</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for</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conversion</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of</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the</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Statement</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of</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financial</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position</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items</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denominated</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in</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foreign</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currencies</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are</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as</w:t>
      </w:r>
      <w:proofErr w:type="spellEnd"/>
      <w:r w:rsidRPr="00E566E3">
        <w:rPr>
          <w:rFonts w:ascii="Arial" w:hAnsi="Arial" w:cs="Arial"/>
          <w:spacing w:val="-3"/>
          <w:lang w:val="mk-MK"/>
        </w:rPr>
        <w:t xml:space="preserve"> </w:t>
      </w:r>
      <w:proofErr w:type="spellStart"/>
      <w:r w:rsidRPr="00E566E3">
        <w:rPr>
          <w:rFonts w:ascii="Arial" w:hAnsi="Arial" w:cs="Arial"/>
          <w:spacing w:val="-3"/>
          <w:lang w:val="mk-MK"/>
        </w:rPr>
        <w:t>follows</w:t>
      </w:r>
      <w:proofErr w:type="spellEnd"/>
      <w:r w:rsidRPr="00E566E3">
        <w:rPr>
          <w:rFonts w:ascii="Arial" w:hAnsi="Arial" w:cs="Arial"/>
          <w:spacing w:val="-3"/>
          <w:lang w:val="mk-MK"/>
        </w:rPr>
        <w:t>:</w:t>
      </w:r>
    </w:p>
    <w:tbl>
      <w:tblPr>
        <w:tblW w:w="8432" w:type="dxa"/>
        <w:tblInd w:w="86" w:type="dxa"/>
        <w:tblLayout w:type="fixed"/>
        <w:tblLook w:val="0000" w:firstRow="0" w:lastRow="0" w:firstColumn="0" w:lastColumn="0" w:noHBand="0" w:noVBand="0"/>
      </w:tblPr>
      <w:tblGrid>
        <w:gridCol w:w="3816"/>
        <w:gridCol w:w="2308"/>
        <w:gridCol w:w="2308"/>
      </w:tblGrid>
      <w:tr w:rsidR="00815E65" w:rsidRPr="001E6526" w14:paraId="50BAAE29" w14:textId="77777777" w:rsidTr="00A504C6">
        <w:trPr>
          <w:cantSplit/>
          <w:trHeight w:val="278"/>
        </w:trPr>
        <w:tc>
          <w:tcPr>
            <w:tcW w:w="3816" w:type="dxa"/>
            <w:tcMar>
              <w:left w:w="58" w:type="dxa"/>
              <w:right w:w="58" w:type="dxa"/>
            </w:tcMar>
            <w:vAlign w:val="bottom"/>
          </w:tcPr>
          <w:p w14:paraId="2FAC36E4" w14:textId="77777777" w:rsidR="00815E65" w:rsidRPr="00CE3053" w:rsidRDefault="00815E65" w:rsidP="00815E65">
            <w:pPr>
              <w:pStyle w:val="TableText"/>
              <w:jc w:val="both"/>
              <w:rPr>
                <w:rFonts w:ascii="Arial" w:hAnsi="Arial"/>
                <w:sz w:val="18"/>
                <w:lang w:val="mk-MK"/>
              </w:rPr>
            </w:pPr>
          </w:p>
        </w:tc>
        <w:tc>
          <w:tcPr>
            <w:tcW w:w="2308" w:type="dxa"/>
            <w:tcMar>
              <w:left w:w="58" w:type="dxa"/>
              <w:right w:w="58" w:type="dxa"/>
            </w:tcMar>
            <w:vAlign w:val="bottom"/>
          </w:tcPr>
          <w:p w14:paraId="7CC2A6DC" w14:textId="0841C3F6" w:rsidR="00815E65" w:rsidRPr="00CE3053" w:rsidRDefault="00815E65" w:rsidP="00815E65">
            <w:pPr>
              <w:pStyle w:val="TableText"/>
              <w:jc w:val="both"/>
              <w:rPr>
                <w:rFonts w:ascii="Arial" w:hAnsi="Arial"/>
                <w:sz w:val="18"/>
                <w:lang w:val="mk-MK"/>
              </w:rPr>
            </w:pPr>
            <w:r w:rsidRPr="001E6526">
              <w:rPr>
                <w:rFonts w:ascii="Arial" w:hAnsi="Arial"/>
                <w:sz w:val="18"/>
                <w:lang w:val="mk-MK"/>
              </w:rPr>
              <w:t xml:space="preserve">31 </w:t>
            </w:r>
            <w:r w:rsidR="00E566E3">
              <w:rPr>
                <w:rFonts w:ascii="Arial" w:hAnsi="Arial"/>
                <w:sz w:val="18"/>
                <w:lang w:val="en-US"/>
              </w:rPr>
              <w:t>December</w:t>
            </w:r>
            <w:r w:rsidRPr="001E6526">
              <w:rPr>
                <w:rFonts w:ascii="Arial" w:hAnsi="Arial"/>
                <w:sz w:val="18"/>
                <w:lang w:val="mk-MK"/>
              </w:rPr>
              <w:t xml:space="preserve"> 20</w:t>
            </w:r>
            <w:r w:rsidRPr="00CE3053">
              <w:rPr>
                <w:rFonts w:ascii="Arial" w:hAnsi="Arial"/>
                <w:sz w:val="18"/>
                <w:lang w:val="mk-MK"/>
              </w:rPr>
              <w:t>2</w:t>
            </w:r>
            <w:r w:rsidR="000B3E49" w:rsidRPr="001E6526">
              <w:rPr>
                <w:rFonts w:ascii="Arial" w:hAnsi="Arial"/>
                <w:sz w:val="18"/>
                <w:lang w:val="mk-MK"/>
              </w:rPr>
              <w:t>1</w:t>
            </w:r>
          </w:p>
        </w:tc>
        <w:tc>
          <w:tcPr>
            <w:tcW w:w="2308" w:type="dxa"/>
            <w:tcMar>
              <w:left w:w="58" w:type="dxa"/>
              <w:right w:w="58" w:type="dxa"/>
            </w:tcMar>
            <w:vAlign w:val="bottom"/>
          </w:tcPr>
          <w:p w14:paraId="5288448D" w14:textId="3DF9CBC9" w:rsidR="00815E65" w:rsidRPr="00CE3053" w:rsidRDefault="00815E65" w:rsidP="00815E65">
            <w:pPr>
              <w:pStyle w:val="TableText"/>
              <w:jc w:val="both"/>
              <w:rPr>
                <w:rFonts w:ascii="Arial" w:hAnsi="Arial"/>
                <w:sz w:val="18"/>
                <w:lang w:val="mk-MK"/>
              </w:rPr>
            </w:pPr>
            <w:r w:rsidRPr="001E6526">
              <w:rPr>
                <w:rFonts w:ascii="Arial" w:hAnsi="Arial"/>
                <w:sz w:val="18"/>
                <w:lang w:val="mk-MK"/>
              </w:rPr>
              <w:t>31</w:t>
            </w:r>
            <w:r w:rsidR="00E566E3">
              <w:rPr>
                <w:rFonts w:ascii="Arial" w:hAnsi="Arial"/>
                <w:sz w:val="18"/>
                <w:lang w:val="en-US"/>
              </w:rPr>
              <w:t xml:space="preserve"> December</w:t>
            </w:r>
            <w:r w:rsidRPr="001E6526">
              <w:rPr>
                <w:rFonts w:ascii="Arial" w:hAnsi="Arial"/>
                <w:sz w:val="18"/>
                <w:lang w:val="mk-MK"/>
              </w:rPr>
              <w:t xml:space="preserve"> 20</w:t>
            </w:r>
            <w:r w:rsidR="00ED2032" w:rsidRPr="001E6526">
              <w:rPr>
                <w:rFonts w:ascii="Arial" w:hAnsi="Arial"/>
                <w:sz w:val="18"/>
                <w:lang w:val="mk-MK"/>
              </w:rPr>
              <w:t>20</w:t>
            </w:r>
          </w:p>
        </w:tc>
      </w:tr>
      <w:tr w:rsidR="00815E65" w:rsidRPr="001E6526" w14:paraId="3FA29255" w14:textId="77777777" w:rsidTr="00A504C6">
        <w:trPr>
          <w:cantSplit/>
          <w:trHeight w:val="278"/>
        </w:trPr>
        <w:tc>
          <w:tcPr>
            <w:tcW w:w="3816" w:type="dxa"/>
            <w:tcMar>
              <w:left w:w="58" w:type="dxa"/>
              <w:right w:w="58" w:type="dxa"/>
            </w:tcMar>
            <w:vAlign w:val="bottom"/>
          </w:tcPr>
          <w:p w14:paraId="24B84C0A" w14:textId="1CCD7FD2" w:rsidR="00815E65" w:rsidRPr="00E566E3" w:rsidRDefault="00815E65" w:rsidP="00815E65">
            <w:pPr>
              <w:pStyle w:val="TableText"/>
              <w:jc w:val="both"/>
              <w:rPr>
                <w:rFonts w:ascii="Arial" w:hAnsi="Arial"/>
                <w:sz w:val="18"/>
                <w:lang w:val="en-US"/>
              </w:rPr>
            </w:pPr>
            <w:r w:rsidRPr="001E6526">
              <w:rPr>
                <w:rFonts w:ascii="Arial" w:hAnsi="Arial"/>
                <w:sz w:val="18"/>
                <w:lang w:val="mk-MK"/>
              </w:rPr>
              <w:t xml:space="preserve">1 </w:t>
            </w:r>
            <w:r w:rsidR="00E566E3">
              <w:rPr>
                <w:rFonts w:ascii="Arial" w:hAnsi="Arial"/>
                <w:sz w:val="18"/>
                <w:lang w:val="en-US"/>
              </w:rPr>
              <w:t>EUR</w:t>
            </w:r>
          </w:p>
        </w:tc>
        <w:tc>
          <w:tcPr>
            <w:tcW w:w="2308" w:type="dxa"/>
            <w:tcMar>
              <w:left w:w="58" w:type="dxa"/>
              <w:right w:w="58" w:type="dxa"/>
            </w:tcMar>
            <w:vAlign w:val="bottom"/>
          </w:tcPr>
          <w:p w14:paraId="4D49D9BF" w14:textId="1EC1B522" w:rsidR="00815E65" w:rsidRPr="00CE3053" w:rsidRDefault="00815E65" w:rsidP="00815E65">
            <w:pPr>
              <w:pStyle w:val="TableText"/>
              <w:jc w:val="both"/>
              <w:rPr>
                <w:rFonts w:ascii="Arial" w:hAnsi="Arial"/>
                <w:sz w:val="18"/>
                <w:lang w:val="mk-MK"/>
              </w:rPr>
            </w:pPr>
            <w:r w:rsidRPr="00CE3053">
              <w:rPr>
                <w:rFonts w:ascii="Arial" w:hAnsi="Arial"/>
                <w:sz w:val="18"/>
                <w:lang w:val="mk-MK"/>
              </w:rPr>
              <w:t>61</w:t>
            </w:r>
            <w:r w:rsidRPr="001E6526">
              <w:rPr>
                <w:rFonts w:ascii="Arial" w:hAnsi="Arial"/>
                <w:sz w:val="18"/>
                <w:lang w:val="mk-MK"/>
              </w:rPr>
              <w:t>.</w:t>
            </w:r>
            <w:r w:rsidRPr="00CE3053">
              <w:rPr>
                <w:rFonts w:ascii="Arial" w:hAnsi="Arial"/>
                <w:sz w:val="18"/>
                <w:lang w:val="mk-MK"/>
              </w:rPr>
              <w:t>6</w:t>
            </w:r>
            <w:r w:rsidR="00ED2032" w:rsidRPr="00CE3053">
              <w:rPr>
                <w:rFonts w:ascii="Arial" w:hAnsi="Arial"/>
                <w:sz w:val="18"/>
                <w:lang w:val="mk-MK"/>
              </w:rPr>
              <w:t>27</w:t>
            </w:r>
            <w:r w:rsidRPr="00CE3053">
              <w:rPr>
                <w:rFonts w:ascii="Arial" w:hAnsi="Arial"/>
                <w:sz w:val="18"/>
                <w:lang w:val="mk-MK"/>
              </w:rPr>
              <w:t>0</w:t>
            </w:r>
          </w:p>
        </w:tc>
        <w:tc>
          <w:tcPr>
            <w:tcW w:w="2308" w:type="dxa"/>
            <w:tcMar>
              <w:left w:w="58" w:type="dxa"/>
              <w:right w:w="58" w:type="dxa"/>
            </w:tcMar>
            <w:vAlign w:val="bottom"/>
          </w:tcPr>
          <w:p w14:paraId="2533647B" w14:textId="3060F8FC" w:rsidR="00815E65" w:rsidRPr="00CE3053" w:rsidRDefault="00815E65" w:rsidP="00815E65">
            <w:pPr>
              <w:pStyle w:val="TableText"/>
              <w:jc w:val="both"/>
              <w:rPr>
                <w:rFonts w:ascii="Arial" w:hAnsi="Arial"/>
                <w:sz w:val="18"/>
                <w:lang w:val="mk-MK"/>
              </w:rPr>
            </w:pPr>
            <w:r w:rsidRPr="00CE3053">
              <w:rPr>
                <w:rFonts w:ascii="Arial" w:hAnsi="Arial"/>
                <w:sz w:val="18"/>
                <w:lang w:val="mk-MK"/>
              </w:rPr>
              <w:t>61.</w:t>
            </w:r>
            <w:r w:rsidR="00ED2032" w:rsidRPr="001E6526">
              <w:rPr>
                <w:rFonts w:ascii="Arial" w:hAnsi="Arial"/>
                <w:sz w:val="18"/>
                <w:lang w:val="mk-MK"/>
              </w:rPr>
              <w:t>6940</w:t>
            </w:r>
          </w:p>
        </w:tc>
      </w:tr>
    </w:tbl>
    <w:p w14:paraId="5AD4A3F0" w14:textId="77777777" w:rsidR="00815E65" w:rsidRPr="00CE3053" w:rsidRDefault="00815E65" w:rsidP="00815E65">
      <w:pPr>
        <w:pStyle w:val="BodyText"/>
        <w:spacing w:after="0"/>
        <w:jc w:val="both"/>
        <w:rPr>
          <w:rFonts w:ascii="Arial" w:hAnsi="Arial" w:cs="Arial"/>
          <w:lang w:val="mk-MK"/>
        </w:rPr>
      </w:pPr>
    </w:p>
    <w:p w14:paraId="2AA21EF5" w14:textId="5BA58D52" w:rsidR="00815E65" w:rsidRPr="001E6526" w:rsidRDefault="00DA7947" w:rsidP="0061511C">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Pr>
          <w:rFonts w:ascii="Arial" w:hAnsi="Arial" w:cs="Arial"/>
          <w:b/>
          <w:color w:val="4F2D7F"/>
          <w:sz w:val="18"/>
          <w:lang w:val="en-US"/>
        </w:rPr>
        <w:t>Offsetting</w:t>
      </w:r>
    </w:p>
    <w:p w14:paraId="288A5EA5" w14:textId="4D2B091B" w:rsidR="00815E65" w:rsidRPr="00CE3053" w:rsidRDefault="00DA7947" w:rsidP="00815E65">
      <w:pPr>
        <w:pStyle w:val="BodyText"/>
        <w:jc w:val="both"/>
        <w:rPr>
          <w:rFonts w:ascii="Arial" w:hAnsi="Arial" w:cs="Arial"/>
          <w:lang w:val="mk-MK"/>
        </w:rPr>
      </w:pPr>
      <w:proofErr w:type="spellStart"/>
      <w:r w:rsidRPr="00DA7947">
        <w:rPr>
          <w:rFonts w:ascii="Arial" w:hAnsi="Arial" w:cs="Arial"/>
          <w:lang w:val="mk-MK"/>
        </w:rPr>
        <w:t>Financial</w:t>
      </w:r>
      <w:proofErr w:type="spellEnd"/>
      <w:r w:rsidRPr="00DA7947">
        <w:rPr>
          <w:rFonts w:ascii="Arial" w:hAnsi="Arial" w:cs="Arial"/>
          <w:lang w:val="mk-MK"/>
        </w:rPr>
        <w:t xml:space="preserve"> </w:t>
      </w:r>
      <w:proofErr w:type="spellStart"/>
      <w:r w:rsidRPr="00DA7947">
        <w:rPr>
          <w:rFonts w:ascii="Arial" w:hAnsi="Arial" w:cs="Arial"/>
          <w:lang w:val="mk-MK"/>
        </w:rPr>
        <w:t>assets</w:t>
      </w:r>
      <w:proofErr w:type="spellEnd"/>
      <w:r w:rsidRPr="00DA7947">
        <w:rPr>
          <w:rFonts w:ascii="Arial" w:hAnsi="Arial" w:cs="Arial"/>
          <w:lang w:val="mk-MK"/>
        </w:rPr>
        <w:t xml:space="preserve"> </w:t>
      </w:r>
      <w:proofErr w:type="spellStart"/>
      <w:r w:rsidRPr="00DA7947">
        <w:rPr>
          <w:rFonts w:ascii="Arial" w:hAnsi="Arial" w:cs="Arial"/>
          <w:lang w:val="mk-MK"/>
        </w:rPr>
        <w:t>and</w:t>
      </w:r>
      <w:proofErr w:type="spellEnd"/>
      <w:r w:rsidRPr="00DA7947">
        <w:rPr>
          <w:rFonts w:ascii="Arial" w:hAnsi="Arial" w:cs="Arial"/>
          <w:lang w:val="mk-MK"/>
        </w:rPr>
        <w:t xml:space="preserve"> </w:t>
      </w:r>
      <w:proofErr w:type="spellStart"/>
      <w:r w:rsidRPr="00DA7947">
        <w:rPr>
          <w:rFonts w:ascii="Arial" w:hAnsi="Arial" w:cs="Arial"/>
          <w:lang w:val="mk-MK"/>
        </w:rPr>
        <w:t>liabilities</w:t>
      </w:r>
      <w:proofErr w:type="spellEnd"/>
      <w:r w:rsidRPr="00DA7947">
        <w:rPr>
          <w:rFonts w:ascii="Arial" w:hAnsi="Arial" w:cs="Arial"/>
          <w:lang w:val="mk-MK"/>
        </w:rPr>
        <w:t xml:space="preserve"> </w:t>
      </w:r>
      <w:proofErr w:type="spellStart"/>
      <w:r w:rsidRPr="00DA7947">
        <w:rPr>
          <w:rFonts w:ascii="Arial" w:hAnsi="Arial" w:cs="Arial"/>
          <w:lang w:val="mk-MK"/>
        </w:rPr>
        <w:t>are</w:t>
      </w:r>
      <w:proofErr w:type="spellEnd"/>
      <w:r w:rsidRPr="00DA7947">
        <w:rPr>
          <w:rFonts w:ascii="Arial" w:hAnsi="Arial" w:cs="Arial"/>
          <w:lang w:val="mk-MK"/>
        </w:rPr>
        <w:t xml:space="preserve"> </w:t>
      </w:r>
      <w:proofErr w:type="spellStart"/>
      <w:r w:rsidRPr="00DA7947">
        <w:rPr>
          <w:rFonts w:ascii="Arial" w:hAnsi="Arial" w:cs="Arial"/>
          <w:lang w:val="mk-MK"/>
        </w:rPr>
        <w:t>offset</w:t>
      </w:r>
      <w:proofErr w:type="spellEnd"/>
      <w:r w:rsidRPr="00DA7947">
        <w:rPr>
          <w:rFonts w:ascii="Arial" w:hAnsi="Arial" w:cs="Arial"/>
          <w:lang w:val="mk-MK"/>
        </w:rPr>
        <w:t xml:space="preserve"> </w:t>
      </w:r>
      <w:proofErr w:type="spellStart"/>
      <w:r w:rsidRPr="00DA7947">
        <w:rPr>
          <w:rFonts w:ascii="Arial" w:hAnsi="Arial" w:cs="Arial"/>
          <w:lang w:val="mk-MK"/>
        </w:rPr>
        <w:t>and</w:t>
      </w:r>
      <w:proofErr w:type="spellEnd"/>
      <w:r w:rsidRPr="00DA7947">
        <w:rPr>
          <w:rFonts w:ascii="Arial" w:hAnsi="Arial" w:cs="Arial"/>
          <w:lang w:val="mk-MK"/>
        </w:rPr>
        <w:t xml:space="preserve"> </w:t>
      </w:r>
      <w:proofErr w:type="spellStart"/>
      <w:r w:rsidRPr="00DA7947">
        <w:rPr>
          <w:rFonts w:ascii="Arial" w:hAnsi="Arial" w:cs="Arial"/>
          <w:lang w:val="mk-MK"/>
        </w:rPr>
        <w:t>reported</w:t>
      </w:r>
      <w:proofErr w:type="spellEnd"/>
      <w:r w:rsidRPr="00DA7947">
        <w:rPr>
          <w:rFonts w:ascii="Arial" w:hAnsi="Arial" w:cs="Arial"/>
          <w:lang w:val="mk-MK"/>
        </w:rPr>
        <w:t xml:space="preserve"> </w:t>
      </w:r>
      <w:proofErr w:type="spellStart"/>
      <w:r w:rsidRPr="00DA7947">
        <w:rPr>
          <w:rFonts w:ascii="Arial" w:hAnsi="Arial" w:cs="Arial"/>
          <w:lang w:val="mk-MK"/>
        </w:rPr>
        <w:t>in</w:t>
      </w:r>
      <w:proofErr w:type="spellEnd"/>
      <w:r w:rsidRPr="00DA7947">
        <w:rPr>
          <w:rFonts w:ascii="Arial" w:hAnsi="Arial" w:cs="Arial"/>
          <w:lang w:val="mk-MK"/>
        </w:rPr>
        <w:t xml:space="preserve"> </w:t>
      </w:r>
      <w:proofErr w:type="spellStart"/>
      <w:r w:rsidRPr="00DA7947">
        <w:rPr>
          <w:rFonts w:ascii="Arial" w:hAnsi="Arial" w:cs="Arial"/>
          <w:lang w:val="mk-MK"/>
        </w:rPr>
        <w:t>the</w:t>
      </w:r>
      <w:proofErr w:type="spellEnd"/>
      <w:r w:rsidRPr="00DA7947">
        <w:rPr>
          <w:rFonts w:ascii="Arial" w:hAnsi="Arial" w:cs="Arial"/>
          <w:lang w:val="mk-MK"/>
        </w:rPr>
        <w:t xml:space="preserve"> </w:t>
      </w:r>
      <w:proofErr w:type="spellStart"/>
      <w:r w:rsidRPr="00DA7947">
        <w:rPr>
          <w:rFonts w:ascii="Arial" w:hAnsi="Arial" w:cs="Arial"/>
          <w:lang w:val="mk-MK"/>
        </w:rPr>
        <w:t>Statement</w:t>
      </w:r>
      <w:proofErr w:type="spellEnd"/>
      <w:r w:rsidRPr="00DA7947">
        <w:rPr>
          <w:rFonts w:ascii="Arial" w:hAnsi="Arial" w:cs="Arial"/>
          <w:lang w:val="mk-MK"/>
        </w:rPr>
        <w:t xml:space="preserve"> </w:t>
      </w:r>
      <w:proofErr w:type="spellStart"/>
      <w:r w:rsidRPr="00DA7947">
        <w:rPr>
          <w:rFonts w:ascii="Arial" w:hAnsi="Arial" w:cs="Arial"/>
          <w:lang w:val="mk-MK"/>
        </w:rPr>
        <w:t>of</w:t>
      </w:r>
      <w:proofErr w:type="spellEnd"/>
      <w:r w:rsidRPr="00DA7947">
        <w:rPr>
          <w:rFonts w:ascii="Arial" w:hAnsi="Arial" w:cs="Arial"/>
          <w:lang w:val="mk-MK"/>
        </w:rPr>
        <w:t xml:space="preserve"> </w:t>
      </w:r>
      <w:proofErr w:type="spellStart"/>
      <w:r w:rsidRPr="00DA7947">
        <w:rPr>
          <w:rFonts w:ascii="Arial" w:hAnsi="Arial" w:cs="Arial"/>
          <w:lang w:val="mk-MK"/>
        </w:rPr>
        <w:t>financial</w:t>
      </w:r>
      <w:proofErr w:type="spellEnd"/>
      <w:r w:rsidRPr="00DA7947">
        <w:rPr>
          <w:rFonts w:ascii="Arial" w:hAnsi="Arial" w:cs="Arial"/>
          <w:lang w:val="mk-MK"/>
        </w:rPr>
        <w:t xml:space="preserve"> </w:t>
      </w:r>
      <w:proofErr w:type="spellStart"/>
      <w:r w:rsidRPr="00DA7947">
        <w:rPr>
          <w:rFonts w:ascii="Arial" w:hAnsi="Arial" w:cs="Arial"/>
          <w:lang w:val="mk-MK"/>
        </w:rPr>
        <w:t>position</w:t>
      </w:r>
      <w:proofErr w:type="spellEnd"/>
      <w:r w:rsidRPr="00DA7947">
        <w:rPr>
          <w:rFonts w:ascii="Arial" w:hAnsi="Arial" w:cs="Arial"/>
          <w:lang w:val="mk-MK"/>
        </w:rPr>
        <w:t xml:space="preserve"> </w:t>
      </w:r>
      <w:proofErr w:type="spellStart"/>
      <w:r w:rsidRPr="00DA7947">
        <w:rPr>
          <w:rFonts w:ascii="Arial" w:hAnsi="Arial" w:cs="Arial"/>
          <w:lang w:val="mk-MK"/>
        </w:rPr>
        <w:t>on</w:t>
      </w:r>
      <w:proofErr w:type="spellEnd"/>
      <w:r w:rsidRPr="00DA7947">
        <w:rPr>
          <w:rFonts w:ascii="Arial" w:hAnsi="Arial" w:cs="Arial"/>
          <w:lang w:val="mk-MK"/>
        </w:rPr>
        <w:t xml:space="preserve"> </w:t>
      </w:r>
      <w:proofErr w:type="spellStart"/>
      <w:r w:rsidRPr="00DA7947">
        <w:rPr>
          <w:rFonts w:ascii="Arial" w:hAnsi="Arial" w:cs="Arial"/>
          <w:lang w:val="mk-MK"/>
        </w:rPr>
        <w:t>the</w:t>
      </w:r>
      <w:proofErr w:type="spellEnd"/>
      <w:r w:rsidRPr="00DA7947">
        <w:rPr>
          <w:rFonts w:ascii="Arial" w:hAnsi="Arial" w:cs="Arial"/>
          <w:lang w:val="mk-MK"/>
        </w:rPr>
        <w:t xml:space="preserve"> </w:t>
      </w:r>
      <w:proofErr w:type="spellStart"/>
      <w:r w:rsidRPr="00DA7947">
        <w:rPr>
          <w:rFonts w:ascii="Arial" w:hAnsi="Arial" w:cs="Arial"/>
          <w:lang w:val="mk-MK"/>
        </w:rPr>
        <w:t>net</w:t>
      </w:r>
      <w:proofErr w:type="spellEnd"/>
      <w:r w:rsidRPr="00DA7947">
        <w:rPr>
          <w:rFonts w:ascii="Arial" w:hAnsi="Arial" w:cs="Arial"/>
          <w:lang w:val="mk-MK"/>
        </w:rPr>
        <w:t xml:space="preserve"> </w:t>
      </w:r>
      <w:proofErr w:type="spellStart"/>
      <w:r w:rsidRPr="00DA7947">
        <w:rPr>
          <w:rFonts w:ascii="Arial" w:hAnsi="Arial" w:cs="Arial"/>
          <w:lang w:val="mk-MK"/>
        </w:rPr>
        <w:t>basis</w:t>
      </w:r>
      <w:proofErr w:type="spellEnd"/>
      <w:r w:rsidRPr="00DA7947">
        <w:rPr>
          <w:rFonts w:ascii="Arial" w:hAnsi="Arial" w:cs="Arial"/>
          <w:lang w:val="mk-MK"/>
        </w:rPr>
        <w:t xml:space="preserve">, </w:t>
      </w:r>
      <w:proofErr w:type="spellStart"/>
      <w:r w:rsidRPr="00DA7947">
        <w:rPr>
          <w:rFonts w:ascii="Arial" w:hAnsi="Arial" w:cs="Arial"/>
          <w:lang w:val="mk-MK"/>
        </w:rPr>
        <w:t>if</w:t>
      </w:r>
      <w:proofErr w:type="spellEnd"/>
      <w:r w:rsidRPr="00DA7947">
        <w:rPr>
          <w:rFonts w:ascii="Arial" w:hAnsi="Arial" w:cs="Arial"/>
          <w:lang w:val="mk-MK"/>
        </w:rPr>
        <w:t xml:space="preserve"> </w:t>
      </w:r>
      <w:proofErr w:type="spellStart"/>
      <w:r w:rsidRPr="00DA7947">
        <w:rPr>
          <w:rFonts w:ascii="Arial" w:hAnsi="Arial" w:cs="Arial"/>
          <w:lang w:val="mk-MK"/>
        </w:rPr>
        <w:t>they</w:t>
      </w:r>
      <w:proofErr w:type="spellEnd"/>
      <w:r w:rsidRPr="00DA7947">
        <w:rPr>
          <w:rFonts w:ascii="Arial" w:hAnsi="Arial" w:cs="Arial"/>
          <w:lang w:val="mk-MK"/>
        </w:rPr>
        <w:t xml:space="preserve"> </w:t>
      </w:r>
      <w:proofErr w:type="spellStart"/>
      <w:r w:rsidRPr="00DA7947">
        <w:rPr>
          <w:rFonts w:ascii="Arial" w:hAnsi="Arial" w:cs="Arial"/>
          <w:lang w:val="mk-MK"/>
        </w:rPr>
        <w:t>exist</w:t>
      </w:r>
      <w:proofErr w:type="spellEnd"/>
      <w:r w:rsidRPr="00DA7947">
        <w:rPr>
          <w:rFonts w:ascii="Arial" w:hAnsi="Arial" w:cs="Arial"/>
          <w:lang w:val="mk-MK"/>
        </w:rPr>
        <w:t xml:space="preserve">, </w:t>
      </w:r>
      <w:proofErr w:type="spellStart"/>
      <w:r w:rsidRPr="00DA7947">
        <w:rPr>
          <w:rFonts w:ascii="Arial" w:hAnsi="Arial" w:cs="Arial"/>
          <w:lang w:val="mk-MK"/>
        </w:rPr>
        <w:t>when</w:t>
      </w:r>
      <w:proofErr w:type="spellEnd"/>
      <w:r w:rsidRPr="00DA7947">
        <w:rPr>
          <w:rFonts w:ascii="Arial" w:hAnsi="Arial" w:cs="Arial"/>
          <w:lang w:val="mk-MK"/>
        </w:rPr>
        <w:t xml:space="preserve"> </w:t>
      </w:r>
      <w:proofErr w:type="spellStart"/>
      <w:r w:rsidRPr="00DA7947">
        <w:rPr>
          <w:rFonts w:ascii="Arial" w:hAnsi="Arial" w:cs="Arial"/>
          <w:lang w:val="mk-MK"/>
        </w:rPr>
        <w:t>there</w:t>
      </w:r>
      <w:proofErr w:type="spellEnd"/>
      <w:r w:rsidRPr="00DA7947">
        <w:rPr>
          <w:rFonts w:ascii="Arial" w:hAnsi="Arial" w:cs="Arial"/>
          <w:lang w:val="mk-MK"/>
        </w:rPr>
        <w:t xml:space="preserve"> </w:t>
      </w:r>
      <w:proofErr w:type="spellStart"/>
      <w:r w:rsidRPr="00DA7947">
        <w:rPr>
          <w:rFonts w:ascii="Arial" w:hAnsi="Arial" w:cs="Arial"/>
          <w:lang w:val="mk-MK"/>
        </w:rPr>
        <w:t>is</w:t>
      </w:r>
      <w:proofErr w:type="spellEnd"/>
      <w:r w:rsidRPr="00DA7947">
        <w:rPr>
          <w:rFonts w:ascii="Arial" w:hAnsi="Arial" w:cs="Arial"/>
          <w:lang w:val="mk-MK"/>
        </w:rPr>
        <w:t xml:space="preserve"> a </w:t>
      </w:r>
      <w:proofErr w:type="spellStart"/>
      <w:r w:rsidRPr="00DA7947">
        <w:rPr>
          <w:rFonts w:ascii="Arial" w:hAnsi="Arial" w:cs="Arial"/>
          <w:lang w:val="mk-MK"/>
        </w:rPr>
        <w:t>legally</w:t>
      </w:r>
      <w:proofErr w:type="spellEnd"/>
      <w:r w:rsidRPr="00DA7947">
        <w:rPr>
          <w:rFonts w:ascii="Arial" w:hAnsi="Arial" w:cs="Arial"/>
          <w:lang w:val="mk-MK"/>
        </w:rPr>
        <w:t xml:space="preserve"> </w:t>
      </w:r>
      <w:proofErr w:type="spellStart"/>
      <w:r w:rsidRPr="00DA7947">
        <w:rPr>
          <w:rFonts w:ascii="Arial" w:hAnsi="Arial" w:cs="Arial"/>
          <w:lang w:val="mk-MK"/>
        </w:rPr>
        <w:t>enforceable</w:t>
      </w:r>
      <w:proofErr w:type="spellEnd"/>
      <w:r w:rsidRPr="00DA7947">
        <w:rPr>
          <w:rFonts w:ascii="Arial" w:hAnsi="Arial" w:cs="Arial"/>
          <w:lang w:val="mk-MK"/>
        </w:rPr>
        <w:t xml:space="preserve"> </w:t>
      </w:r>
      <w:proofErr w:type="spellStart"/>
      <w:r w:rsidRPr="00DA7947">
        <w:rPr>
          <w:rFonts w:ascii="Arial" w:hAnsi="Arial" w:cs="Arial"/>
          <w:lang w:val="mk-MK"/>
        </w:rPr>
        <w:t>right</w:t>
      </w:r>
      <w:proofErr w:type="spellEnd"/>
      <w:r w:rsidRPr="00DA7947">
        <w:rPr>
          <w:rFonts w:ascii="Arial" w:hAnsi="Arial" w:cs="Arial"/>
          <w:lang w:val="mk-MK"/>
        </w:rPr>
        <w:t xml:space="preserve"> </w:t>
      </w:r>
      <w:proofErr w:type="spellStart"/>
      <w:r w:rsidRPr="00DA7947">
        <w:rPr>
          <w:rFonts w:ascii="Arial" w:hAnsi="Arial" w:cs="Arial"/>
          <w:lang w:val="mk-MK"/>
        </w:rPr>
        <w:t>to</w:t>
      </w:r>
      <w:proofErr w:type="spellEnd"/>
      <w:r w:rsidRPr="00DA7947">
        <w:rPr>
          <w:rFonts w:ascii="Arial" w:hAnsi="Arial" w:cs="Arial"/>
          <w:lang w:val="mk-MK"/>
        </w:rPr>
        <w:t xml:space="preserve"> </w:t>
      </w:r>
      <w:proofErr w:type="spellStart"/>
      <w:r w:rsidRPr="00DA7947">
        <w:rPr>
          <w:rFonts w:ascii="Arial" w:hAnsi="Arial" w:cs="Arial"/>
          <w:lang w:val="mk-MK"/>
        </w:rPr>
        <w:t>offset</w:t>
      </w:r>
      <w:proofErr w:type="spellEnd"/>
      <w:r w:rsidRPr="00DA7947">
        <w:rPr>
          <w:rFonts w:ascii="Arial" w:hAnsi="Arial" w:cs="Arial"/>
          <w:lang w:val="mk-MK"/>
        </w:rPr>
        <w:t xml:space="preserve"> </w:t>
      </w:r>
      <w:proofErr w:type="spellStart"/>
      <w:r w:rsidRPr="00DA7947">
        <w:rPr>
          <w:rFonts w:ascii="Arial" w:hAnsi="Arial" w:cs="Arial"/>
          <w:lang w:val="mk-MK"/>
        </w:rPr>
        <w:t>the</w:t>
      </w:r>
      <w:proofErr w:type="spellEnd"/>
      <w:r w:rsidRPr="00DA7947">
        <w:rPr>
          <w:rFonts w:ascii="Arial" w:hAnsi="Arial" w:cs="Arial"/>
          <w:lang w:val="mk-MK"/>
        </w:rPr>
        <w:t xml:space="preserve"> </w:t>
      </w:r>
      <w:proofErr w:type="spellStart"/>
      <w:r w:rsidRPr="00DA7947">
        <w:rPr>
          <w:rFonts w:ascii="Arial" w:hAnsi="Arial" w:cs="Arial"/>
          <w:lang w:val="mk-MK"/>
        </w:rPr>
        <w:t>recognized</w:t>
      </w:r>
      <w:proofErr w:type="spellEnd"/>
      <w:r w:rsidRPr="00DA7947">
        <w:rPr>
          <w:rFonts w:ascii="Arial" w:hAnsi="Arial" w:cs="Arial"/>
          <w:lang w:val="mk-MK"/>
        </w:rPr>
        <w:t xml:space="preserve"> </w:t>
      </w:r>
      <w:proofErr w:type="spellStart"/>
      <w:r w:rsidRPr="00DA7947">
        <w:rPr>
          <w:rFonts w:ascii="Arial" w:hAnsi="Arial" w:cs="Arial"/>
          <w:lang w:val="mk-MK"/>
        </w:rPr>
        <w:t>amounts</w:t>
      </w:r>
      <w:proofErr w:type="spellEnd"/>
      <w:r w:rsidRPr="00DA7947">
        <w:rPr>
          <w:rFonts w:ascii="Arial" w:hAnsi="Arial" w:cs="Arial"/>
          <w:lang w:val="mk-MK"/>
        </w:rPr>
        <w:t xml:space="preserve"> </w:t>
      </w:r>
      <w:proofErr w:type="spellStart"/>
      <w:r w:rsidRPr="00DA7947">
        <w:rPr>
          <w:rFonts w:ascii="Arial" w:hAnsi="Arial" w:cs="Arial"/>
          <w:lang w:val="mk-MK"/>
        </w:rPr>
        <w:t>and</w:t>
      </w:r>
      <w:proofErr w:type="spellEnd"/>
      <w:r w:rsidRPr="00DA7947">
        <w:rPr>
          <w:rFonts w:ascii="Arial" w:hAnsi="Arial" w:cs="Arial"/>
          <w:lang w:val="mk-MK"/>
        </w:rPr>
        <w:t xml:space="preserve"> </w:t>
      </w:r>
      <w:proofErr w:type="spellStart"/>
      <w:r w:rsidRPr="00DA7947">
        <w:rPr>
          <w:rFonts w:ascii="Arial" w:hAnsi="Arial" w:cs="Arial"/>
          <w:lang w:val="mk-MK"/>
        </w:rPr>
        <w:t>there</w:t>
      </w:r>
      <w:proofErr w:type="spellEnd"/>
      <w:r w:rsidRPr="00DA7947">
        <w:rPr>
          <w:rFonts w:ascii="Arial" w:hAnsi="Arial" w:cs="Arial"/>
          <w:lang w:val="mk-MK"/>
        </w:rPr>
        <w:t xml:space="preserve"> </w:t>
      </w:r>
      <w:proofErr w:type="spellStart"/>
      <w:r w:rsidRPr="00DA7947">
        <w:rPr>
          <w:rFonts w:ascii="Arial" w:hAnsi="Arial" w:cs="Arial"/>
          <w:lang w:val="mk-MK"/>
        </w:rPr>
        <w:t>is</w:t>
      </w:r>
      <w:proofErr w:type="spellEnd"/>
      <w:r w:rsidRPr="00DA7947">
        <w:rPr>
          <w:rFonts w:ascii="Arial" w:hAnsi="Arial" w:cs="Arial"/>
          <w:lang w:val="mk-MK"/>
        </w:rPr>
        <w:t xml:space="preserve"> </w:t>
      </w:r>
      <w:proofErr w:type="spellStart"/>
      <w:r w:rsidRPr="00DA7947">
        <w:rPr>
          <w:rFonts w:ascii="Arial" w:hAnsi="Arial" w:cs="Arial"/>
          <w:lang w:val="mk-MK"/>
        </w:rPr>
        <w:t>an</w:t>
      </w:r>
      <w:proofErr w:type="spellEnd"/>
      <w:r w:rsidRPr="00DA7947">
        <w:rPr>
          <w:rFonts w:ascii="Arial" w:hAnsi="Arial" w:cs="Arial"/>
          <w:lang w:val="mk-MK"/>
        </w:rPr>
        <w:t xml:space="preserve"> </w:t>
      </w:r>
      <w:proofErr w:type="spellStart"/>
      <w:r w:rsidRPr="00DA7947">
        <w:rPr>
          <w:rFonts w:ascii="Arial" w:hAnsi="Arial" w:cs="Arial"/>
          <w:lang w:val="mk-MK"/>
        </w:rPr>
        <w:t>intention</w:t>
      </w:r>
      <w:proofErr w:type="spellEnd"/>
      <w:r w:rsidRPr="00DA7947">
        <w:rPr>
          <w:rFonts w:ascii="Arial" w:hAnsi="Arial" w:cs="Arial"/>
          <w:lang w:val="mk-MK"/>
        </w:rPr>
        <w:t xml:space="preserve"> </w:t>
      </w:r>
      <w:proofErr w:type="spellStart"/>
      <w:r w:rsidRPr="00DA7947">
        <w:rPr>
          <w:rFonts w:ascii="Arial" w:hAnsi="Arial" w:cs="Arial"/>
          <w:lang w:val="mk-MK"/>
        </w:rPr>
        <w:t>to</w:t>
      </w:r>
      <w:proofErr w:type="spellEnd"/>
      <w:r w:rsidRPr="00DA7947">
        <w:rPr>
          <w:rFonts w:ascii="Arial" w:hAnsi="Arial" w:cs="Arial"/>
          <w:lang w:val="mk-MK"/>
        </w:rPr>
        <w:t xml:space="preserve"> </w:t>
      </w:r>
      <w:proofErr w:type="spellStart"/>
      <w:r w:rsidRPr="00DA7947">
        <w:rPr>
          <w:rFonts w:ascii="Arial" w:hAnsi="Arial" w:cs="Arial"/>
          <w:lang w:val="mk-MK"/>
        </w:rPr>
        <w:t>settle</w:t>
      </w:r>
      <w:proofErr w:type="spellEnd"/>
      <w:r w:rsidRPr="00DA7947">
        <w:rPr>
          <w:rFonts w:ascii="Arial" w:hAnsi="Arial" w:cs="Arial"/>
          <w:lang w:val="mk-MK"/>
        </w:rPr>
        <w:t xml:space="preserve"> </w:t>
      </w:r>
      <w:proofErr w:type="spellStart"/>
      <w:r w:rsidRPr="00DA7947">
        <w:rPr>
          <w:rFonts w:ascii="Arial" w:hAnsi="Arial" w:cs="Arial"/>
          <w:lang w:val="mk-MK"/>
        </w:rPr>
        <w:t>on</w:t>
      </w:r>
      <w:proofErr w:type="spellEnd"/>
      <w:r w:rsidRPr="00DA7947">
        <w:rPr>
          <w:rFonts w:ascii="Arial" w:hAnsi="Arial" w:cs="Arial"/>
          <w:lang w:val="mk-MK"/>
        </w:rPr>
        <w:t xml:space="preserve"> a </w:t>
      </w:r>
      <w:proofErr w:type="spellStart"/>
      <w:r w:rsidRPr="00DA7947">
        <w:rPr>
          <w:rFonts w:ascii="Arial" w:hAnsi="Arial" w:cs="Arial"/>
          <w:lang w:val="mk-MK"/>
        </w:rPr>
        <w:t>net</w:t>
      </w:r>
      <w:proofErr w:type="spellEnd"/>
      <w:r w:rsidRPr="00DA7947">
        <w:rPr>
          <w:rFonts w:ascii="Arial" w:hAnsi="Arial" w:cs="Arial"/>
          <w:lang w:val="mk-MK"/>
        </w:rPr>
        <w:t xml:space="preserve"> </w:t>
      </w:r>
      <w:proofErr w:type="spellStart"/>
      <w:r w:rsidRPr="00DA7947">
        <w:rPr>
          <w:rFonts w:ascii="Arial" w:hAnsi="Arial" w:cs="Arial"/>
          <w:lang w:val="mk-MK"/>
        </w:rPr>
        <w:t>basis</w:t>
      </w:r>
      <w:proofErr w:type="spellEnd"/>
      <w:r w:rsidRPr="00DA7947">
        <w:rPr>
          <w:rFonts w:ascii="Arial" w:hAnsi="Arial" w:cs="Arial"/>
          <w:lang w:val="mk-MK"/>
        </w:rPr>
        <w:t xml:space="preserve">, </w:t>
      </w:r>
      <w:proofErr w:type="spellStart"/>
      <w:r w:rsidRPr="00DA7947">
        <w:rPr>
          <w:rFonts w:ascii="Arial" w:hAnsi="Arial" w:cs="Arial"/>
          <w:lang w:val="mk-MK"/>
        </w:rPr>
        <w:t>or</w:t>
      </w:r>
      <w:proofErr w:type="spellEnd"/>
      <w:r w:rsidRPr="00DA7947">
        <w:rPr>
          <w:rFonts w:ascii="Arial" w:hAnsi="Arial" w:cs="Arial"/>
          <w:lang w:val="mk-MK"/>
        </w:rPr>
        <w:t xml:space="preserve"> </w:t>
      </w:r>
      <w:proofErr w:type="spellStart"/>
      <w:r w:rsidRPr="00DA7947">
        <w:rPr>
          <w:rFonts w:ascii="Arial" w:hAnsi="Arial" w:cs="Arial"/>
          <w:lang w:val="mk-MK"/>
        </w:rPr>
        <w:t>realize</w:t>
      </w:r>
      <w:proofErr w:type="spellEnd"/>
      <w:r w:rsidRPr="00DA7947">
        <w:rPr>
          <w:rFonts w:ascii="Arial" w:hAnsi="Arial" w:cs="Arial"/>
          <w:lang w:val="mk-MK"/>
        </w:rPr>
        <w:t xml:space="preserve"> </w:t>
      </w:r>
      <w:proofErr w:type="spellStart"/>
      <w:r w:rsidRPr="00DA7947">
        <w:rPr>
          <w:rFonts w:ascii="Arial" w:hAnsi="Arial" w:cs="Arial"/>
          <w:lang w:val="mk-MK"/>
        </w:rPr>
        <w:t>the</w:t>
      </w:r>
      <w:proofErr w:type="spellEnd"/>
      <w:r w:rsidRPr="00DA7947">
        <w:rPr>
          <w:rFonts w:ascii="Arial" w:hAnsi="Arial" w:cs="Arial"/>
          <w:lang w:val="mk-MK"/>
        </w:rPr>
        <w:t xml:space="preserve"> </w:t>
      </w:r>
      <w:proofErr w:type="spellStart"/>
      <w:r w:rsidRPr="00DA7947">
        <w:rPr>
          <w:rFonts w:ascii="Arial" w:hAnsi="Arial" w:cs="Arial"/>
          <w:lang w:val="mk-MK"/>
        </w:rPr>
        <w:t>assets</w:t>
      </w:r>
      <w:proofErr w:type="spellEnd"/>
      <w:r w:rsidRPr="00DA7947">
        <w:rPr>
          <w:rFonts w:ascii="Arial" w:hAnsi="Arial" w:cs="Arial"/>
          <w:lang w:val="mk-MK"/>
        </w:rPr>
        <w:t xml:space="preserve"> </w:t>
      </w:r>
      <w:proofErr w:type="spellStart"/>
      <w:r w:rsidRPr="00DA7947">
        <w:rPr>
          <w:rFonts w:ascii="Arial" w:hAnsi="Arial" w:cs="Arial"/>
          <w:lang w:val="mk-MK"/>
        </w:rPr>
        <w:t>and</w:t>
      </w:r>
      <w:proofErr w:type="spellEnd"/>
      <w:r w:rsidRPr="00DA7947">
        <w:rPr>
          <w:rFonts w:ascii="Arial" w:hAnsi="Arial" w:cs="Arial"/>
          <w:lang w:val="mk-MK"/>
        </w:rPr>
        <w:t xml:space="preserve"> </w:t>
      </w:r>
      <w:proofErr w:type="spellStart"/>
      <w:r w:rsidRPr="00DA7947">
        <w:rPr>
          <w:rFonts w:ascii="Arial" w:hAnsi="Arial" w:cs="Arial"/>
          <w:lang w:val="mk-MK"/>
        </w:rPr>
        <w:t>settle</w:t>
      </w:r>
      <w:proofErr w:type="spellEnd"/>
      <w:r w:rsidRPr="00DA7947">
        <w:rPr>
          <w:rFonts w:ascii="Arial" w:hAnsi="Arial" w:cs="Arial"/>
          <w:lang w:val="mk-MK"/>
        </w:rPr>
        <w:t xml:space="preserve"> </w:t>
      </w:r>
      <w:proofErr w:type="spellStart"/>
      <w:r w:rsidRPr="00DA7947">
        <w:rPr>
          <w:rFonts w:ascii="Arial" w:hAnsi="Arial" w:cs="Arial"/>
          <w:lang w:val="mk-MK"/>
        </w:rPr>
        <w:t>the</w:t>
      </w:r>
      <w:proofErr w:type="spellEnd"/>
      <w:r w:rsidRPr="00DA7947">
        <w:rPr>
          <w:rFonts w:ascii="Arial" w:hAnsi="Arial" w:cs="Arial"/>
          <w:lang w:val="mk-MK"/>
        </w:rPr>
        <w:t xml:space="preserve"> </w:t>
      </w:r>
      <w:proofErr w:type="spellStart"/>
      <w:r w:rsidRPr="00DA7947">
        <w:rPr>
          <w:rFonts w:ascii="Arial" w:hAnsi="Arial" w:cs="Arial"/>
          <w:lang w:val="mk-MK"/>
        </w:rPr>
        <w:t>liability</w:t>
      </w:r>
      <w:proofErr w:type="spellEnd"/>
      <w:r w:rsidRPr="00DA7947">
        <w:rPr>
          <w:rFonts w:ascii="Arial" w:hAnsi="Arial" w:cs="Arial"/>
          <w:lang w:val="mk-MK"/>
        </w:rPr>
        <w:t xml:space="preserve"> </w:t>
      </w:r>
      <w:proofErr w:type="spellStart"/>
      <w:r w:rsidRPr="00DA7947">
        <w:rPr>
          <w:rFonts w:ascii="Arial" w:hAnsi="Arial" w:cs="Arial"/>
          <w:lang w:val="mk-MK"/>
        </w:rPr>
        <w:t>simultaneously</w:t>
      </w:r>
      <w:proofErr w:type="spellEnd"/>
      <w:r w:rsidRPr="00DA7947">
        <w:rPr>
          <w:rFonts w:ascii="Arial" w:hAnsi="Arial" w:cs="Arial"/>
          <w:lang w:val="mk-MK"/>
        </w:rPr>
        <w:t>.</w:t>
      </w:r>
    </w:p>
    <w:p w14:paraId="5F5D97E9" w14:textId="77777777" w:rsidR="00815E65" w:rsidRPr="00CE3053" w:rsidRDefault="00815E65" w:rsidP="00815E65">
      <w:pPr>
        <w:pStyle w:val="BodyText"/>
        <w:jc w:val="both"/>
        <w:rPr>
          <w:rFonts w:ascii="Arial" w:hAnsi="Arial" w:cs="Arial"/>
          <w:lang w:val="mk-MK"/>
        </w:rPr>
      </w:pPr>
    </w:p>
    <w:p w14:paraId="63E08B00" w14:textId="77777777" w:rsidR="00150F49" w:rsidRDefault="00150F49">
      <w:pPr>
        <w:spacing w:after="0" w:line="240" w:lineRule="auto"/>
        <w:rPr>
          <w:rFonts w:ascii="Arial" w:hAnsi="Arial" w:cs="Arial"/>
          <w:b/>
          <w:color w:val="4F2D7F"/>
        </w:rPr>
      </w:pPr>
      <w:r>
        <w:rPr>
          <w:rFonts w:ascii="Arial" w:hAnsi="Arial" w:cs="Arial"/>
          <w:b/>
          <w:color w:val="4F2D7F"/>
        </w:rPr>
        <w:br w:type="page"/>
      </w:r>
    </w:p>
    <w:p w14:paraId="2499B9C9" w14:textId="77E6949F" w:rsidR="00815E65" w:rsidRPr="001E6526" w:rsidRDefault="00A561E1" w:rsidP="0061511C">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Pr>
          <w:rFonts w:ascii="Arial" w:hAnsi="Arial" w:cs="Arial"/>
          <w:b/>
          <w:color w:val="4F2D7F"/>
          <w:sz w:val="18"/>
          <w:lang w:val="en-US"/>
        </w:rPr>
        <w:lastRenderedPageBreak/>
        <w:t>Interest income and expenses</w:t>
      </w:r>
    </w:p>
    <w:p w14:paraId="0E3A7BB7" w14:textId="77777777" w:rsidR="00A561E1" w:rsidRDefault="00A561E1" w:rsidP="00815E65">
      <w:pPr>
        <w:pStyle w:val="BodyText"/>
        <w:jc w:val="both"/>
        <w:rPr>
          <w:rFonts w:ascii="Arial" w:hAnsi="Arial" w:cs="Arial"/>
          <w:lang w:val="mk-MK"/>
        </w:rPr>
      </w:pPr>
      <w:proofErr w:type="spellStart"/>
      <w:r w:rsidRPr="00A561E1">
        <w:rPr>
          <w:rFonts w:ascii="Arial" w:hAnsi="Arial" w:cs="Arial"/>
          <w:lang w:val="mk-MK"/>
        </w:rPr>
        <w:t>Interest</w:t>
      </w:r>
      <w:proofErr w:type="spellEnd"/>
      <w:r w:rsidRPr="00A561E1">
        <w:rPr>
          <w:rFonts w:ascii="Arial" w:hAnsi="Arial" w:cs="Arial"/>
          <w:lang w:val="mk-MK"/>
        </w:rPr>
        <w:t xml:space="preserve"> </w:t>
      </w:r>
      <w:proofErr w:type="spellStart"/>
      <w:r w:rsidRPr="00A561E1">
        <w:rPr>
          <w:rFonts w:ascii="Arial" w:hAnsi="Arial" w:cs="Arial"/>
          <w:lang w:val="mk-MK"/>
        </w:rPr>
        <w:t>income</w:t>
      </w:r>
      <w:proofErr w:type="spellEnd"/>
      <w:r w:rsidRPr="00A561E1">
        <w:rPr>
          <w:rFonts w:ascii="Arial" w:hAnsi="Arial" w:cs="Arial"/>
          <w:lang w:val="mk-MK"/>
        </w:rPr>
        <w:t xml:space="preserve"> </w:t>
      </w:r>
      <w:proofErr w:type="spellStart"/>
      <w:r w:rsidRPr="00A561E1">
        <w:rPr>
          <w:rFonts w:ascii="Arial" w:hAnsi="Arial" w:cs="Arial"/>
          <w:lang w:val="mk-MK"/>
        </w:rPr>
        <w:t>and</w:t>
      </w:r>
      <w:proofErr w:type="spellEnd"/>
      <w:r w:rsidRPr="00A561E1">
        <w:rPr>
          <w:rFonts w:ascii="Arial" w:hAnsi="Arial" w:cs="Arial"/>
          <w:lang w:val="mk-MK"/>
        </w:rPr>
        <w:t xml:space="preserve"> </w:t>
      </w:r>
      <w:proofErr w:type="spellStart"/>
      <w:r w:rsidRPr="00A561E1">
        <w:rPr>
          <w:rFonts w:ascii="Arial" w:hAnsi="Arial" w:cs="Arial"/>
          <w:lang w:val="mk-MK"/>
        </w:rPr>
        <w:t>expense</w:t>
      </w:r>
      <w:proofErr w:type="spellEnd"/>
      <w:r w:rsidRPr="00A561E1">
        <w:rPr>
          <w:rFonts w:ascii="Arial" w:hAnsi="Arial" w:cs="Arial"/>
          <w:lang w:val="mk-MK"/>
        </w:rPr>
        <w:t xml:space="preserve"> </w:t>
      </w:r>
      <w:proofErr w:type="spellStart"/>
      <w:r w:rsidRPr="00A561E1">
        <w:rPr>
          <w:rFonts w:ascii="Arial" w:hAnsi="Arial" w:cs="Arial"/>
          <w:lang w:val="mk-MK"/>
        </w:rPr>
        <w:t>are</w:t>
      </w:r>
      <w:proofErr w:type="spellEnd"/>
      <w:r w:rsidRPr="00A561E1">
        <w:rPr>
          <w:rFonts w:ascii="Arial" w:hAnsi="Arial" w:cs="Arial"/>
          <w:lang w:val="mk-MK"/>
        </w:rPr>
        <w:t xml:space="preserve"> </w:t>
      </w:r>
      <w:proofErr w:type="spellStart"/>
      <w:r w:rsidRPr="00A561E1">
        <w:rPr>
          <w:rFonts w:ascii="Arial" w:hAnsi="Arial" w:cs="Arial"/>
          <w:lang w:val="mk-MK"/>
        </w:rPr>
        <w:t>recognized</w:t>
      </w:r>
      <w:proofErr w:type="spellEnd"/>
      <w:r w:rsidRPr="00A561E1">
        <w:rPr>
          <w:rFonts w:ascii="Arial" w:hAnsi="Arial" w:cs="Arial"/>
          <w:lang w:val="mk-MK"/>
        </w:rPr>
        <w:t xml:space="preserve"> </w:t>
      </w:r>
      <w:proofErr w:type="spellStart"/>
      <w:r w:rsidRPr="00A561E1">
        <w:rPr>
          <w:rFonts w:ascii="Arial" w:hAnsi="Arial" w:cs="Arial"/>
          <w:lang w:val="mk-MK"/>
        </w:rPr>
        <w:t>in</w:t>
      </w:r>
      <w:proofErr w:type="spellEnd"/>
      <w:r w:rsidRPr="00A561E1">
        <w:rPr>
          <w:rFonts w:ascii="Arial" w:hAnsi="Arial" w:cs="Arial"/>
          <w:lang w:val="mk-MK"/>
        </w:rPr>
        <w:t xml:space="preserve"> </w:t>
      </w:r>
      <w:proofErr w:type="spellStart"/>
      <w:r w:rsidRPr="00A561E1">
        <w:rPr>
          <w:rFonts w:ascii="Arial" w:hAnsi="Arial" w:cs="Arial"/>
          <w:lang w:val="mk-MK"/>
        </w:rPr>
        <w:t>the</w:t>
      </w:r>
      <w:proofErr w:type="spellEnd"/>
      <w:r w:rsidRPr="00A561E1">
        <w:rPr>
          <w:rFonts w:ascii="Arial" w:hAnsi="Arial" w:cs="Arial"/>
          <w:lang w:val="mk-MK"/>
        </w:rPr>
        <w:t xml:space="preserve"> </w:t>
      </w:r>
      <w:proofErr w:type="spellStart"/>
      <w:r w:rsidRPr="00A561E1">
        <w:rPr>
          <w:rFonts w:ascii="Arial" w:hAnsi="Arial" w:cs="Arial"/>
          <w:lang w:val="mk-MK"/>
        </w:rPr>
        <w:t>Statement</w:t>
      </w:r>
      <w:proofErr w:type="spellEnd"/>
      <w:r w:rsidRPr="00A561E1">
        <w:rPr>
          <w:rFonts w:ascii="Arial" w:hAnsi="Arial" w:cs="Arial"/>
          <w:lang w:val="mk-MK"/>
        </w:rPr>
        <w:t xml:space="preserve"> </w:t>
      </w:r>
      <w:proofErr w:type="spellStart"/>
      <w:r w:rsidRPr="00A561E1">
        <w:rPr>
          <w:rFonts w:ascii="Arial" w:hAnsi="Arial" w:cs="Arial"/>
          <w:lang w:val="mk-MK"/>
        </w:rPr>
        <w:t>of</w:t>
      </w:r>
      <w:proofErr w:type="spellEnd"/>
      <w:r w:rsidRPr="00A561E1">
        <w:rPr>
          <w:rFonts w:ascii="Arial" w:hAnsi="Arial" w:cs="Arial"/>
          <w:lang w:val="mk-MK"/>
        </w:rPr>
        <w:t xml:space="preserve"> </w:t>
      </w:r>
      <w:proofErr w:type="spellStart"/>
      <w:r w:rsidRPr="00A561E1">
        <w:rPr>
          <w:rFonts w:ascii="Arial" w:hAnsi="Arial" w:cs="Arial"/>
          <w:lang w:val="mk-MK"/>
        </w:rPr>
        <w:t>comprehensive</w:t>
      </w:r>
      <w:proofErr w:type="spellEnd"/>
      <w:r w:rsidRPr="00A561E1">
        <w:rPr>
          <w:rFonts w:ascii="Arial" w:hAnsi="Arial" w:cs="Arial"/>
          <w:lang w:val="mk-MK"/>
        </w:rPr>
        <w:t xml:space="preserve"> </w:t>
      </w:r>
      <w:proofErr w:type="spellStart"/>
      <w:r w:rsidRPr="00A561E1">
        <w:rPr>
          <w:rFonts w:ascii="Arial" w:hAnsi="Arial" w:cs="Arial"/>
          <w:lang w:val="mk-MK"/>
        </w:rPr>
        <w:t>income</w:t>
      </w:r>
      <w:proofErr w:type="spellEnd"/>
      <w:r w:rsidRPr="00A561E1">
        <w:rPr>
          <w:rFonts w:ascii="Arial" w:hAnsi="Arial" w:cs="Arial"/>
          <w:lang w:val="mk-MK"/>
        </w:rPr>
        <w:t xml:space="preserve"> </w:t>
      </w:r>
      <w:proofErr w:type="spellStart"/>
      <w:r w:rsidRPr="00A561E1">
        <w:rPr>
          <w:rFonts w:ascii="Arial" w:hAnsi="Arial" w:cs="Arial"/>
          <w:lang w:val="mk-MK"/>
        </w:rPr>
        <w:t>for</w:t>
      </w:r>
      <w:proofErr w:type="spellEnd"/>
      <w:r w:rsidRPr="00A561E1">
        <w:rPr>
          <w:rFonts w:ascii="Arial" w:hAnsi="Arial" w:cs="Arial"/>
          <w:lang w:val="mk-MK"/>
        </w:rPr>
        <w:t xml:space="preserve"> </w:t>
      </w:r>
      <w:proofErr w:type="spellStart"/>
      <w:r w:rsidRPr="00A561E1">
        <w:rPr>
          <w:rFonts w:ascii="Arial" w:hAnsi="Arial" w:cs="Arial"/>
          <w:lang w:val="mk-MK"/>
        </w:rPr>
        <w:t>all</w:t>
      </w:r>
      <w:proofErr w:type="spellEnd"/>
      <w:r w:rsidRPr="00A561E1">
        <w:rPr>
          <w:rFonts w:ascii="Arial" w:hAnsi="Arial" w:cs="Arial"/>
          <w:lang w:val="mk-MK"/>
        </w:rPr>
        <w:t xml:space="preserve"> </w:t>
      </w:r>
      <w:proofErr w:type="spellStart"/>
      <w:r w:rsidRPr="00A561E1">
        <w:rPr>
          <w:rFonts w:ascii="Arial" w:hAnsi="Arial" w:cs="Arial"/>
          <w:lang w:val="mk-MK"/>
        </w:rPr>
        <w:t>interest</w:t>
      </w:r>
      <w:proofErr w:type="spellEnd"/>
      <w:r w:rsidRPr="00A561E1">
        <w:rPr>
          <w:rFonts w:ascii="Arial" w:hAnsi="Arial" w:cs="Arial"/>
          <w:lang w:val="mk-MK"/>
        </w:rPr>
        <w:t xml:space="preserve"> </w:t>
      </w:r>
      <w:proofErr w:type="spellStart"/>
      <w:r w:rsidRPr="00A561E1">
        <w:rPr>
          <w:rFonts w:ascii="Arial" w:hAnsi="Arial" w:cs="Arial"/>
          <w:lang w:val="mk-MK"/>
        </w:rPr>
        <w:t>bearing</w:t>
      </w:r>
      <w:proofErr w:type="spellEnd"/>
      <w:r w:rsidRPr="00A561E1">
        <w:rPr>
          <w:rFonts w:ascii="Arial" w:hAnsi="Arial" w:cs="Arial"/>
          <w:lang w:val="mk-MK"/>
        </w:rPr>
        <w:t xml:space="preserve"> </w:t>
      </w:r>
      <w:proofErr w:type="spellStart"/>
      <w:r w:rsidRPr="00A561E1">
        <w:rPr>
          <w:rFonts w:ascii="Arial" w:hAnsi="Arial" w:cs="Arial"/>
          <w:lang w:val="mk-MK"/>
        </w:rPr>
        <w:t>financial</w:t>
      </w:r>
      <w:proofErr w:type="spellEnd"/>
      <w:r w:rsidRPr="00A561E1">
        <w:rPr>
          <w:rFonts w:ascii="Arial" w:hAnsi="Arial" w:cs="Arial"/>
          <w:lang w:val="mk-MK"/>
        </w:rPr>
        <w:t xml:space="preserve"> </w:t>
      </w:r>
      <w:proofErr w:type="spellStart"/>
      <w:r w:rsidRPr="00A561E1">
        <w:rPr>
          <w:rFonts w:ascii="Arial" w:hAnsi="Arial" w:cs="Arial"/>
          <w:lang w:val="mk-MK"/>
        </w:rPr>
        <w:t>assets</w:t>
      </w:r>
      <w:proofErr w:type="spellEnd"/>
      <w:r w:rsidRPr="00A561E1">
        <w:rPr>
          <w:rFonts w:ascii="Arial" w:hAnsi="Arial" w:cs="Arial"/>
          <w:lang w:val="mk-MK"/>
        </w:rPr>
        <w:t xml:space="preserve"> </w:t>
      </w:r>
      <w:proofErr w:type="spellStart"/>
      <w:r w:rsidRPr="00A561E1">
        <w:rPr>
          <w:rFonts w:ascii="Arial" w:hAnsi="Arial" w:cs="Arial"/>
          <w:lang w:val="mk-MK"/>
        </w:rPr>
        <w:t>and</w:t>
      </w:r>
      <w:proofErr w:type="spellEnd"/>
      <w:r w:rsidRPr="00A561E1">
        <w:rPr>
          <w:rFonts w:ascii="Arial" w:hAnsi="Arial" w:cs="Arial"/>
          <w:lang w:val="mk-MK"/>
        </w:rPr>
        <w:t xml:space="preserve"> </w:t>
      </w:r>
      <w:proofErr w:type="spellStart"/>
      <w:r w:rsidRPr="00A561E1">
        <w:rPr>
          <w:rFonts w:ascii="Arial" w:hAnsi="Arial" w:cs="Arial"/>
          <w:lang w:val="mk-MK"/>
        </w:rPr>
        <w:t>liabilities</w:t>
      </w:r>
      <w:proofErr w:type="spellEnd"/>
      <w:r w:rsidRPr="00A561E1">
        <w:rPr>
          <w:rFonts w:ascii="Arial" w:hAnsi="Arial" w:cs="Arial"/>
          <w:lang w:val="mk-MK"/>
        </w:rPr>
        <w:t xml:space="preserve"> </w:t>
      </w:r>
      <w:proofErr w:type="spellStart"/>
      <w:r w:rsidRPr="00A561E1">
        <w:rPr>
          <w:rFonts w:ascii="Arial" w:hAnsi="Arial" w:cs="Arial"/>
          <w:lang w:val="mk-MK"/>
        </w:rPr>
        <w:t>using</w:t>
      </w:r>
      <w:proofErr w:type="spellEnd"/>
      <w:r w:rsidRPr="00A561E1">
        <w:rPr>
          <w:rFonts w:ascii="Arial" w:hAnsi="Arial" w:cs="Arial"/>
          <w:lang w:val="mk-MK"/>
        </w:rPr>
        <w:t xml:space="preserve"> </w:t>
      </w:r>
      <w:proofErr w:type="spellStart"/>
      <w:r w:rsidRPr="00A561E1">
        <w:rPr>
          <w:rFonts w:ascii="Arial" w:hAnsi="Arial" w:cs="Arial"/>
          <w:lang w:val="mk-MK"/>
        </w:rPr>
        <w:t>the</w:t>
      </w:r>
      <w:proofErr w:type="spellEnd"/>
      <w:r w:rsidRPr="00A561E1">
        <w:rPr>
          <w:rFonts w:ascii="Arial" w:hAnsi="Arial" w:cs="Arial"/>
          <w:lang w:val="mk-MK"/>
        </w:rPr>
        <w:t xml:space="preserve"> </w:t>
      </w:r>
      <w:proofErr w:type="spellStart"/>
      <w:r w:rsidRPr="00A561E1">
        <w:rPr>
          <w:rFonts w:ascii="Arial" w:hAnsi="Arial" w:cs="Arial"/>
          <w:lang w:val="mk-MK"/>
        </w:rPr>
        <w:t>effective</w:t>
      </w:r>
      <w:proofErr w:type="spellEnd"/>
      <w:r w:rsidRPr="00A561E1">
        <w:rPr>
          <w:rFonts w:ascii="Arial" w:hAnsi="Arial" w:cs="Arial"/>
          <w:lang w:val="mk-MK"/>
        </w:rPr>
        <w:t xml:space="preserve"> </w:t>
      </w:r>
      <w:proofErr w:type="spellStart"/>
      <w:r w:rsidRPr="00A561E1">
        <w:rPr>
          <w:rFonts w:ascii="Arial" w:hAnsi="Arial" w:cs="Arial"/>
          <w:lang w:val="mk-MK"/>
        </w:rPr>
        <w:t>interest</w:t>
      </w:r>
      <w:proofErr w:type="spellEnd"/>
      <w:r w:rsidRPr="00A561E1">
        <w:rPr>
          <w:rFonts w:ascii="Arial" w:hAnsi="Arial" w:cs="Arial"/>
          <w:lang w:val="mk-MK"/>
        </w:rPr>
        <w:t xml:space="preserve"> </w:t>
      </w:r>
      <w:proofErr w:type="spellStart"/>
      <w:r w:rsidRPr="00A561E1">
        <w:rPr>
          <w:rFonts w:ascii="Arial" w:hAnsi="Arial" w:cs="Arial"/>
          <w:lang w:val="mk-MK"/>
        </w:rPr>
        <w:t>method</w:t>
      </w:r>
      <w:proofErr w:type="spellEnd"/>
      <w:r w:rsidRPr="00A561E1">
        <w:rPr>
          <w:rFonts w:ascii="Arial" w:hAnsi="Arial" w:cs="Arial"/>
          <w:lang w:val="mk-MK"/>
        </w:rPr>
        <w:t>.</w:t>
      </w:r>
    </w:p>
    <w:p w14:paraId="36DED4E0" w14:textId="0C9ABA83" w:rsidR="002B3383" w:rsidRPr="00CE3053" w:rsidRDefault="002B3383" w:rsidP="00815E65">
      <w:pPr>
        <w:pStyle w:val="BodyText"/>
        <w:jc w:val="both"/>
        <w:rPr>
          <w:rFonts w:ascii="Arial" w:hAnsi="Arial" w:cs="Arial"/>
          <w:lang w:val="mk-MK"/>
        </w:rPr>
      </w:pPr>
      <w:proofErr w:type="spellStart"/>
      <w:r w:rsidRPr="002B3383">
        <w:rPr>
          <w:rFonts w:ascii="Arial" w:hAnsi="Arial" w:cs="Arial"/>
          <w:lang w:val="mk-MK"/>
        </w:rPr>
        <w:t>Effective</w:t>
      </w:r>
      <w:proofErr w:type="spellEnd"/>
      <w:r w:rsidRPr="002B3383">
        <w:rPr>
          <w:rFonts w:ascii="Arial" w:hAnsi="Arial" w:cs="Arial"/>
          <w:lang w:val="mk-MK"/>
        </w:rPr>
        <w:t xml:space="preserve"> </w:t>
      </w:r>
      <w:proofErr w:type="spellStart"/>
      <w:r w:rsidRPr="002B3383">
        <w:rPr>
          <w:rFonts w:ascii="Arial" w:hAnsi="Arial" w:cs="Arial"/>
          <w:lang w:val="mk-MK"/>
        </w:rPr>
        <w:t>interest</w:t>
      </w:r>
      <w:proofErr w:type="spellEnd"/>
      <w:r w:rsidRPr="002B3383">
        <w:rPr>
          <w:rFonts w:ascii="Arial" w:hAnsi="Arial" w:cs="Arial"/>
          <w:lang w:val="mk-MK"/>
        </w:rPr>
        <w:t xml:space="preserve"> </w:t>
      </w:r>
      <w:proofErr w:type="spellStart"/>
      <w:r w:rsidRPr="002B3383">
        <w:rPr>
          <w:rFonts w:ascii="Arial" w:hAnsi="Arial" w:cs="Arial"/>
          <w:lang w:val="mk-MK"/>
        </w:rPr>
        <w:t>method</w:t>
      </w:r>
      <w:proofErr w:type="spellEnd"/>
      <w:r w:rsidRPr="002B3383">
        <w:rPr>
          <w:rFonts w:ascii="Arial" w:hAnsi="Arial" w:cs="Arial"/>
          <w:lang w:val="mk-MK"/>
        </w:rPr>
        <w:t xml:space="preserve"> </w:t>
      </w:r>
      <w:proofErr w:type="spellStart"/>
      <w:r w:rsidRPr="002B3383">
        <w:rPr>
          <w:rFonts w:ascii="Arial" w:hAnsi="Arial" w:cs="Arial"/>
          <w:lang w:val="mk-MK"/>
        </w:rPr>
        <w:t>is</w:t>
      </w:r>
      <w:proofErr w:type="spellEnd"/>
      <w:r w:rsidRPr="002B3383">
        <w:rPr>
          <w:rFonts w:ascii="Arial" w:hAnsi="Arial" w:cs="Arial"/>
          <w:lang w:val="mk-MK"/>
        </w:rPr>
        <w:t xml:space="preserve"> </w:t>
      </w:r>
      <w:proofErr w:type="spellStart"/>
      <w:r w:rsidRPr="002B3383">
        <w:rPr>
          <w:rFonts w:ascii="Arial" w:hAnsi="Arial" w:cs="Arial"/>
          <w:lang w:val="mk-MK"/>
        </w:rPr>
        <w:t>the</w:t>
      </w:r>
      <w:proofErr w:type="spellEnd"/>
      <w:r w:rsidRPr="002B3383">
        <w:rPr>
          <w:rFonts w:ascii="Arial" w:hAnsi="Arial" w:cs="Arial"/>
          <w:lang w:val="mk-MK"/>
        </w:rPr>
        <w:t xml:space="preserve"> </w:t>
      </w:r>
      <w:proofErr w:type="spellStart"/>
      <w:r w:rsidRPr="002B3383">
        <w:rPr>
          <w:rFonts w:ascii="Arial" w:hAnsi="Arial" w:cs="Arial"/>
          <w:lang w:val="mk-MK"/>
        </w:rPr>
        <w:t>method</w:t>
      </w:r>
      <w:proofErr w:type="spellEnd"/>
      <w:r w:rsidRPr="002B3383">
        <w:rPr>
          <w:rFonts w:ascii="Arial" w:hAnsi="Arial" w:cs="Arial"/>
          <w:lang w:val="mk-MK"/>
        </w:rPr>
        <w:t xml:space="preserve"> </w:t>
      </w:r>
      <w:proofErr w:type="spellStart"/>
      <w:r w:rsidRPr="002B3383">
        <w:rPr>
          <w:rFonts w:ascii="Arial" w:hAnsi="Arial" w:cs="Arial"/>
          <w:lang w:val="mk-MK"/>
        </w:rPr>
        <w:t>of</w:t>
      </w:r>
      <w:proofErr w:type="spellEnd"/>
      <w:r w:rsidRPr="002B3383">
        <w:rPr>
          <w:rFonts w:ascii="Arial" w:hAnsi="Arial" w:cs="Arial"/>
          <w:lang w:val="mk-MK"/>
        </w:rPr>
        <w:t xml:space="preserve"> </w:t>
      </w:r>
      <w:proofErr w:type="spellStart"/>
      <w:r w:rsidRPr="002B3383">
        <w:rPr>
          <w:rFonts w:ascii="Arial" w:hAnsi="Arial" w:cs="Arial"/>
          <w:lang w:val="mk-MK"/>
        </w:rPr>
        <w:t>calculating</w:t>
      </w:r>
      <w:proofErr w:type="spellEnd"/>
      <w:r w:rsidRPr="002B3383">
        <w:rPr>
          <w:rFonts w:ascii="Arial" w:hAnsi="Arial" w:cs="Arial"/>
          <w:lang w:val="mk-MK"/>
        </w:rPr>
        <w:t xml:space="preserve"> </w:t>
      </w:r>
      <w:proofErr w:type="spellStart"/>
      <w:r w:rsidRPr="002B3383">
        <w:rPr>
          <w:rFonts w:ascii="Arial" w:hAnsi="Arial" w:cs="Arial"/>
          <w:lang w:val="mk-MK"/>
        </w:rPr>
        <w:t>amortized</w:t>
      </w:r>
      <w:proofErr w:type="spellEnd"/>
      <w:r w:rsidRPr="002B3383">
        <w:rPr>
          <w:rFonts w:ascii="Arial" w:hAnsi="Arial" w:cs="Arial"/>
          <w:lang w:val="mk-MK"/>
        </w:rPr>
        <w:t xml:space="preserve"> </w:t>
      </w:r>
      <w:proofErr w:type="spellStart"/>
      <w:r w:rsidRPr="002B3383">
        <w:rPr>
          <w:rFonts w:ascii="Arial" w:hAnsi="Arial" w:cs="Arial"/>
          <w:lang w:val="mk-MK"/>
        </w:rPr>
        <w:t>cost</w:t>
      </w:r>
      <w:proofErr w:type="spellEnd"/>
      <w:r w:rsidRPr="002B3383">
        <w:rPr>
          <w:rFonts w:ascii="Arial" w:hAnsi="Arial" w:cs="Arial"/>
          <w:lang w:val="mk-MK"/>
        </w:rPr>
        <w:t xml:space="preserve"> </w:t>
      </w:r>
      <w:proofErr w:type="spellStart"/>
      <w:r w:rsidRPr="002B3383">
        <w:rPr>
          <w:rFonts w:ascii="Arial" w:hAnsi="Arial" w:cs="Arial"/>
          <w:lang w:val="mk-MK"/>
        </w:rPr>
        <w:t>of</w:t>
      </w:r>
      <w:proofErr w:type="spellEnd"/>
      <w:r w:rsidRPr="002B3383">
        <w:rPr>
          <w:rFonts w:ascii="Arial" w:hAnsi="Arial" w:cs="Arial"/>
          <w:lang w:val="mk-MK"/>
        </w:rPr>
        <w:t xml:space="preserve"> a </w:t>
      </w:r>
      <w:proofErr w:type="spellStart"/>
      <w:r w:rsidRPr="002B3383">
        <w:rPr>
          <w:rFonts w:ascii="Arial" w:hAnsi="Arial" w:cs="Arial"/>
          <w:lang w:val="mk-MK"/>
        </w:rPr>
        <w:t>financial</w:t>
      </w:r>
      <w:proofErr w:type="spellEnd"/>
      <w:r w:rsidRPr="002B3383">
        <w:rPr>
          <w:rFonts w:ascii="Arial" w:hAnsi="Arial" w:cs="Arial"/>
          <w:lang w:val="mk-MK"/>
        </w:rPr>
        <w:t xml:space="preserve"> </w:t>
      </w:r>
      <w:proofErr w:type="spellStart"/>
      <w:r w:rsidRPr="002B3383">
        <w:rPr>
          <w:rFonts w:ascii="Arial" w:hAnsi="Arial" w:cs="Arial"/>
          <w:lang w:val="mk-MK"/>
        </w:rPr>
        <w:t>asset</w:t>
      </w:r>
      <w:proofErr w:type="spellEnd"/>
      <w:r w:rsidRPr="002B3383">
        <w:rPr>
          <w:rFonts w:ascii="Arial" w:hAnsi="Arial" w:cs="Arial"/>
          <w:lang w:val="mk-MK"/>
        </w:rPr>
        <w:t xml:space="preserve"> </w:t>
      </w:r>
      <w:proofErr w:type="spellStart"/>
      <w:r w:rsidRPr="002B3383">
        <w:rPr>
          <w:rFonts w:ascii="Arial" w:hAnsi="Arial" w:cs="Arial"/>
          <w:lang w:val="mk-MK"/>
        </w:rPr>
        <w:t>or</w:t>
      </w:r>
      <w:proofErr w:type="spellEnd"/>
      <w:r w:rsidRPr="002B3383">
        <w:rPr>
          <w:rFonts w:ascii="Arial" w:hAnsi="Arial" w:cs="Arial"/>
          <w:lang w:val="mk-MK"/>
        </w:rPr>
        <w:t xml:space="preserve"> </w:t>
      </w:r>
      <w:proofErr w:type="spellStart"/>
      <w:r w:rsidRPr="002B3383">
        <w:rPr>
          <w:rFonts w:ascii="Arial" w:hAnsi="Arial" w:cs="Arial"/>
          <w:lang w:val="mk-MK"/>
        </w:rPr>
        <w:t>financial</w:t>
      </w:r>
      <w:proofErr w:type="spellEnd"/>
      <w:r w:rsidRPr="002B3383">
        <w:rPr>
          <w:rFonts w:ascii="Arial" w:hAnsi="Arial" w:cs="Arial"/>
          <w:lang w:val="mk-MK"/>
        </w:rPr>
        <w:t xml:space="preserve"> </w:t>
      </w:r>
      <w:proofErr w:type="spellStart"/>
      <w:r w:rsidRPr="002B3383">
        <w:rPr>
          <w:rFonts w:ascii="Arial" w:hAnsi="Arial" w:cs="Arial"/>
          <w:lang w:val="mk-MK"/>
        </w:rPr>
        <w:t>liability</w:t>
      </w:r>
      <w:proofErr w:type="spellEnd"/>
      <w:r w:rsidRPr="002B3383">
        <w:rPr>
          <w:rFonts w:ascii="Arial" w:hAnsi="Arial" w:cs="Arial"/>
          <w:lang w:val="mk-MK"/>
        </w:rPr>
        <w:t xml:space="preserve"> </w:t>
      </w:r>
      <w:proofErr w:type="spellStart"/>
      <w:r w:rsidRPr="002B3383">
        <w:rPr>
          <w:rFonts w:ascii="Arial" w:hAnsi="Arial" w:cs="Arial"/>
          <w:lang w:val="mk-MK"/>
        </w:rPr>
        <w:t>over</w:t>
      </w:r>
      <w:proofErr w:type="spellEnd"/>
      <w:r w:rsidRPr="002B3383">
        <w:rPr>
          <w:rFonts w:ascii="Arial" w:hAnsi="Arial" w:cs="Arial"/>
          <w:lang w:val="mk-MK"/>
        </w:rPr>
        <w:t xml:space="preserve"> </w:t>
      </w:r>
      <w:proofErr w:type="spellStart"/>
      <w:r w:rsidRPr="002B3383">
        <w:rPr>
          <w:rFonts w:ascii="Arial" w:hAnsi="Arial" w:cs="Arial"/>
          <w:lang w:val="mk-MK"/>
        </w:rPr>
        <w:t>the</w:t>
      </w:r>
      <w:proofErr w:type="spellEnd"/>
      <w:r w:rsidRPr="002B3383">
        <w:rPr>
          <w:rFonts w:ascii="Arial" w:hAnsi="Arial" w:cs="Arial"/>
          <w:lang w:val="mk-MK"/>
        </w:rPr>
        <w:t xml:space="preserve"> </w:t>
      </w:r>
      <w:proofErr w:type="spellStart"/>
      <w:r w:rsidRPr="002B3383">
        <w:rPr>
          <w:rFonts w:ascii="Arial" w:hAnsi="Arial" w:cs="Arial"/>
          <w:lang w:val="mk-MK"/>
        </w:rPr>
        <w:t>relevant</w:t>
      </w:r>
      <w:proofErr w:type="spellEnd"/>
      <w:r w:rsidRPr="002B3383">
        <w:rPr>
          <w:rFonts w:ascii="Arial" w:hAnsi="Arial" w:cs="Arial"/>
          <w:lang w:val="mk-MK"/>
        </w:rPr>
        <w:t xml:space="preserve"> </w:t>
      </w:r>
      <w:proofErr w:type="spellStart"/>
      <w:r w:rsidRPr="002B3383">
        <w:rPr>
          <w:rFonts w:ascii="Arial" w:hAnsi="Arial" w:cs="Arial"/>
          <w:lang w:val="mk-MK"/>
        </w:rPr>
        <w:t>period</w:t>
      </w:r>
      <w:proofErr w:type="spellEnd"/>
      <w:r w:rsidRPr="002B3383">
        <w:rPr>
          <w:rFonts w:ascii="Arial" w:hAnsi="Arial" w:cs="Arial"/>
          <w:lang w:val="mk-MK"/>
        </w:rPr>
        <w:t xml:space="preserve">. </w:t>
      </w:r>
      <w:proofErr w:type="spellStart"/>
      <w:r w:rsidRPr="002B3383">
        <w:rPr>
          <w:rFonts w:ascii="Arial" w:hAnsi="Arial" w:cs="Arial"/>
          <w:lang w:val="mk-MK"/>
        </w:rPr>
        <w:t>Effective</w:t>
      </w:r>
      <w:proofErr w:type="spellEnd"/>
      <w:r w:rsidRPr="002B3383">
        <w:rPr>
          <w:rFonts w:ascii="Arial" w:hAnsi="Arial" w:cs="Arial"/>
          <w:lang w:val="mk-MK"/>
        </w:rPr>
        <w:t xml:space="preserve"> </w:t>
      </w:r>
      <w:proofErr w:type="spellStart"/>
      <w:r w:rsidRPr="002B3383">
        <w:rPr>
          <w:rFonts w:ascii="Arial" w:hAnsi="Arial" w:cs="Arial"/>
          <w:lang w:val="mk-MK"/>
        </w:rPr>
        <w:t>interest</w:t>
      </w:r>
      <w:proofErr w:type="spellEnd"/>
      <w:r w:rsidRPr="002B3383">
        <w:rPr>
          <w:rFonts w:ascii="Arial" w:hAnsi="Arial" w:cs="Arial"/>
          <w:lang w:val="mk-MK"/>
        </w:rPr>
        <w:t xml:space="preserve"> </w:t>
      </w:r>
      <w:proofErr w:type="spellStart"/>
      <w:r w:rsidRPr="002B3383">
        <w:rPr>
          <w:rFonts w:ascii="Arial" w:hAnsi="Arial" w:cs="Arial"/>
          <w:lang w:val="mk-MK"/>
        </w:rPr>
        <w:t>rate</w:t>
      </w:r>
      <w:proofErr w:type="spellEnd"/>
      <w:r w:rsidRPr="002B3383">
        <w:rPr>
          <w:rFonts w:ascii="Arial" w:hAnsi="Arial" w:cs="Arial"/>
          <w:lang w:val="mk-MK"/>
        </w:rPr>
        <w:t xml:space="preserve"> </w:t>
      </w:r>
      <w:proofErr w:type="spellStart"/>
      <w:r w:rsidRPr="002B3383">
        <w:rPr>
          <w:rFonts w:ascii="Arial" w:hAnsi="Arial" w:cs="Arial"/>
          <w:lang w:val="mk-MK"/>
        </w:rPr>
        <w:t>exactly</w:t>
      </w:r>
      <w:proofErr w:type="spellEnd"/>
      <w:r w:rsidRPr="002B3383">
        <w:rPr>
          <w:rFonts w:ascii="Arial" w:hAnsi="Arial" w:cs="Arial"/>
          <w:lang w:val="mk-MK"/>
        </w:rPr>
        <w:t xml:space="preserve"> </w:t>
      </w:r>
      <w:proofErr w:type="spellStart"/>
      <w:r w:rsidRPr="002B3383">
        <w:rPr>
          <w:rFonts w:ascii="Arial" w:hAnsi="Arial" w:cs="Arial"/>
          <w:lang w:val="mk-MK"/>
        </w:rPr>
        <w:t>discounts</w:t>
      </w:r>
      <w:proofErr w:type="spellEnd"/>
      <w:r w:rsidRPr="002B3383">
        <w:rPr>
          <w:rFonts w:ascii="Arial" w:hAnsi="Arial" w:cs="Arial"/>
          <w:lang w:val="mk-MK"/>
        </w:rPr>
        <w:t xml:space="preserve"> </w:t>
      </w:r>
      <w:proofErr w:type="spellStart"/>
      <w:r w:rsidRPr="002B3383">
        <w:rPr>
          <w:rFonts w:ascii="Arial" w:hAnsi="Arial" w:cs="Arial"/>
          <w:lang w:val="mk-MK"/>
        </w:rPr>
        <w:t>the</w:t>
      </w:r>
      <w:proofErr w:type="spellEnd"/>
      <w:r w:rsidRPr="002B3383">
        <w:rPr>
          <w:rFonts w:ascii="Arial" w:hAnsi="Arial" w:cs="Arial"/>
          <w:lang w:val="mk-MK"/>
        </w:rPr>
        <w:t xml:space="preserve"> </w:t>
      </w:r>
      <w:proofErr w:type="spellStart"/>
      <w:r w:rsidRPr="002B3383">
        <w:rPr>
          <w:rFonts w:ascii="Arial" w:hAnsi="Arial" w:cs="Arial"/>
          <w:lang w:val="mk-MK"/>
        </w:rPr>
        <w:t>expected</w:t>
      </w:r>
      <w:proofErr w:type="spellEnd"/>
      <w:r w:rsidRPr="002B3383">
        <w:rPr>
          <w:rFonts w:ascii="Arial" w:hAnsi="Arial" w:cs="Arial"/>
          <w:lang w:val="mk-MK"/>
        </w:rPr>
        <w:t xml:space="preserve"> </w:t>
      </w:r>
      <w:proofErr w:type="spellStart"/>
      <w:r w:rsidRPr="002B3383">
        <w:rPr>
          <w:rFonts w:ascii="Arial" w:hAnsi="Arial" w:cs="Arial"/>
          <w:lang w:val="mk-MK"/>
        </w:rPr>
        <w:t>proceeds</w:t>
      </w:r>
      <w:proofErr w:type="spellEnd"/>
      <w:r w:rsidRPr="002B3383">
        <w:rPr>
          <w:rFonts w:ascii="Arial" w:hAnsi="Arial" w:cs="Arial"/>
          <w:lang w:val="mk-MK"/>
        </w:rPr>
        <w:t xml:space="preserve"> </w:t>
      </w:r>
      <w:proofErr w:type="spellStart"/>
      <w:r w:rsidRPr="002B3383">
        <w:rPr>
          <w:rFonts w:ascii="Arial" w:hAnsi="Arial" w:cs="Arial"/>
          <w:lang w:val="mk-MK"/>
        </w:rPr>
        <w:t>during</w:t>
      </w:r>
      <w:proofErr w:type="spellEnd"/>
      <w:r w:rsidRPr="002B3383">
        <w:rPr>
          <w:rFonts w:ascii="Arial" w:hAnsi="Arial" w:cs="Arial"/>
          <w:lang w:val="mk-MK"/>
        </w:rPr>
        <w:t xml:space="preserve"> </w:t>
      </w:r>
      <w:proofErr w:type="spellStart"/>
      <w:r w:rsidRPr="002B3383">
        <w:rPr>
          <w:rFonts w:ascii="Arial" w:hAnsi="Arial" w:cs="Arial"/>
          <w:lang w:val="mk-MK"/>
        </w:rPr>
        <w:t>the</w:t>
      </w:r>
      <w:proofErr w:type="spellEnd"/>
      <w:r w:rsidRPr="002B3383">
        <w:rPr>
          <w:rFonts w:ascii="Arial" w:hAnsi="Arial" w:cs="Arial"/>
          <w:lang w:val="mk-MK"/>
        </w:rPr>
        <w:t xml:space="preserve"> </w:t>
      </w:r>
      <w:proofErr w:type="spellStart"/>
      <w:r w:rsidRPr="002B3383">
        <w:rPr>
          <w:rFonts w:ascii="Arial" w:hAnsi="Arial" w:cs="Arial"/>
          <w:lang w:val="mk-MK"/>
        </w:rPr>
        <w:t>estimated</w:t>
      </w:r>
      <w:proofErr w:type="spellEnd"/>
      <w:r w:rsidRPr="002B3383">
        <w:rPr>
          <w:rFonts w:ascii="Arial" w:hAnsi="Arial" w:cs="Arial"/>
          <w:lang w:val="mk-MK"/>
        </w:rPr>
        <w:t xml:space="preserve"> </w:t>
      </w:r>
      <w:proofErr w:type="spellStart"/>
      <w:r w:rsidRPr="002B3383">
        <w:rPr>
          <w:rFonts w:ascii="Arial" w:hAnsi="Arial" w:cs="Arial"/>
          <w:lang w:val="mk-MK"/>
        </w:rPr>
        <w:t>useful</w:t>
      </w:r>
      <w:proofErr w:type="spellEnd"/>
      <w:r w:rsidRPr="002B3383">
        <w:rPr>
          <w:rFonts w:ascii="Arial" w:hAnsi="Arial" w:cs="Arial"/>
          <w:lang w:val="mk-MK"/>
        </w:rPr>
        <w:t xml:space="preserve"> </w:t>
      </w:r>
      <w:proofErr w:type="spellStart"/>
      <w:r w:rsidRPr="002B3383">
        <w:rPr>
          <w:rFonts w:ascii="Arial" w:hAnsi="Arial" w:cs="Arial"/>
          <w:lang w:val="mk-MK"/>
        </w:rPr>
        <w:t>life</w:t>
      </w:r>
      <w:proofErr w:type="spellEnd"/>
      <w:r w:rsidRPr="002B3383">
        <w:rPr>
          <w:rFonts w:ascii="Arial" w:hAnsi="Arial" w:cs="Arial"/>
          <w:lang w:val="mk-MK"/>
        </w:rPr>
        <w:t xml:space="preserve"> </w:t>
      </w:r>
      <w:proofErr w:type="spellStart"/>
      <w:r w:rsidRPr="002B3383">
        <w:rPr>
          <w:rFonts w:ascii="Arial" w:hAnsi="Arial" w:cs="Arial"/>
          <w:lang w:val="mk-MK"/>
        </w:rPr>
        <w:t>of</w:t>
      </w:r>
      <w:proofErr w:type="spellEnd"/>
      <w:r w:rsidRPr="002B3383">
        <w:rPr>
          <w:rFonts w:ascii="Arial" w:hAnsi="Arial" w:cs="Arial"/>
          <w:lang w:val="mk-MK"/>
        </w:rPr>
        <w:t xml:space="preserve"> </w:t>
      </w:r>
      <w:proofErr w:type="spellStart"/>
      <w:r w:rsidRPr="002B3383">
        <w:rPr>
          <w:rFonts w:ascii="Arial" w:hAnsi="Arial" w:cs="Arial"/>
          <w:lang w:val="mk-MK"/>
        </w:rPr>
        <w:t>the</w:t>
      </w:r>
      <w:proofErr w:type="spellEnd"/>
      <w:r w:rsidRPr="002B3383">
        <w:rPr>
          <w:rFonts w:ascii="Arial" w:hAnsi="Arial" w:cs="Arial"/>
          <w:lang w:val="mk-MK"/>
        </w:rPr>
        <w:t xml:space="preserve"> </w:t>
      </w:r>
      <w:proofErr w:type="spellStart"/>
      <w:r w:rsidRPr="002B3383">
        <w:rPr>
          <w:rFonts w:ascii="Arial" w:hAnsi="Arial" w:cs="Arial"/>
          <w:lang w:val="mk-MK"/>
        </w:rPr>
        <w:t>financial</w:t>
      </w:r>
      <w:proofErr w:type="spellEnd"/>
      <w:r w:rsidRPr="002B3383">
        <w:rPr>
          <w:rFonts w:ascii="Arial" w:hAnsi="Arial" w:cs="Arial"/>
          <w:lang w:val="mk-MK"/>
        </w:rPr>
        <w:t xml:space="preserve"> </w:t>
      </w:r>
      <w:proofErr w:type="spellStart"/>
      <w:r w:rsidRPr="002B3383">
        <w:rPr>
          <w:rFonts w:ascii="Arial" w:hAnsi="Arial" w:cs="Arial"/>
          <w:lang w:val="mk-MK"/>
        </w:rPr>
        <w:t>asset</w:t>
      </w:r>
      <w:proofErr w:type="spellEnd"/>
      <w:r w:rsidRPr="002B3383">
        <w:rPr>
          <w:rFonts w:ascii="Arial" w:hAnsi="Arial" w:cs="Arial"/>
          <w:lang w:val="mk-MK"/>
        </w:rPr>
        <w:t xml:space="preserve">, </w:t>
      </w:r>
      <w:proofErr w:type="spellStart"/>
      <w:r w:rsidRPr="002B3383">
        <w:rPr>
          <w:rFonts w:ascii="Arial" w:hAnsi="Arial" w:cs="Arial"/>
          <w:lang w:val="mk-MK"/>
        </w:rPr>
        <w:t>or</w:t>
      </w:r>
      <w:proofErr w:type="spellEnd"/>
      <w:r w:rsidRPr="002B3383">
        <w:rPr>
          <w:rFonts w:ascii="Arial" w:hAnsi="Arial" w:cs="Arial"/>
          <w:lang w:val="mk-MK"/>
        </w:rPr>
        <w:t xml:space="preserve">, </w:t>
      </w:r>
      <w:proofErr w:type="spellStart"/>
      <w:r w:rsidRPr="002B3383">
        <w:rPr>
          <w:rFonts w:ascii="Arial" w:hAnsi="Arial" w:cs="Arial"/>
          <w:lang w:val="mk-MK"/>
        </w:rPr>
        <w:t>when</w:t>
      </w:r>
      <w:proofErr w:type="spellEnd"/>
      <w:r w:rsidRPr="002B3383">
        <w:rPr>
          <w:rFonts w:ascii="Arial" w:hAnsi="Arial" w:cs="Arial"/>
          <w:lang w:val="mk-MK"/>
        </w:rPr>
        <w:t xml:space="preserve"> </w:t>
      </w:r>
      <w:proofErr w:type="spellStart"/>
      <w:r w:rsidRPr="002B3383">
        <w:rPr>
          <w:rFonts w:ascii="Arial" w:hAnsi="Arial" w:cs="Arial"/>
          <w:lang w:val="mk-MK"/>
        </w:rPr>
        <w:t>appropriate</w:t>
      </w:r>
      <w:proofErr w:type="spellEnd"/>
      <w:r w:rsidRPr="002B3383">
        <w:rPr>
          <w:rFonts w:ascii="Arial" w:hAnsi="Arial" w:cs="Arial"/>
          <w:lang w:val="mk-MK"/>
        </w:rPr>
        <w:t xml:space="preserve">, a </w:t>
      </w:r>
      <w:proofErr w:type="spellStart"/>
      <w:r w:rsidRPr="002B3383">
        <w:rPr>
          <w:rFonts w:ascii="Arial" w:hAnsi="Arial" w:cs="Arial"/>
          <w:lang w:val="mk-MK"/>
        </w:rPr>
        <w:t>shorter</w:t>
      </w:r>
      <w:proofErr w:type="spellEnd"/>
      <w:r w:rsidRPr="002B3383">
        <w:rPr>
          <w:rFonts w:ascii="Arial" w:hAnsi="Arial" w:cs="Arial"/>
          <w:lang w:val="mk-MK"/>
        </w:rPr>
        <w:t xml:space="preserve"> </w:t>
      </w:r>
      <w:proofErr w:type="spellStart"/>
      <w:r w:rsidRPr="002B3383">
        <w:rPr>
          <w:rFonts w:ascii="Arial" w:hAnsi="Arial" w:cs="Arial"/>
          <w:lang w:val="mk-MK"/>
        </w:rPr>
        <w:t>period</w:t>
      </w:r>
      <w:proofErr w:type="spellEnd"/>
      <w:r w:rsidRPr="002B3383">
        <w:rPr>
          <w:rFonts w:ascii="Arial" w:hAnsi="Arial" w:cs="Arial"/>
          <w:lang w:val="mk-MK"/>
        </w:rPr>
        <w:t xml:space="preserve"> </w:t>
      </w:r>
      <w:proofErr w:type="spellStart"/>
      <w:r w:rsidRPr="002B3383">
        <w:rPr>
          <w:rFonts w:ascii="Arial" w:hAnsi="Arial" w:cs="Arial"/>
          <w:lang w:val="mk-MK"/>
        </w:rPr>
        <w:t>to</w:t>
      </w:r>
      <w:proofErr w:type="spellEnd"/>
      <w:r w:rsidRPr="002B3383">
        <w:rPr>
          <w:rFonts w:ascii="Arial" w:hAnsi="Arial" w:cs="Arial"/>
          <w:lang w:val="mk-MK"/>
        </w:rPr>
        <w:t xml:space="preserve"> </w:t>
      </w:r>
      <w:proofErr w:type="spellStart"/>
      <w:r w:rsidRPr="002B3383">
        <w:rPr>
          <w:rFonts w:ascii="Arial" w:hAnsi="Arial" w:cs="Arial"/>
          <w:lang w:val="mk-MK"/>
        </w:rPr>
        <w:t>net</w:t>
      </w:r>
      <w:proofErr w:type="spellEnd"/>
      <w:r w:rsidRPr="002B3383">
        <w:rPr>
          <w:rFonts w:ascii="Arial" w:hAnsi="Arial" w:cs="Arial"/>
          <w:lang w:val="mk-MK"/>
        </w:rPr>
        <w:t xml:space="preserve"> </w:t>
      </w:r>
      <w:proofErr w:type="spellStart"/>
      <w:r w:rsidRPr="002B3383">
        <w:rPr>
          <w:rFonts w:ascii="Arial" w:hAnsi="Arial" w:cs="Arial"/>
          <w:lang w:val="mk-MK"/>
        </w:rPr>
        <w:t>carrying</w:t>
      </w:r>
      <w:proofErr w:type="spellEnd"/>
      <w:r w:rsidRPr="002B3383">
        <w:rPr>
          <w:rFonts w:ascii="Arial" w:hAnsi="Arial" w:cs="Arial"/>
          <w:lang w:val="mk-MK"/>
        </w:rPr>
        <w:t xml:space="preserve"> </w:t>
      </w:r>
      <w:proofErr w:type="spellStart"/>
      <w:r w:rsidRPr="002B3383">
        <w:rPr>
          <w:rFonts w:ascii="Arial" w:hAnsi="Arial" w:cs="Arial"/>
          <w:lang w:val="mk-MK"/>
        </w:rPr>
        <w:t>amount</w:t>
      </w:r>
      <w:proofErr w:type="spellEnd"/>
      <w:r w:rsidRPr="002B3383">
        <w:rPr>
          <w:rFonts w:ascii="Arial" w:hAnsi="Arial" w:cs="Arial"/>
          <w:lang w:val="mk-MK"/>
        </w:rPr>
        <w:t xml:space="preserve"> </w:t>
      </w:r>
      <w:proofErr w:type="spellStart"/>
      <w:r w:rsidRPr="002B3383">
        <w:rPr>
          <w:rFonts w:ascii="Arial" w:hAnsi="Arial" w:cs="Arial"/>
          <w:lang w:val="mk-MK"/>
        </w:rPr>
        <w:t>of</w:t>
      </w:r>
      <w:proofErr w:type="spellEnd"/>
      <w:r w:rsidRPr="002B3383">
        <w:rPr>
          <w:rFonts w:ascii="Arial" w:hAnsi="Arial" w:cs="Arial"/>
          <w:lang w:val="mk-MK"/>
        </w:rPr>
        <w:t xml:space="preserve"> </w:t>
      </w:r>
      <w:proofErr w:type="spellStart"/>
      <w:r w:rsidRPr="002B3383">
        <w:rPr>
          <w:rFonts w:ascii="Arial" w:hAnsi="Arial" w:cs="Arial"/>
          <w:lang w:val="mk-MK"/>
        </w:rPr>
        <w:t>the</w:t>
      </w:r>
      <w:proofErr w:type="spellEnd"/>
      <w:r w:rsidRPr="002B3383">
        <w:rPr>
          <w:rFonts w:ascii="Arial" w:hAnsi="Arial" w:cs="Arial"/>
          <w:lang w:val="mk-MK"/>
        </w:rPr>
        <w:t xml:space="preserve"> </w:t>
      </w:r>
      <w:proofErr w:type="spellStart"/>
      <w:r w:rsidRPr="002B3383">
        <w:rPr>
          <w:rFonts w:ascii="Arial" w:hAnsi="Arial" w:cs="Arial"/>
          <w:lang w:val="mk-MK"/>
        </w:rPr>
        <w:t>financial</w:t>
      </w:r>
      <w:proofErr w:type="spellEnd"/>
      <w:r w:rsidRPr="002B3383">
        <w:rPr>
          <w:rFonts w:ascii="Arial" w:hAnsi="Arial" w:cs="Arial"/>
          <w:lang w:val="mk-MK"/>
        </w:rPr>
        <w:t xml:space="preserve"> </w:t>
      </w:r>
      <w:proofErr w:type="spellStart"/>
      <w:r w:rsidRPr="002B3383">
        <w:rPr>
          <w:rFonts w:ascii="Arial" w:hAnsi="Arial" w:cs="Arial"/>
          <w:lang w:val="mk-MK"/>
        </w:rPr>
        <w:t>asset</w:t>
      </w:r>
      <w:proofErr w:type="spellEnd"/>
      <w:r w:rsidRPr="002B3383">
        <w:rPr>
          <w:rFonts w:ascii="Arial" w:hAnsi="Arial" w:cs="Arial"/>
          <w:lang w:val="mk-MK"/>
        </w:rPr>
        <w:t xml:space="preserve"> </w:t>
      </w:r>
      <w:proofErr w:type="spellStart"/>
      <w:r w:rsidRPr="002B3383">
        <w:rPr>
          <w:rFonts w:ascii="Arial" w:hAnsi="Arial" w:cs="Arial"/>
          <w:lang w:val="mk-MK"/>
        </w:rPr>
        <w:t>or</w:t>
      </w:r>
      <w:proofErr w:type="spellEnd"/>
      <w:r w:rsidRPr="002B3383">
        <w:rPr>
          <w:rFonts w:ascii="Arial" w:hAnsi="Arial" w:cs="Arial"/>
          <w:lang w:val="mk-MK"/>
        </w:rPr>
        <w:t xml:space="preserve"> </w:t>
      </w:r>
      <w:proofErr w:type="spellStart"/>
      <w:r w:rsidRPr="002B3383">
        <w:rPr>
          <w:rFonts w:ascii="Arial" w:hAnsi="Arial" w:cs="Arial"/>
          <w:lang w:val="mk-MK"/>
        </w:rPr>
        <w:t>financial</w:t>
      </w:r>
      <w:proofErr w:type="spellEnd"/>
      <w:r w:rsidRPr="002B3383">
        <w:rPr>
          <w:rFonts w:ascii="Arial" w:hAnsi="Arial" w:cs="Arial"/>
          <w:lang w:val="mk-MK"/>
        </w:rPr>
        <w:t xml:space="preserve"> </w:t>
      </w:r>
      <w:proofErr w:type="spellStart"/>
      <w:r w:rsidRPr="002B3383">
        <w:rPr>
          <w:rFonts w:ascii="Arial" w:hAnsi="Arial" w:cs="Arial"/>
          <w:lang w:val="mk-MK"/>
        </w:rPr>
        <w:t>liability</w:t>
      </w:r>
      <w:proofErr w:type="spellEnd"/>
      <w:r w:rsidRPr="002B3383">
        <w:rPr>
          <w:rFonts w:ascii="Arial" w:hAnsi="Arial" w:cs="Arial"/>
          <w:lang w:val="mk-MK"/>
        </w:rPr>
        <w:t xml:space="preserve">. </w:t>
      </w:r>
      <w:proofErr w:type="spellStart"/>
      <w:r w:rsidRPr="002B3383">
        <w:rPr>
          <w:rFonts w:ascii="Arial" w:hAnsi="Arial" w:cs="Arial"/>
          <w:lang w:val="mk-MK"/>
        </w:rPr>
        <w:t>When</w:t>
      </w:r>
      <w:proofErr w:type="spellEnd"/>
      <w:r w:rsidRPr="002B3383">
        <w:rPr>
          <w:rFonts w:ascii="Arial" w:hAnsi="Arial" w:cs="Arial"/>
          <w:lang w:val="mk-MK"/>
        </w:rPr>
        <w:t xml:space="preserve"> </w:t>
      </w:r>
      <w:proofErr w:type="spellStart"/>
      <w:r w:rsidRPr="002B3383">
        <w:rPr>
          <w:rFonts w:ascii="Arial" w:hAnsi="Arial" w:cs="Arial"/>
          <w:lang w:val="mk-MK"/>
        </w:rPr>
        <w:t>calculating</w:t>
      </w:r>
      <w:proofErr w:type="spellEnd"/>
      <w:r w:rsidRPr="002B3383">
        <w:rPr>
          <w:rFonts w:ascii="Arial" w:hAnsi="Arial" w:cs="Arial"/>
          <w:lang w:val="mk-MK"/>
        </w:rPr>
        <w:t xml:space="preserve"> </w:t>
      </w:r>
      <w:proofErr w:type="spellStart"/>
      <w:r w:rsidRPr="002B3383">
        <w:rPr>
          <w:rFonts w:ascii="Arial" w:hAnsi="Arial" w:cs="Arial"/>
          <w:lang w:val="mk-MK"/>
        </w:rPr>
        <w:t>the</w:t>
      </w:r>
      <w:proofErr w:type="spellEnd"/>
      <w:r w:rsidRPr="002B3383">
        <w:rPr>
          <w:rFonts w:ascii="Arial" w:hAnsi="Arial" w:cs="Arial"/>
          <w:lang w:val="mk-MK"/>
        </w:rPr>
        <w:t xml:space="preserve"> </w:t>
      </w:r>
      <w:proofErr w:type="spellStart"/>
      <w:r w:rsidRPr="002B3383">
        <w:rPr>
          <w:rFonts w:ascii="Arial" w:hAnsi="Arial" w:cs="Arial"/>
          <w:lang w:val="mk-MK"/>
        </w:rPr>
        <w:t>effective</w:t>
      </w:r>
      <w:proofErr w:type="spellEnd"/>
      <w:r w:rsidRPr="002B3383">
        <w:rPr>
          <w:rFonts w:ascii="Arial" w:hAnsi="Arial" w:cs="Arial"/>
          <w:lang w:val="mk-MK"/>
        </w:rPr>
        <w:t xml:space="preserve"> </w:t>
      </w:r>
      <w:proofErr w:type="spellStart"/>
      <w:r w:rsidRPr="002B3383">
        <w:rPr>
          <w:rFonts w:ascii="Arial" w:hAnsi="Arial" w:cs="Arial"/>
          <w:lang w:val="mk-MK"/>
        </w:rPr>
        <w:t>interest</w:t>
      </w:r>
      <w:proofErr w:type="spellEnd"/>
      <w:r w:rsidRPr="002B3383">
        <w:rPr>
          <w:rFonts w:ascii="Arial" w:hAnsi="Arial" w:cs="Arial"/>
          <w:lang w:val="mk-MK"/>
        </w:rPr>
        <w:t xml:space="preserve"> </w:t>
      </w:r>
      <w:proofErr w:type="spellStart"/>
      <w:r w:rsidRPr="002B3383">
        <w:rPr>
          <w:rFonts w:ascii="Arial" w:hAnsi="Arial" w:cs="Arial"/>
          <w:lang w:val="mk-MK"/>
        </w:rPr>
        <w:t>method</w:t>
      </w:r>
      <w:proofErr w:type="spellEnd"/>
      <w:r w:rsidRPr="002B3383">
        <w:rPr>
          <w:rFonts w:ascii="Arial" w:hAnsi="Arial" w:cs="Arial"/>
          <w:lang w:val="mk-MK"/>
        </w:rPr>
        <w:t xml:space="preserve">, </w:t>
      </w:r>
      <w:proofErr w:type="spellStart"/>
      <w:r w:rsidRPr="002B3383">
        <w:rPr>
          <w:rFonts w:ascii="Arial" w:hAnsi="Arial" w:cs="Arial"/>
          <w:lang w:val="mk-MK"/>
        </w:rPr>
        <w:t>the</w:t>
      </w:r>
      <w:proofErr w:type="spellEnd"/>
      <w:r w:rsidRPr="002B3383">
        <w:rPr>
          <w:rFonts w:ascii="Arial" w:hAnsi="Arial" w:cs="Arial"/>
          <w:lang w:val="mk-MK"/>
        </w:rPr>
        <w:t xml:space="preserve"> </w:t>
      </w:r>
      <w:proofErr w:type="spellStart"/>
      <w:r w:rsidRPr="002B3383">
        <w:rPr>
          <w:rFonts w:ascii="Arial" w:hAnsi="Arial" w:cs="Arial"/>
          <w:lang w:val="mk-MK"/>
        </w:rPr>
        <w:t>Fund</w:t>
      </w:r>
      <w:proofErr w:type="spellEnd"/>
      <w:r w:rsidRPr="002B3383">
        <w:rPr>
          <w:rFonts w:ascii="Arial" w:hAnsi="Arial" w:cs="Arial"/>
          <w:lang w:val="mk-MK"/>
        </w:rPr>
        <w:t xml:space="preserve"> </w:t>
      </w:r>
      <w:proofErr w:type="spellStart"/>
      <w:r w:rsidRPr="002B3383">
        <w:rPr>
          <w:rFonts w:ascii="Arial" w:hAnsi="Arial" w:cs="Arial"/>
          <w:lang w:val="mk-MK"/>
        </w:rPr>
        <w:t>estimates</w:t>
      </w:r>
      <w:proofErr w:type="spellEnd"/>
      <w:r w:rsidRPr="002B3383">
        <w:rPr>
          <w:rFonts w:ascii="Arial" w:hAnsi="Arial" w:cs="Arial"/>
          <w:lang w:val="mk-MK"/>
        </w:rPr>
        <w:t xml:space="preserve"> </w:t>
      </w:r>
      <w:proofErr w:type="spellStart"/>
      <w:r w:rsidRPr="002B3383">
        <w:rPr>
          <w:rFonts w:ascii="Arial" w:hAnsi="Arial" w:cs="Arial"/>
          <w:lang w:val="mk-MK"/>
        </w:rPr>
        <w:t>the</w:t>
      </w:r>
      <w:proofErr w:type="spellEnd"/>
      <w:r w:rsidRPr="002B3383">
        <w:rPr>
          <w:rFonts w:ascii="Arial" w:hAnsi="Arial" w:cs="Arial"/>
          <w:lang w:val="mk-MK"/>
        </w:rPr>
        <w:t xml:space="preserve"> </w:t>
      </w:r>
      <w:proofErr w:type="spellStart"/>
      <w:r w:rsidRPr="002B3383">
        <w:rPr>
          <w:rFonts w:ascii="Arial" w:hAnsi="Arial" w:cs="Arial"/>
          <w:lang w:val="mk-MK"/>
        </w:rPr>
        <w:t>cash</w:t>
      </w:r>
      <w:proofErr w:type="spellEnd"/>
      <w:r w:rsidRPr="002B3383">
        <w:rPr>
          <w:rFonts w:ascii="Arial" w:hAnsi="Arial" w:cs="Arial"/>
          <w:lang w:val="mk-MK"/>
        </w:rPr>
        <w:t xml:space="preserve"> </w:t>
      </w:r>
      <w:proofErr w:type="spellStart"/>
      <w:r w:rsidRPr="002B3383">
        <w:rPr>
          <w:rFonts w:ascii="Arial" w:hAnsi="Arial" w:cs="Arial"/>
          <w:lang w:val="mk-MK"/>
        </w:rPr>
        <w:t>flow</w:t>
      </w:r>
      <w:proofErr w:type="spellEnd"/>
      <w:r w:rsidRPr="002B3383">
        <w:rPr>
          <w:rFonts w:ascii="Arial" w:hAnsi="Arial" w:cs="Arial"/>
          <w:lang w:val="mk-MK"/>
        </w:rPr>
        <w:t xml:space="preserve"> </w:t>
      </w:r>
      <w:proofErr w:type="spellStart"/>
      <w:r w:rsidRPr="002B3383">
        <w:rPr>
          <w:rFonts w:ascii="Arial" w:hAnsi="Arial" w:cs="Arial"/>
          <w:lang w:val="mk-MK"/>
        </w:rPr>
        <w:t>considering</w:t>
      </w:r>
      <w:proofErr w:type="spellEnd"/>
      <w:r w:rsidRPr="002B3383">
        <w:rPr>
          <w:rFonts w:ascii="Arial" w:hAnsi="Arial" w:cs="Arial"/>
          <w:lang w:val="mk-MK"/>
        </w:rPr>
        <w:t xml:space="preserve"> </w:t>
      </w:r>
      <w:proofErr w:type="spellStart"/>
      <w:r w:rsidRPr="002B3383">
        <w:rPr>
          <w:rFonts w:ascii="Arial" w:hAnsi="Arial" w:cs="Arial"/>
          <w:lang w:val="mk-MK"/>
        </w:rPr>
        <w:t>all</w:t>
      </w:r>
      <w:proofErr w:type="spellEnd"/>
      <w:r w:rsidRPr="002B3383">
        <w:rPr>
          <w:rFonts w:ascii="Arial" w:hAnsi="Arial" w:cs="Arial"/>
          <w:lang w:val="mk-MK"/>
        </w:rPr>
        <w:t xml:space="preserve"> </w:t>
      </w:r>
      <w:proofErr w:type="spellStart"/>
      <w:r w:rsidRPr="002B3383">
        <w:rPr>
          <w:rFonts w:ascii="Arial" w:hAnsi="Arial" w:cs="Arial"/>
          <w:lang w:val="mk-MK"/>
        </w:rPr>
        <w:t>contractual</w:t>
      </w:r>
      <w:proofErr w:type="spellEnd"/>
      <w:r w:rsidRPr="002B3383">
        <w:rPr>
          <w:rFonts w:ascii="Arial" w:hAnsi="Arial" w:cs="Arial"/>
          <w:lang w:val="mk-MK"/>
        </w:rPr>
        <w:t xml:space="preserve"> </w:t>
      </w:r>
      <w:proofErr w:type="spellStart"/>
      <w:r w:rsidRPr="002B3383">
        <w:rPr>
          <w:rFonts w:ascii="Arial" w:hAnsi="Arial" w:cs="Arial"/>
          <w:lang w:val="mk-MK"/>
        </w:rPr>
        <w:t>terms</w:t>
      </w:r>
      <w:proofErr w:type="spellEnd"/>
      <w:r w:rsidRPr="002B3383">
        <w:rPr>
          <w:rFonts w:ascii="Arial" w:hAnsi="Arial" w:cs="Arial"/>
          <w:lang w:val="mk-MK"/>
        </w:rPr>
        <w:t xml:space="preserve"> </w:t>
      </w:r>
      <w:proofErr w:type="spellStart"/>
      <w:r w:rsidRPr="002B3383">
        <w:rPr>
          <w:rFonts w:ascii="Arial" w:hAnsi="Arial" w:cs="Arial"/>
          <w:lang w:val="mk-MK"/>
        </w:rPr>
        <w:t>of</w:t>
      </w:r>
      <w:proofErr w:type="spellEnd"/>
      <w:r w:rsidRPr="002B3383">
        <w:rPr>
          <w:rFonts w:ascii="Arial" w:hAnsi="Arial" w:cs="Arial"/>
          <w:lang w:val="mk-MK"/>
        </w:rPr>
        <w:t xml:space="preserve"> </w:t>
      </w:r>
      <w:proofErr w:type="spellStart"/>
      <w:r w:rsidRPr="002B3383">
        <w:rPr>
          <w:rFonts w:ascii="Arial" w:hAnsi="Arial" w:cs="Arial"/>
          <w:lang w:val="mk-MK"/>
        </w:rPr>
        <w:t>the</w:t>
      </w:r>
      <w:proofErr w:type="spellEnd"/>
      <w:r w:rsidRPr="002B3383">
        <w:rPr>
          <w:rFonts w:ascii="Arial" w:hAnsi="Arial" w:cs="Arial"/>
          <w:lang w:val="mk-MK"/>
        </w:rPr>
        <w:t xml:space="preserve"> </w:t>
      </w:r>
      <w:proofErr w:type="spellStart"/>
      <w:r w:rsidRPr="002B3383">
        <w:rPr>
          <w:rFonts w:ascii="Arial" w:hAnsi="Arial" w:cs="Arial"/>
          <w:lang w:val="mk-MK"/>
        </w:rPr>
        <w:t>financial</w:t>
      </w:r>
      <w:proofErr w:type="spellEnd"/>
      <w:r w:rsidRPr="002B3383">
        <w:rPr>
          <w:rFonts w:ascii="Arial" w:hAnsi="Arial" w:cs="Arial"/>
          <w:lang w:val="mk-MK"/>
        </w:rPr>
        <w:t xml:space="preserve"> </w:t>
      </w:r>
      <w:proofErr w:type="spellStart"/>
      <w:r w:rsidRPr="002B3383">
        <w:rPr>
          <w:rFonts w:ascii="Arial" w:hAnsi="Arial" w:cs="Arial"/>
          <w:lang w:val="mk-MK"/>
        </w:rPr>
        <w:t>instruments</w:t>
      </w:r>
      <w:proofErr w:type="spellEnd"/>
      <w:r w:rsidRPr="002B3383">
        <w:rPr>
          <w:rFonts w:ascii="Arial" w:hAnsi="Arial" w:cs="Arial"/>
          <w:lang w:val="mk-MK"/>
        </w:rPr>
        <w:t xml:space="preserve">, </w:t>
      </w:r>
      <w:proofErr w:type="spellStart"/>
      <w:r w:rsidRPr="002B3383">
        <w:rPr>
          <w:rFonts w:ascii="Arial" w:hAnsi="Arial" w:cs="Arial"/>
          <w:lang w:val="mk-MK"/>
        </w:rPr>
        <w:t>but</w:t>
      </w:r>
      <w:proofErr w:type="spellEnd"/>
      <w:r w:rsidRPr="002B3383">
        <w:rPr>
          <w:rFonts w:ascii="Arial" w:hAnsi="Arial" w:cs="Arial"/>
          <w:lang w:val="mk-MK"/>
        </w:rPr>
        <w:t xml:space="preserve"> </w:t>
      </w:r>
      <w:proofErr w:type="spellStart"/>
      <w:r w:rsidRPr="002B3383">
        <w:rPr>
          <w:rFonts w:ascii="Arial" w:hAnsi="Arial" w:cs="Arial"/>
          <w:lang w:val="mk-MK"/>
        </w:rPr>
        <w:t>does</w:t>
      </w:r>
      <w:proofErr w:type="spellEnd"/>
      <w:r w:rsidRPr="002B3383">
        <w:rPr>
          <w:rFonts w:ascii="Arial" w:hAnsi="Arial" w:cs="Arial"/>
          <w:lang w:val="mk-MK"/>
        </w:rPr>
        <w:t xml:space="preserve"> </w:t>
      </w:r>
      <w:proofErr w:type="spellStart"/>
      <w:r w:rsidRPr="002B3383">
        <w:rPr>
          <w:rFonts w:ascii="Arial" w:hAnsi="Arial" w:cs="Arial"/>
          <w:lang w:val="mk-MK"/>
        </w:rPr>
        <w:t>not</w:t>
      </w:r>
      <w:proofErr w:type="spellEnd"/>
      <w:r w:rsidRPr="002B3383">
        <w:rPr>
          <w:rFonts w:ascii="Arial" w:hAnsi="Arial" w:cs="Arial"/>
          <w:lang w:val="mk-MK"/>
        </w:rPr>
        <w:t xml:space="preserve"> </w:t>
      </w:r>
      <w:proofErr w:type="spellStart"/>
      <w:r w:rsidRPr="002B3383">
        <w:rPr>
          <w:rFonts w:ascii="Arial" w:hAnsi="Arial" w:cs="Arial"/>
          <w:lang w:val="mk-MK"/>
        </w:rPr>
        <w:t>consider</w:t>
      </w:r>
      <w:proofErr w:type="spellEnd"/>
      <w:r w:rsidRPr="002B3383">
        <w:rPr>
          <w:rFonts w:ascii="Arial" w:hAnsi="Arial" w:cs="Arial"/>
          <w:lang w:val="mk-MK"/>
        </w:rPr>
        <w:t xml:space="preserve"> </w:t>
      </w:r>
      <w:proofErr w:type="spellStart"/>
      <w:r w:rsidRPr="002B3383">
        <w:rPr>
          <w:rFonts w:ascii="Arial" w:hAnsi="Arial" w:cs="Arial"/>
          <w:lang w:val="mk-MK"/>
        </w:rPr>
        <w:t>future</w:t>
      </w:r>
      <w:proofErr w:type="spellEnd"/>
      <w:r>
        <w:rPr>
          <w:rFonts w:ascii="Arial" w:hAnsi="Arial" w:cs="Arial"/>
          <w:lang w:val="en-US"/>
        </w:rPr>
        <w:t xml:space="preserve"> </w:t>
      </w:r>
      <w:proofErr w:type="spellStart"/>
      <w:r w:rsidRPr="002B3383">
        <w:rPr>
          <w:rFonts w:ascii="Arial" w:hAnsi="Arial" w:cs="Arial"/>
          <w:lang w:val="mk-MK"/>
        </w:rPr>
        <w:t>losses</w:t>
      </w:r>
      <w:proofErr w:type="spellEnd"/>
      <w:r w:rsidRPr="002B3383">
        <w:rPr>
          <w:rFonts w:ascii="Arial" w:hAnsi="Arial" w:cs="Arial"/>
          <w:lang w:val="mk-MK"/>
        </w:rPr>
        <w:t xml:space="preserve">. </w:t>
      </w:r>
      <w:proofErr w:type="spellStart"/>
      <w:r w:rsidRPr="002B3383">
        <w:rPr>
          <w:rFonts w:ascii="Arial" w:hAnsi="Arial" w:cs="Arial"/>
          <w:lang w:val="mk-MK"/>
        </w:rPr>
        <w:t>The</w:t>
      </w:r>
      <w:proofErr w:type="spellEnd"/>
      <w:r w:rsidRPr="002B3383">
        <w:rPr>
          <w:rFonts w:ascii="Arial" w:hAnsi="Arial" w:cs="Arial"/>
          <w:lang w:val="mk-MK"/>
        </w:rPr>
        <w:t xml:space="preserve"> </w:t>
      </w:r>
      <w:proofErr w:type="spellStart"/>
      <w:r w:rsidRPr="002B3383">
        <w:rPr>
          <w:rFonts w:ascii="Arial" w:hAnsi="Arial" w:cs="Arial"/>
          <w:lang w:val="mk-MK"/>
        </w:rPr>
        <w:t>calculation</w:t>
      </w:r>
      <w:proofErr w:type="spellEnd"/>
      <w:r w:rsidRPr="002B3383">
        <w:rPr>
          <w:rFonts w:ascii="Arial" w:hAnsi="Arial" w:cs="Arial"/>
          <w:lang w:val="mk-MK"/>
        </w:rPr>
        <w:t xml:space="preserve"> </w:t>
      </w:r>
      <w:proofErr w:type="spellStart"/>
      <w:r w:rsidRPr="002B3383">
        <w:rPr>
          <w:rFonts w:ascii="Arial" w:hAnsi="Arial" w:cs="Arial"/>
          <w:lang w:val="mk-MK"/>
        </w:rPr>
        <w:t>includes</w:t>
      </w:r>
      <w:proofErr w:type="spellEnd"/>
      <w:r w:rsidRPr="002B3383">
        <w:rPr>
          <w:rFonts w:ascii="Arial" w:hAnsi="Arial" w:cs="Arial"/>
          <w:lang w:val="mk-MK"/>
        </w:rPr>
        <w:t xml:space="preserve"> </w:t>
      </w:r>
      <w:proofErr w:type="spellStart"/>
      <w:r w:rsidRPr="002B3383">
        <w:rPr>
          <w:rFonts w:ascii="Arial" w:hAnsi="Arial" w:cs="Arial"/>
          <w:lang w:val="mk-MK"/>
        </w:rPr>
        <w:t>all</w:t>
      </w:r>
      <w:proofErr w:type="spellEnd"/>
      <w:r w:rsidRPr="002B3383">
        <w:rPr>
          <w:rFonts w:ascii="Arial" w:hAnsi="Arial" w:cs="Arial"/>
          <w:lang w:val="mk-MK"/>
        </w:rPr>
        <w:t xml:space="preserve"> </w:t>
      </w:r>
      <w:proofErr w:type="spellStart"/>
      <w:r w:rsidRPr="002B3383">
        <w:rPr>
          <w:rFonts w:ascii="Arial" w:hAnsi="Arial" w:cs="Arial"/>
          <w:lang w:val="mk-MK"/>
        </w:rPr>
        <w:t>amounts</w:t>
      </w:r>
      <w:proofErr w:type="spellEnd"/>
      <w:r w:rsidRPr="002B3383">
        <w:rPr>
          <w:rFonts w:ascii="Arial" w:hAnsi="Arial" w:cs="Arial"/>
          <w:lang w:val="mk-MK"/>
        </w:rPr>
        <w:t xml:space="preserve"> </w:t>
      </w:r>
      <w:proofErr w:type="spellStart"/>
      <w:r w:rsidRPr="002B3383">
        <w:rPr>
          <w:rFonts w:ascii="Arial" w:hAnsi="Arial" w:cs="Arial"/>
          <w:lang w:val="mk-MK"/>
        </w:rPr>
        <w:t>paid</w:t>
      </w:r>
      <w:proofErr w:type="spellEnd"/>
      <w:r w:rsidRPr="002B3383">
        <w:rPr>
          <w:rFonts w:ascii="Arial" w:hAnsi="Arial" w:cs="Arial"/>
          <w:lang w:val="mk-MK"/>
        </w:rPr>
        <w:t xml:space="preserve"> </w:t>
      </w:r>
      <w:proofErr w:type="spellStart"/>
      <w:r w:rsidRPr="002B3383">
        <w:rPr>
          <w:rFonts w:ascii="Arial" w:hAnsi="Arial" w:cs="Arial"/>
          <w:lang w:val="mk-MK"/>
        </w:rPr>
        <w:t>or</w:t>
      </w:r>
      <w:proofErr w:type="spellEnd"/>
      <w:r w:rsidRPr="002B3383">
        <w:rPr>
          <w:rFonts w:ascii="Arial" w:hAnsi="Arial" w:cs="Arial"/>
          <w:lang w:val="mk-MK"/>
        </w:rPr>
        <w:t xml:space="preserve"> </w:t>
      </w:r>
      <w:proofErr w:type="spellStart"/>
      <w:r w:rsidRPr="002B3383">
        <w:rPr>
          <w:rFonts w:ascii="Arial" w:hAnsi="Arial" w:cs="Arial"/>
          <w:lang w:val="mk-MK"/>
        </w:rPr>
        <w:t>received</w:t>
      </w:r>
      <w:proofErr w:type="spellEnd"/>
      <w:r w:rsidRPr="002B3383">
        <w:rPr>
          <w:rFonts w:ascii="Arial" w:hAnsi="Arial" w:cs="Arial"/>
          <w:lang w:val="mk-MK"/>
        </w:rPr>
        <w:t xml:space="preserve"> </w:t>
      </w:r>
      <w:proofErr w:type="spellStart"/>
      <w:r w:rsidRPr="002B3383">
        <w:rPr>
          <w:rFonts w:ascii="Arial" w:hAnsi="Arial" w:cs="Arial"/>
          <w:lang w:val="mk-MK"/>
        </w:rPr>
        <w:t>from</w:t>
      </w:r>
      <w:proofErr w:type="spellEnd"/>
      <w:r w:rsidRPr="002B3383">
        <w:rPr>
          <w:rFonts w:ascii="Arial" w:hAnsi="Arial" w:cs="Arial"/>
          <w:lang w:val="mk-MK"/>
        </w:rPr>
        <w:t xml:space="preserve"> </w:t>
      </w:r>
      <w:proofErr w:type="spellStart"/>
      <w:r w:rsidRPr="002B3383">
        <w:rPr>
          <w:rFonts w:ascii="Arial" w:hAnsi="Arial" w:cs="Arial"/>
          <w:lang w:val="mk-MK"/>
        </w:rPr>
        <w:t>both</w:t>
      </w:r>
      <w:proofErr w:type="spellEnd"/>
      <w:r w:rsidRPr="002B3383">
        <w:rPr>
          <w:rFonts w:ascii="Arial" w:hAnsi="Arial" w:cs="Arial"/>
          <w:lang w:val="mk-MK"/>
        </w:rPr>
        <w:t xml:space="preserve"> </w:t>
      </w:r>
      <w:proofErr w:type="spellStart"/>
      <w:r w:rsidRPr="002B3383">
        <w:rPr>
          <w:rFonts w:ascii="Arial" w:hAnsi="Arial" w:cs="Arial"/>
          <w:lang w:val="mk-MK"/>
        </w:rPr>
        <w:t>contractual</w:t>
      </w:r>
      <w:proofErr w:type="spellEnd"/>
      <w:r w:rsidRPr="002B3383">
        <w:rPr>
          <w:rFonts w:ascii="Arial" w:hAnsi="Arial" w:cs="Arial"/>
          <w:lang w:val="mk-MK"/>
        </w:rPr>
        <w:t xml:space="preserve"> </w:t>
      </w:r>
      <w:proofErr w:type="spellStart"/>
      <w:r w:rsidRPr="002B3383">
        <w:rPr>
          <w:rFonts w:ascii="Arial" w:hAnsi="Arial" w:cs="Arial"/>
          <w:lang w:val="mk-MK"/>
        </w:rPr>
        <w:t>parties</w:t>
      </w:r>
      <w:proofErr w:type="spellEnd"/>
      <w:r w:rsidRPr="002B3383">
        <w:rPr>
          <w:rFonts w:ascii="Arial" w:hAnsi="Arial" w:cs="Arial"/>
          <w:lang w:val="mk-MK"/>
        </w:rPr>
        <w:t xml:space="preserve"> </w:t>
      </w:r>
      <w:proofErr w:type="spellStart"/>
      <w:r w:rsidRPr="002B3383">
        <w:rPr>
          <w:rFonts w:ascii="Arial" w:hAnsi="Arial" w:cs="Arial"/>
          <w:lang w:val="mk-MK"/>
        </w:rPr>
        <w:t>which</w:t>
      </w:r>
      <w:proofErr w:type="spellEnd"/>
      <w:r w:rsidRPr="002B3383">
        <w:rPr>
          <w:rFonts w:ascii="Arial" w:hAnsi="Arial" w:cs="Arial"/>
          <w:lang w:val="mk-MK"/>
        </w:rPr>
        <w:t xml:space="preserve"> </w:t>
      </w:r>
      <w:proofErr w:type="spellStart"/>
      <w:r w:rsidRPr="002B3383">
        <w:rPr>
          <w:rFonts w:ascii="Arial" w:hAnsi="Arial" w:cs="Arial"/>
          <w:lang w:val="mk-MK"/>
        </w:rPr>
        <w:t>are</w:t>
      </w:r>
      <w:proofErr w:type="spellEnd"/>
      <w:r w:rsidRPr="002B3383">
        <w:rPr>
          <w:rFonts w:ascii="Arial" w:hAnsi="Arial" w:cs="Arial"/>
          <w:lang w:val="mk-MK"/>
        </w:rPr>
        <w:t xml:space="preserve"> </w:t>
      </w:r>
      <w:proofErr w:type="spellStart"/>
      <w:r w:rsidRPr="002B3383">
        <w:rPr>
          <w:rFonts w:ascii="Arial" w:hAnsi="Arial" w:cs="Arial"/>
          <w:lang w:val="mk-MK"/>
        </w:rPr>
        <w:t>integral</w:t>
      </w:r>
      <w:proofErr w:type="spellEnd"/>
      <w:r w:rsidRPr="002B3383">
        <w:rPr>
          <w:rFonts w:ascii="Arial" w:hAnsi="Arial" w:cs="Arial"/>
          <w:lang w:val="mk-MK"/>
        </w:rPr>
        <w:t xml:space="preserve"> </w:t>
      </w:r>
      <w:proofErr w:type="spellStart"/>
      <w:r w:rsidRPr="002B3383">
        <w:rPr>
          <w:rFonts w:ascii="Arial" w:hAnsi="Arial" w:cs="Arial"/>
          <w:lang w:val="mk-MK"/>
        </w:rPr>
        <w:t>part</w:t>
      </w:r>
      <w:proofErr w:type="spellEnd"/>
      <w:r w:rsidRPr="002B3383">
        <w:rPr>
          <w:rFonts w:ascii="Arial" w:hAnsi="Arial" w:cs="Arial"/>
          <w:lang w:val="mk-MK"/>
        </w:rPr>
        <w:t xml:space="preserve"> </w:t>
      </w:r>
      <w:proofErr w:type="spellStart"/>
      <w:r w:rsidRPr="002B3383">
        <w:rPr>
          <w:rFonts w:ascii="Arial" w:hAnsi="Arial" w:cs="Arial"/>
          <w:lang w:val="mk-MK"/>
        </w:rPr>
        <w:t>of</w:t>
      </w:r>
      <w:proofErr w:type="spellEnd"/>
      <w:r w:rsidRPr="002B3383">
        <w:rPr>
          <w:rFonts w:ascii="Arial" w:hAnsi="Arial" w:cs="Arial"/>
          <w:lang w:val="mk-MK"/>
        </w:rPr>
        <w:t xml:space="preserve"> </w:t>
      </w:r>
      <w:proofErr w:type="spellStart"/>
      <w:r w:rsidRPr="002B3383">
        <w:rPr>
          <w:rFonts w:ascii="Arial" w:hAnsi="Arial" w:cs="Arial"/>
          <w:lang w:val="mk-MK"/>
        </w:rPr>
        <w:t>the</w:t>
      </w:r>
      <w:proofErr w:type="spellEnd"/>
      <w:r w:rsidRPr="002B3383">
        <w:rPr>
          <w:rFonts w:ascii="Arial" w:hAnsi="Arial" w:cs="Arial"/>
          <w:lang w:val="mk-MK"/>
        </w:rPr>
        <w:t xml:space="preserve"> </w:t>
      </w:r>
      <w:proofErr w:type="spellStart"/>
      <w:r w:rsidRPr="002B3383">
        <w:rPr>
          <w:rFonts w:ascii="Arial" w:hAnsi="Arial" w:cs="Arial"/>
          <w:lang w:val="mk-MK"/>
        </w:rPr>
        <w:t>effective</w:t>
      </w:r>
      <w:proofErr w:type="spellEnd"/>
      <w:r w:rsidRPr="002B3383">
        <w:rPr>
          <w:rFonts w:ascii="Arial" w:hAnsi="Arial" w:cs="Arial"/>
          <w:lang w:val="mk-MK"/>
        </w:rPr>
        <w:t xml:space="preserve"> </w:t>
      </w:r>
      <w:proofErr w:type="spellStart"/>
      <w:r w:rsidRPr="002B3383">
        <w:rPr>
          <w:rFonts w:ascii="Arial" w:hAnsi="Arial" w:cs="Arial"/>
          <w:lang w:val="mk-MK"/>
        </w:rPr>
        <w:t>interest</w:t>
      </w:r>
      <w:proofErr w:type="spellEnd"/>
      <w:r w:rsidRPr="002B3383">
        <w:rPr>
          <w:rFonts w:ascii="Arial" w:hAnsi="Arial" w:cs="Arial"/>
          <w:lang w:val="mk-MK"/>
        </w:rPr>
        <w:t xml:space="preserve"> </w:t>
      </w:r>
      <w:proofErr w:type="spellStart"/>
      <w:r w:rsidRPr="002B3383">
        <w:rPr>
          <w:rFonts w:ascii="Arial" w:hAnsi="Arial" w:cs="Arial"/>
          <w:lang w:val="mk-MK"/>
        </w:rPr>
        <w:t>rate</w:t>
      </w:r>
      <w:proofErr w:type="spellEnd"/>
      <w:r w:rsidRPr="002B3383">
        <w:rPr>
          <w:rFonts w:ascii="Arial" w:hAnsi="Arial" w:cs="Arial"/>
          <w:lang w:val="mk-MK"/>
        </w:rPr>
        <w:t xml:space="preserve">, </w:t>
      </w:r>
      <w:proofErr w:type="spellStart"/>
      <w:r w:rsidRPr="002B3383">
        <w:rPr>
          <w:rFonts w:ascii="Arial" w:hAnsi="Arial" w:cs="Arial"/>
          <w:lang w:val="mk-MK"/>
        </w:rPr>
        <w:t>transaction</w:t>
      </w:r>
      <w:proofErr w:type="spellEnd"/>
      <w:r w:rsidRPr="002B3383">
        <w:rPr>
          <w:rFonts w:ascii="Arial" w:hAnsi="Arial" w:cs="Arial"/>
          <w:lang w:val="mk-MK"/>
        </w:rPr>
        <w:t xml:space="preserve"> </w:t>
      </w:r>
      <w:proofErr w:type="spellStart"/>
      <w:r w:rsidRPr="002B3383">
        <w:rPr>
          <w:rFonts w:ascii="Arial" w:hAnsi="Arial" w:cs="Arial"/>
          <w:lang w:val="mk-MK"/>
        </w:rPr>
        <w:t>costs</w:t>
      </w:r>
      <w:proofErr w:type="spellEnd"/>
      <w:r w:rsidRPr="002B3383">
        <w:rPr>
          <w:rFonts w:ascii="Arial" w:hAnsi="Arial" w:cs="Arial"/>
          <w:lang w:val="mk-MK"/>
        </w:rPr>
        <w:t xml:space="preserve">, </w:t>
      </w:r>
      <w:proofErr w:type="spellStart"/>
      <w:r w:rsidRPr="002B3383">
        <w:rPr>
          <w:rFonts w:ascii="Arial" w:hAnsi="Arial" w:cs="Arial"/>
          <w:lang w:val="mk-MK"/>
        </w:rPr>
        <w:t>and</w:t>
      </w:r>
      <w:proofErr w:type="spellEnd"/>
      <w:r w:rsidRPr="002B3383">
        <w:rPr>
          <w:rFonts w:ascii="Arial" w:hAnsi="Arial" w:cs="Arial"/>
          <w:lang w:val="mk-MK"/>
        </w:rPr>
        <w:t xml:space="preserve"> </w:t>
      </w:r>
      <w:proofErr w:type="spellStart"/>
      <w:r w:rsidRPr="002B3383">
        <w:rPr>
          <w:rFonts w:ascii="Arial" w:hAnsi="Arial" w:cs="Arial"/>
          <w:lang w:val="mk-MK"/>
        </w:rPr>
        <w:t>other</w:t>
      </w:r>
      <w:proofErr w:type="spellEnd"/>
      <w:r w:rsidRPr="002B3383">
        <w:rPr>
          <w:rFonts w:ascii="Arial" w:hAnsi="Arial" w:cs="Arial"/>
          <w:lang w:val="mk-MK"/>
        </w:rPr>
        <w:t xml:space="preserve"> </w:t>
      </w:r>
      <w:proofErr w:type="spellStart"/>
      <w:r w:rsidRPr="002B3383">
        <w:rPr>
          <w:rFonts w:ascii="Arial" w:hAnsi="Arial" w:cs="Arial"/>
          <w:lang w:val="mk-MK"/>
        </w:rPr>
        <w:t>premiums</w:t>
      </w:r>
      <w:proofErr w:type="spellEnd"/>
      <w:r w:rsidRPr="002B3383">
        <w:rPr>
          <w:rFonts w:ascii="Arial" w:hAnsi="Arial" w:cs="Arial"/>
          <w:lang w:val="mk-MK"/>
        </w:rPr>
        <w:t xml:space="preserve"> </w:t>
      </w:r>
      <w:proofErr w:type="spellStart"/>
      <w:r w:rsidRPr="002B3383">
        <w:rPr>
          <w:rFonts w:ascii="Arial" w:hAnsi="Arial" w:cs="Arial"/>
          <w:lang w:val="mk-MK"/>
        </w:rPr>
        <w:t>or</w:t>
      </w:r>
      <w:proofErr w:type="spellEnd"/>
      <w:r w:rsidRPr="002B3383">
        <w:rPr>
          <w:rFonts w:ascii="Arial" w:hAnsi="Arial" w:cs="Arial"/>
          <w:lang w:val="mk-MK"/>
        </w:rPr>
        <w:t xml:space="preserve"> </w:t>
      </w:r>
      <w:proofErr w:type="spellStart"/>
      <w:r w:rsidRPr="002B3383">
        <w:rPr>
          <w:rFonts w:ascii="Arial" w:hAnsi="Arial" w:cs="Arial"/>
          <w:lang w:val="mk-MK"/>
        </w:rPr>
        <w:t>discounts</w:t>
      </w:r>
      <w:proofErr w:type="spellEnd"/>
      <w:r w:rsidRPr="002B3383">
        <w:rPr>
          <w:rFonts w:ascii="Arial" w:hAnsi="Arial" w:cs="Arial"/>
          <w:lang w:val="mk-MK"/>
        </w:rPr>
        <w:t>.</w:t>
      </w:r>
    </w:p>
    <w:p w14:paraId="5A9C3031" w14:textId="77777777" w:rsidR="00815E65" w:rsidRPr="00CE3053" w:rsidRDefault="00815E65" w:rsidP="00815E65">
      <w:pPr>
        <w:pStyle w:val="BodyText"/>
        <w:jc w:val="both"/>
        <w:rPr>
          <w:rFonts w:ascii="Arial" w:hAnsi="Arial" w:cs="Arial"/>
          <w:lang w:val="mk-MK"/>
        </w:rPr>
      </w:pPr>
    </w:p>
    <w:p w14:paraId="34F1B173" w14:textId="61A04DFE" w:rsidR="00815E65" w:rsidRPr="001E6526" w:rsidRDefault="002B3383" w:rsidP="0061511C">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Pr>
          <w:rFonts w:ascii="Arial" w:hAnsi="Arial" w:cs="Arial"/>
          <w:b/>
          <w:color w:val="4F2D7F"/>
          <w:sz w:val="18"/>
          <w:lang w:val="en-US"/>
        </w:rPr>
        <w:t>Fees and commissions expenses</w:t>
      </w:r>
    </w:p>
    <w:p w14:paraId="373166F7" w14:textId="56355912" w:rsidR="00815E65" w:rsidRPr="00CE3053" w:rsidRDefault="002B3383" w:rsidP="00815E65">
      <w:pPr>
        <w:pStyle w:val="BodyText"/>
        <w:jc w:val="both"/>
        <w:rPr>
          <w:rFonts w:ascii="Arial" w:hAnsi="Arial" w:cs="Arial"/>
          <w:lang w:val="mk-MK"/>
        </w:rPr>
      </w:pPr>
      <w:proofErr w:type="spellStart"/>
      <w:r w:rsidRPr="002B3383">
        <w:rPr>
          <w:rFonts w:ascii="Arial" w:hAnsi="Arial" w:cs="Arial"/>
          <w:lang w:val="mk-MK"/>
        </w:rPr>
        <w:t>Fee</w:t>
      </w:r>
      <w:proofErr w:type="spellEnd"/>
      <w:r w:rsidRPr="002B3383">
        <w:rPr>
          <w:rFonts w:ascii="Arial" w:hAnsi="Arial" w:cs="Arial"/>
          <w:lang w:val="mk-MK"/>
        </w:rPr>
        <w:t xml:space="preserve"> </w:t>
      </w:r>
      <w:proofErr w:type="spellStart"/>
      <w:r w:rsidRPr="002B3383">
        <w:rPr>
          <w:rFonts w:ascii="Arial" w:hAnsi="Arial" w:cs="Arial"/>
          <w:lang w:val="mk-MK"/>
        </w:rPr>
        <w:t>and</w:t>
      </w:r>
      <w:proofErr w:type="spellEnd"/>
      <w:r w:rsidRPr="002B3383">
        <w:rPr>
          <w:rFonts w:ascii="Arial" w:hAnsi="Arial" w:cs="Arial"/>
          <w:lang w:val="mk-MK"/>
        </w:rPr>
        <w:t xml:space="preserve"> </w:t>
      </w:r>
      <w:proofErr w:type="spellStart"/>
      <w:r w:rsidRPr="002B3383">
        <w:rPr>
          <w:rFonts w:ascii="Arial" w:hAnsi="Arial" w:cs="Arial"/>
          <w:lang w:val="mk-MK"/>
        </w:rPr>
        <w:t>commission</w:t>
      </w:r>
      <w:proofErr w:type="spellEnd"/>
      <w:r w:rsidRPr="002B3383">
        <w:rPr>
          <w:rFonts w:ascii="Arial" w:hAnsi="Arial" w:cs="Arial"/>
          <w:lang w:val="mk-MK"/>
        </w:rPr>
        <w:t xml:space="preserve"> </w:t>
      </w:r>
      <w:proofErr w:type="spellStart"/>
      <w:r w:rsidRPr="002B3383">
        <w:rPr>
          <w:rFonts w:ascii="Arial" w:hAnsi="Arial" w:cs="Arial"/>
          <w:lang w:val="mk-MK"/>
        </w:rPr>
        <w:t>expenses</w:t>
      </w:r>
      <w:proofErr w:type="spellEnd"/>
      <w:r w:rsidRPr="002B3383">
        <w:rPr>
          <w:rFonts w:ascii="Arial" w:hAnsi="Arial" w:cs="Arial"/>
          <w:lang w:val="mk-MK"/>
        </w:rPr>
        <w:t xml:space="preserve"> </w:t>
      </w:r>
      <w:proofErr w:type="spellStart"/>
      <w:r w:rsidRPr="002B3383">
        <w:rPr>
          <w:rFonts w:ascii="Arial" w:hAnsi="Arial" w:cs="Arial"/>
          <w:lang w:val="mk-MK"/>
        </w:rPr>
        <w:t>are</w:t>
      </w:r>
      <w:proofErr w:type="spellEnd"/>
      <w:r w:rsidRPr="002B3383">
        <w:rPr>
          <w:rFonts w:ascii="Arial" w:hAnsi="Arial" w:cs="Arial"/>
          <w:lang w:val="mk-MK"/>
        </w:rPr>
        <w:t xml:space="preserve"> </w:t>
      </w:r>
      <w:proofErr w:type="spellStart"/>
      <w:r w:rsidRPr="002B3383">
        <w:rPr>
          <w:rFonts w:ascii="Arial" w:hAnsi="Arial" w:cs="Arial"/>
          <w:lang w:val="mk-MK"/>
        </w:rPr>
        <w:t>recognized</w:t>
      </w:r>
      <w:proofErr w:type="spellEnd"/>
      <w:r w:rsidRPr="002B3383">
        <w:rPr>
          <w:rFonts w:ascii="Arial" w:hAnsi="Arial" w:cs="Arial"/>
          <w:lang w:val="mk-MK"/>
        </w:rPr>
        <w:t xml:space="preserve"> </w:t>
      </w:r>
      <w:proofErr w:type="spellStart"/>
      <w:r w:rsidRPr="002B3383">
        <w:rPr>
          <w:rFonts w:ascii="Arial" w:hAnsi="Arial" w:cs="Arial"/>
          <w:lang w:val="mk-MK"/>
        </w:rPr>
        <w:t>on</w:t>
      </w:r>
      <w:proofErr w:type="spellEnd"/>
      <w:r w:rsidRPr="002B3383">
        <w:rPr>
          <w:rFonts w:ascii="Arial" w:hAnsi="Arial" w:cs="Arial"/>
          <w:lang w:val="mk-MK"/>
        </w:rPr>
        <w:t xml:space="preserve"> </w:t>
      </w:r>
      <w:proofErr w:type="spellStart"/>
      <w:r w:rsidRPr="002B3383">
        <w:rPr>
          <w:rFonts w:ascii="Arial" w:hAnsi="Arial" w:cs="Arial"/>
          <w:lang w:val="mk-MK"/>
        </w:rPr>
        <w:t>an</w:t>
      </w:r>
      <w:proofErr w:type="spellEnd"/>
      <w:r w:rsidRPr="002B3383">
        <w:rPr>
          <w:rFonts w:ascii="Arial" w:hAnsi="Arial" w:cs="Arial"/>
          <w:lang w:val="mk-MK"/>
        </w:rPr>
        <w:t xml:space="preserve"> </w:t>
      </w:r>
      <w:proofErr w:type="spellStart"/>
      <w:r w:rsidRPr="002B3383">
        <w:rPr>
          <w:rFonts w:ascii="Arial" w:hAnsi="Arial" w:cs="Arial"/>
          <w:lang w:val="mk-MK"/>
        </w:rPr>
        <w:t>accrual</w:t>
      </w:r>
      <w:proofErr w:type="spellEnd"/>
      <w:r w:rsidRPr="002B3383">
        <w:rPr>
          <w:rFonts w:ascii="Arial" w:hAnsi="Arial" w:cs="Arial"/>
          <w:lang w:val="mk-MK"/>
        </w:rPr>
        <w:t xml:space="preserve"> </w:t>
      </w:r>
      <w:proofErr w:type="spellStart"/>
      <w:r w:rsidRPr="002B3383">
        <w:rPr>
          <w:rFonts w:ascii="Arial" w:hAnsi="Arial" w:cs="Arial"/>
          <w:lang w:val="mk-MK"/>
        </w:rPr>
        <w:t>basis</w:t>
      </w:r>
      <w:proofErr w:type="spellEnd"/>
      <w:r w:rsidRPr="002B3383">
        <w:rPr>
          <w:rFonts w:ascii="Arial" w:hAnsi="Arial" w:cs="Arial"/>
          <w:lang w:val="mk-MK"/>
        </w:rPr>
        <w:t xml:space="preserve"> </w:t>
      </w:r>
      <w:proofErr w:type="spellStart"/>
      <w:r w:rsidRPr="002B3383">
        <w:rPr>
          <w:rFonts w:ascii="Arial" w:hAnsi="Arial" w:cs="Arial"/>
          <w:lang w:val="mk-MK"/>
        </w:rPr>
        <w:t>when</w:t>
      </w:r>
      <w:proofErr w:type="spellEnd"/>
      <w:r w:rsidRPr="002B3383">
        <w:rPr>
          <w:rFonts w:ascii="Arial" w:hAnsi="Arial" w:cs="Arial"/>
          <w:lang w:val="mk-MK"/>
        </w:rPr>
        <w:t xml:space="preserve"> </w:t>
      </w:r>
      <w:proofErr w:type="spellStart"/>
      <w:r w:rsidRPr="002B3383">
        <w:rPr>
          <w:rFonts w:ascii="Arial" w:hAnsi="Arial" w:cs="Arial"/>
          <w:lang w:val="mk-MK"/>
        </w:rPr>
        <w:t>the</w:t>
      </w:r>
      <w:proofErr w:type="spellEnd"/>
      <w:r w:rsidRPr="002B3383">
        <w:rPr>
          <w:rFonts w:ascii="Arial" w:hAnsi="Arial" w:cs="Arial"/>
          <w:lang w:val="mk-MK"/>
        </w:rPr>
        <w:t xml:space="preserve"> </w:t>
      </w:r>
      <w:proofErr w:type="spellStart"/>
      <w:r w:rsidRPr="002B3383">
        <w:rPr>
          <w:rFonts w:ascii="Arial" w:hAnsi="Arial" w:cs="Arial"/>
          <w:lang w:val="mk-MK"/>
        </w:rPr>
        <w:t>service</w:t>
      </w:r>
      <w:proofErr w:type="spellEnd"/>
      <w:r w:rsidRPr="002B3383">
        <w:rPr>
          <w:rFonts w:ascii="Arial" w:hAnsi="Arial" w:cs="Arial"/>
          <w:lang w:val="mk-MK"/>
        </w:rPr>
        <w:t xml:space="preserve"> </w:t>
      </w:r>
      <w:proofErr w:type="spellStart"/>
      <w:r w:rsidRPr="002B3383">
        <w:rPr>
          <w:rFonts w:ascii="Arial" w:hAnsi="Arial" w:cs="Arial"/>
          <w:lang w:val="mk-MK"/>
        </w:rPr>
        <w:t>has</w:t>
      </w:r>
      <w:proofErr w:type="spellEnd"/>
      <w:r w:rsidRPr="002B3383">
        <w:rPr>
          <w:rFonts w:ascii="Arial" w:hAnsi="Arial" w:cs="Arial"/>
          <w:lang w:val="mk-MK"/>
        </w:rPr>
        <w:t xml:space="preserve"> </w:t>
      </w:r>
      <w:proofErr w:type="spellStart"/>
      <w:r w:rsidRPr="002B3383">
        <w:rPr>
          <w:rFonts w:ascii="Arial" w:hAnsi="Arial" w:cs="Arial"/>
          <w:lang w:val="mk-MK"/>
        </w:rPr>
        <w:t>been</w:t>
      </w:r>
      <w:proofErr w:type="spellEnd"/>
      <w:r w:rsidRPr="002B3383">
        <w:rPr>
          <w:rFonts w:ascii="Arial" w:hAnsi="Arial" w:cs="Arial"/>
          <w:lang w:val="mk-MK"/>
        </w:rPr>
        <w:t xml:space="preserve"> </w:t>
      </w:r>
      <w:proofErr w:type="spellStart"/>
      <w:r w:rsidRPr="002B3383">
        <w:rPr>
          <w:rFonts w:ascii="Arial" w:hAnsi="Arial" w:cs="Arial"/>
          <w:lang w:val="mk-MK"/>
        </w:rPr>
        <w:t>provided</w:t>
      </w:r>
      <w:proofErr w:type="spellEnd"/>
      <w:r w:rsidRPr="002B3383">
        <w:rPr>
          <w:rFonts w:ascii="Arial" w:hAnsi="Arial" w:cs="Arial"/>
          <w:lang w:val="mk-MK"/>
        </w:rPr>
        <w:t>.</w:t>
      </w:r>
    </w:p>
    <w:p w14:paraId="7D47D191" w14:textId="7CAAFA94" w:rsidR="00815E65" w:rsidRPr="001E6526" w:rsidRDefault="00BD2FF2" w:rsidP="0061511C">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Pr>
          <w:rFonts w:ascii="Arial" w:hAnsi="Arial" w:cs="Arial"/>
          <w:b/>
          <w:color w:val="4F2D7F"/>
          <w:sz w:val="18"/>
          <w:lang w:val="en-US"/>
        </w:rPr>
        <w:t>Financial assets</w:t>
      </w:r>
    </w:p>
    <w:p w14:paraId="00E18B99" w14:textId="4449163D" w:rsidR="00BD2FF2" w:rsidRPr="009C0F6D" w:rsidRDefault="00BD2FF2" w:rsidP="00815E65">
      <w:pPr>
        <w:autoSpaceDE w:val="0"/>
        <w:autoSpaceDN w:val="0"/>
        <w:adjustRightInd w:val="0"/>
        <w:jc w:val="both"/>
        <w:rPr>
          <w:rFonts w:ascii="Arial" w:hAnsi="Arial" w:cs="Arial"/>
        </w:rPr>
      </w:pPr>
      <w:proofErr w:type="spellStart"/>
      <w:r w:rsidRPr="00BD2FF2">
        <w:rPr>
          <w:rFonts w:ascii="Arial" w:hAnsi="Arial" w:cs="Arial"/>
          <w:lang w:val="mk-MK"/>
        </w:rPr>
        <w:t>The</w:t>
      </w:r>
      <w:proofErr w:type="spellEnd"/>
      <w:r w:rsidRPr="00BD2FF2">
        <w:rPr>
          <w:rFonts w:ascii="Arial" w:hAnsi="Arial" w:cs="Arial"/>
          <w:lang w:val="mk-MK"/>
        </w:rPr>
        <w:t xml:space="preserve"> </w:t>
      </w:r>
      <w:proofErr w:type="spellStart"/>
      <w:r w:rsidRPr="00BD2FF2">
        <w:rPr>
          <w:rFonts w:ascii="Arial" w:hAnsi="Arial" w:cs="Arial"/>
          <w:lang w:val="mk-MK"/>
        </w:rPr>
        <w:t>financial</w:t>
      </w:r>
      <w:proofErr w:type="spellEnd"/>
      <w:r w:rsidRPr="00BD2FF2">
        <w:rPr>
          <w:rFonts w:ascii="Arial" w:hAnsi="Arial" w:cs="Arial"/>
          <w:lang w:val="mk-MK"/>
        </w:rPr>
        <w:t xml:space="preserve"> </w:t>
      </w:r>
      <w:proofErr w:type="spellStart"/>
      <w:r w:rsidRPr="00BD2FF2">
        <w:rPr>
          <w:rFonts w:ascii="Arial" w:hAnsi="Arial" w:cs="Arial"/>
          <w:lang w:val="mk-MK"/>
        </w:rPr>
        <w:t>assets</w:t>
      </w:r>
      <w:proofErr w:type="spellEnd"/>
      <w:r w:rsidRPr="00BD2FF2">
        <w:rPr>
          <w:rFonts w:ascii="Arial" w:hAnsi="Arial" w:cs="Arial"/>
          <w:lang w:val="mk-MK"/>
        </w:rPr>
        <w:t xml:space="preserve"> </w:t>
      </w:r>
      <w:proofErr w:type="spellStart"/>
      <w:r w:rsidRPr="00BD2FF2">
        <w:rPr>
          <w:rFonts w:ascii="Arial" w:hAnsi="Arial" w:cs="Arial"/>
          <w:lang w:val="mk-MK"/>
        </w:rPr>
        <w:t>are</w:t>
      </w:r>
      <w:proofErr w:type="spellEnd"/>
      <w:r w:rsidRPr="00BD2FF2">
        <w:rPr>
          <w:rFonts w:ascii="Arial" w:hAnsi="Arial" w:cs="Arial"/>
          <w:lang w:val="mk-MK"/>
        </w:rPr>
        <w:t xml:space="preserve"> </w:t>
      </w:r>
      <w:proofErr w:type="spellStart"/>
      <w:r w:rsidRPr="00BD2FF2">
        <w:rPr>
          <w:rFonts w:ascii="Arial" w:hAnsi="Arial" w:cs="Arial"/>
          <w:lang w:val="mk-MK"/>
        </w:rPr>
        <w:t>classified</w:t>
      </w:r>
      <w:proofErr w:type="spellEnd"/>
      <w:r w:rsidRPr="00BD2FF2">
        <w:rPr>
          <w:rFonts w:ascii="Arial" w:hAnsi="Arial" w:cs="Arial"/>
          <w:lang w:val="mk-MK"/>
        </w:rPr>
        <w:t xml:space="preserve"> </w:t>
      </w:r>
      <w:proofErr w:type="spellStart"/>
      <w:r w:rsidRPr="00BD2FF2">
        <w:rPr>
          <w:rFonts w:ascii="Arial" w:hAnsi="Arial" w:cs="Arial"/>
          <w:lang w:val="mk-MK"/>
        </w:rPr>
        <w:t>in</w:t>
      </w:r>
      <w:proofErr w:type="spellEnd"/>
      <w:r w:rsidRPr="00BD2FF2">
        <w:rPr>
          <w:rFonts w:ascii="Arial" w:hAnsi="Arial" w:cs="Arial"/>
          <w:lang w:val="mk-MK"/>
        </w:rPr>
        <w:t xml:space="preserve"> </w:t>
      </w:r>
      <w:proofErr w:type="spellStart"/>
      <w:r w:rsidRPr="00BD2FF2">
        <w:rPr>
          <w:rFonts w:ascii="Arial" w:hAnsi="Arial" w:cs="Arial"/>
          <w:lang w:val="mk-MK"/>
        </w:rPr>
        <w:t>the</w:t>
      </w:r>
      <w:proofErr w:type="spellEnd"/>
      <w:r w:rsidRPr="00BD2FF2">
        <w:rPr>
          <w:rFonts w:ascii="Arial" w:hAnsi="Arial" w:cs="Arial"/>
          <w:lang w:val="mk-MK"/>
        </w:rPr>
        <w:t xml:space="preserve"> </w:t>
      </w:r>
      <w:proofErr w:type="spellStart"/>
      <w:r w:rsidRPr="00BD2FF2">
        <w:rPr>
          <w:rFonts w:ascii="Arial" w:hAnsi="Arial" w:cs="Arial"/>
          <w:lang w:val="mk-MK"/>
        </w:rPr>
        <w:t>following</w:t>
      </w:r>
      <w:proofErr w:type="spellEnd"/>
      <w:r w:rsidRPr="00BD2FF2">
        <w:rPr>
          <w:rFonts w:ascii="Arial" w:hAnsi="Arial" w:cs="Arial"/>
          <w:lang w:val="mk-MK"/>
        </w:rPr>
        <w:t xml:space="preserve"> </w:t>
      </w:r>
      <w:proofErr w:type="spellStart"/>
      <w:r w:rsidRPr="00BD2FF2">
        <w:rPr>
          <w:rFonts w:ascii="Arial" w:hAnsi="Arial" w:cs="Arial"/>
          <w:lang w:val="mk-MK"/>
        </w:rPr>
        <w:t>categories</w:t>
      </w:r>
      <w:proofErr w:type="spellEnd"/>
      <w:r w:rsidRPr="00BD2FF2">
        <w:rPr>
          <w:rFonts w:ascii="Arial" w:hAnsi="Arial" w:cs="Arial"/>
          <w:lang w:val="mk-MK"/>
        </w:rPr>
        <w:t xml:space="preserve">: </w:t>
      </w:r>
      <w:proofErr w:type="spellStart"/>
      <w:r w:rsidRPr="00BD2FF2">
        <w:rPr>
          <w:rFonts w:ascii="Arial" w:hAnsi="Arial" w:cs="Arial"/>
          <w:lang w:val="mk-MK"/>
        </w:rPr>
        <w:t>loans</w:t>
      </w:r>
      <w:proofErr w:type="spellEnd"/>
      <w:r w:rsidRPr="00BD2FF2">
        <w:rPr>
          <w:rFonts w:ascii="Arial" w:hAnsi="Arial" w:cs="Arial"/>
          <w:lang w:val="mk-MK"/>
        </w:rPr>
        <w:t xml:space="preserve"> </w:t>
      </w:r>
      <w:proofErr w:type="spellStart"/>
      <w:r w:rsidRPr="00BD2FF2">
        <w:rPr>
          <w:rFonts w:ascii="Arial" w:hAnsi="Arial" w:cs="Arial"/>
          <w:lang w:val="mk-MK"/>
        </w:rPr>
        <w:t>and</w:t>
      </w:r>
      <w:proofErr w:type="spellEnd"/>
      <w:r w:rsidRPr="00BD2FF2">
        <w:rPr>
          <w:rFonts w:ascii="Arial" w:hAnsi="Arial" w:cs="Arial"/>
          <w:lang w:val="mk-MK"/>
        </w:rPr>
        <w:t xml:space="preserve"> </w:t>
      </w:r>
      <w:proofErr w:type="spellStart"/>
      <w:r w:rsidRPr="00BD2FF2">
        <w:rPr>
          <w:rFonts w:ascii="Arial" w:hAnsi="Arial" w:cs="Arial"/>
          <w:lang w:val="mk-MK"/>
        </w:rPr>
        <w:t>receivables</w:t>
      </w:r>
      <w:proofErr w:type="spellEnd"/>
      <w:r w:rsidRPr="00BD2FF2">
        <w:rPr>
          <w:rFonts w:ascii="Arial" w:hAnsi="Arial" w:cs="Arial"/>
          <w:lang w:val="mk-MK"/>
        </w:rPr>
        <w:t xml:space="preserve">, </w:t>
      </w:r>
      <w:proofErr w:type="spellStart"/>
      <w:r w:rsidRPr="00BD2FF2">
        <w:rPr>
          <w:rFonts w:ascii="Arial" w:hAnsi="Arial" w:cs="Arial"/>
          <w:lang w:val="mk-MK"/>
        </w:rPr>
        <w:t>financial</w:t>
      </w:r>
      <w:proofErr w:type="spellEnd"/>
      <w:r w:rsidRPr="00BD2FF2">
        <w:rPr>
          <w:rFonts w:ascii="Arial" w:hAnsi="Arial" w:cs="Arial"/>
          <w:lang w:val="mk-MK"/>
        </w:rPr>
        <w:t xml:space="preserve"> </w:t>
      </w:r>
      <w:proofErr w:type="spellStart"/>
      <w:r w:rsidRPr="00BD2FF2">
        <w:rPr>
          <w:rFonts w:ascii="Arial" w:hAnsi="Arial" w:cs="Arial"/>
          <w:lang w:val="mk-MK"/>
        </w:rPr>
        <w:t>assets</w:t>
      </w:r>
      <w:proofErr w:type="spellEnd"/>
      <w:r w:rsidRPr="00BD2FF2">
        <w:rPr>
          <w:rFonts w:ascii="Arial" w:hAnsi="Arial" w:cs="Arial"/>
          <w:lang w:val="mk-MK"/>
        </w:rPr>
        <w:t xml:space="preserve"> </w:t>
      </w:r>
      <w:proofErr w:type="spellStart"/>
      <w:r w:rsidRPr="00BD2FF2">
        <w:rPr>
          <w:rFonts w:ascii="Arial" w:hAnsi="Arial" w:cs="Arial"/>
          <w:lang w:val="mk-MK"/>
        </w:rPr>
        <w:t>at</w:t>
      </w:r>
      <w:proofErr w:type="spellEnd"/>
      <w:r w:rsidRPr="00BD2FF2">
        <w:rPr>
          <w:rFonts w:ascii="Arial" w:hAnsi="Arial" w:cs="Arial"/>
          <w:lang w:val="mk-MK"/>
        </w:rPr>
        <w:t xml:space="preserve"> </w:t>
      </w:r>
      <w:proofErr w:type="spellStart"/>
      <w:r w:rsidRPr="00BD2FF2">
        <w:rPr>
          <w:rFonts w:ascii="Arial" w:hAnsi="Arial" w:cs="Arial"/>
          <w:lang w:val="mk-MK"/>
        </w:rPr>
        <w:t>fair</w:t>
      </w:r>
      <w:proofErr w:type="spellEnd"/>
      <w:r w:rsidRPr="00BD2FF2">
        <w:rPr>
          <w:rFonts w:ascii="Arial" w:hAnsi="Arial" w:cs="Arial"/>
          <w:lang w:val="mk-MK"/>
        </w:rPr>
        <w:t xml:space="preserve"> </w:t>
      </w:r>
      <w:proofErr w:type="spellStart"/>
      <w:r w:rsidRPr="00BD2FF2">
        <w:rPr>
          <w:rFonts w:ascii="Arial" w:hAnsi="Arial" w:cs="Arial"/>
          <w:lang w:val="mk-MK"/>
        </w:rPr>
        <w:t>value</w:t>
      </w:r>
      <w:proofErr w:type="spellEnd"/>
      <w:r w:rsidRPr="00BD2FF2">
        <w:rPr>
          <w:rFonts w:ascii="Arial" w:hAnsi="Arial" w:cs="Arial"/>
          <w:lang w:val="mk-MK"/>
        </w:rPr>
        <w:t xml:space="preserve"> </w:t>
      </w:r>
      <w:proofErr w:type="spellStart"/>
      <w:r w:rsidRPr="00BD2FF2">
        <w:rPr>
          <w:rFonts w:ascii="Arial" w:hAnsi="Arial" w:cs="Arial"/>
          <w:lang w:val="mk-MK"/>
        </w:rPr>
        <w:t>through</w:t>
      </w:r>
      <w:proofErr w:type="spellEnd"/>
      <w:r w:rsidRPr="00BD2FF2">
        <w:rPr>
          <w:rFonts w:ascii="Arial" w:hAnsi="Arial" w:cs="Arial"/>
          <w:lang w:val="mk-MK"/>
        </w:rPr>
        <w:t xml:space="preserve"> </w:t>
      </w:r>
      <w:proofErr w:type="spellStart"/>
      <w:r w:rsidRPr="00BD2FF2">
        <w:rPr>
          <w:rFonts w:ascii="Arial" w:hAnsi="Arial" w:cs="Arial"/>
          <w:lang w:val="mk-MK"/>
        </w:rPr>
        <w:t>profit</w:t>
      </w:r>
      <w:proofErr w:type="spellEnd"/>
      <w:r w:rsidRPr="00BD2FF2">
        <w:rPr>
          <w:rFonts w:ascii="Arial" w:hAnsi="Arial" w:cs="Arial"/>
          <w:lang w:val="mk-MK"/>
        </w:rPr>
        <w:t xml:space="preserve"> </w:t>
      </w:r>
      <w:proofErr w:type="spellStart"/>
      <w:r w:rsidRPr="00BD2FF2">
        <w:rPr>
          <w:rFonts w:ascii="Arial" w:hAnsi="Arial" w:cs="Arial"/>
          <w:lang w:val="mk-MK"/>
        </w:rPr>
        <w:t>or</w:t>
      </w:r>
      <w:proofErr w:type="spellEnd"/>
      <w:r w:rsidRPr="00BD2FF2">
        <w:rPr>
          <w:rFonts w:ascii="Arial" w:hAnsi="Arial" w:cs="Arial"/>
          <w:lang w:val="mk-MK"/>
        </w:rPr>
        <w:t xml:space="preserve"> </w:t>
      </w:r>
      <w:proofErr w:type="spellStart"/>
      <w:r w:rsidRPr="00BD2FF2">
        <w:rPr>
          <w:rFonts w:ascii="Arial" w:hAnsi="Arial" w:cs="Arial"/>
          <w:lang w:val="mk-MK"/>
        </w:rPr>
        <w:t>loss</w:t>
      </w:r>
      <w:proofErr w:type="spellEnd"/>
      <w:r w:rsidRPr="00BD2FF2">
        <w:rPr>
          <w:rFonts w:ascii="Arial" w:hAnsi="Arial" w:cs="Arial"/>
          <w:lang w:val="mk-MK"/>
        </w:rPr>
        <w:t xml:space="preserve">, </w:t>
      </w:r>
      <w:proofErr w:type="spellStart"/>
      <w:r w:rsidRPr="00BD2FF2">
        <w:rPr>
          <w:rFonts w:ascii="Arial" w:hAnsi="Arial" w:cs="Arial"/>
          <w:lang w:val="mk-MK"/>
        </w:rPr>
        <w:t>financial</w:t>
      </w:r>
      <w:proofErr w:type="spellEnd"/>
      <w:r w:rsidRPr="00BD2FF2">
        <w:rPr>
          <w:rFonts w:ascii="Arial" w:hAnsi="Arial" w:cs="Arial"/>
          <w:lang w:val="mk-MK"/>
        </w:rPr>
        <w:t xml:space="preserve"> </w:t>
      </w:r>
      <w:proofErr w:type="spellStart"/>
      <w:r w:rsidRPr="00BD2FF2">
        <w:rPr>
          <w:rFonts w:ascii="Arial" w:hAnsi="Arial" w:cs="Arial"/>
          <w:lang w:val="mk-MK"/>
        </w:rPr>
        <w:t>assets</w:t>
      </w:r>
      <w:proofErr w:type="spellEnd"/>
      <w:r w:rsidRPr="00BD2FF2">
        <w:rPr>
          <w:rFonts w:ascii="Arial" w:hAnsi="Arial" w:cs="Arial"/>
          <w:lang w:val="mk-MK"/>
        </w:rPr>
        <w:t xml:space="preserve"> </w:t>
      </w:r>
      <w:proofErr w:type="spellStart"/>
      <w:r w:rsidRPr="00BD2FF2">
        <w:rPr>
          <w:rFonts w:ascii="Arial" w:hAnsi="Arial" w:cs="Arial"/>
          <w:lang w:val="mk-MK"/>
        </w:rPr>
        <w:t>available</w:t>
      </w:r>
      <w:proofErr w:type="spellEnd"/>
      <w:r w:rsidRPr="00BD2FF2">
        <w:rPr>
          <w:rFonts w:ascii="Arial" w:hAnsi="Arial" w:cs="Arial"/>
          <w:lang w:val="mk-MK"/>
        </w:rPr>
        <w:t xml:space="preserve"> </w:t>
      </w:r>
      <w:proofErr w:type="spellStart"/>
      <w:r w:rsidRPr="00BD2FF2">
        <w:rPr>
          <w:rFonts w:ascii="Arial" w:hAnsi="Arial" w:cs="Arial"/>
          <w:lang w:val="mk-MK"/>
        </w:rPr>
        <w:t>for</w:t>
      </w:r>
      <w:proofErr w:type="spellEnd"/>
      <w:r w:rsidR="009C0F6D">
        <w:rPr>
          <w:rFonts w:ascii="Arial" w:hAnsi="Arial" w:cs="Arial"/>
        </w:rPr>
        <w:t xml:space="preserve"> </w:t>
      </w:r>
      <w:proofErr w:type="spellStart"/>
      <w:r w:rsidRPr="00BD2FF2">
        <w:rPr>
          <w:rFonts w:ascii="Arial" w:hAnsi="Arial" w:cs="Arial"/>
          <w:lang w:val="mk-MK"/>
        </w:rPr>
        <w:t>sale</w:t>
      </w:r>
      <w:proofErr w:type="spellEnd"/>
      <w:r w:rsidRPr="00BD2FF2">
        <w:rPr>
          <w:rFonts w:ascii="Arial" w:hAnsi="Arial" w:cs="Arial"/>
          <w:lang w:val="mk-MK"/>
        </w:rPr>
        <w:t xml:space="preserve"> </w:t>
      </w:r>
      <w:proofErr w:type="spellStart"/>
      <w:r w:rsidRPr="00BD2FF2">
        <w:rPr>
          <w:rFonts w:ascii="Arial" w:hAnsi="Arial" w:cs="Arial"/>
          <w:lang w:val="mk-MK"/>
        </w:rPr>
        <w:t>and</w:t>
      </w:r>
      <w:proofErr w:type="spellEnd"/>
      <w:r w:rsidRPr="00BD2FF2">
        <w:rPr>
          <w:rFonts w:ascii="Arial" w:hAnsi="Arial" w:cs="Arial"/>
          <w:lang w:val="mk-MK"/>
        </w:rPr>
        <w:t xml:space="preserve"> </w:t>
      </w:r>
      <w:proofErr w:type="spellStart"/>
      <w:r w:rsidRPr="00BD2FF2">
        <w:rPr>
          <w:rFonts w:ascii="Arial" w:hAnsi="Arial" w:cs="Arial"/>
          <w:lang w:val="mk-MK"/>
        </w:rPr>
        <w:t>financial</w:t>
      </w:r>
      <w:proofErr w:type="spellEnd"/>
      <w:r w:rsidRPr="00BD2FF2">
        <w:rPr>
          <w:rFonts w:ascii="Arial" w:hAnsi="Arial" w:cs="Arial"/>
          <w:lang w:val="mk-MK"/>
        </w:rPr>
        <w:t xml:space="preserve"> </w:t>
      </w:r>
      <w:proofErr w:type="spellStart"/>
      <w:r w:rsidRPr="00BD2FF2">
        <w:rPr>
          <w:rFonts w:ascii="Arial" w:hAnsi="Arial" w:cs="Arial"/>
          <w:lang w:val="mk-MK"/>
        </w:rPr>
        <w:t>assets</w:t>
      </w:r>
      <w:proofErr w:type="spellEnd"/>
      <w:r w:rsidRPr="00BD2FF2">
        <w:rPr>
          <w:rFonts w:ascii="Arial" w:hAnsi="Arial" w:cs="Arial"/>
          <w:lang w:val="mk-MK"/>
        </w:rPr>
        <w:t xml:space="preserve"> </w:t>
      </w:r>
      <w:proofErr w:type="spellStart"/>
      <w:r w:rsidRPr="00BD2FF2">
        <w:rPr>
          <w:rFonts w:ascii="Arial" w:hAnsi="Arial" w:cs="Arial"/>
          <w:lang w:val="mk-MK"/>
        </w:rPr>
        <w:t>held</w:t>
      </w:r>
      <w:proofErr w:type="spellEnd"/>
      <w:r w:rsidRPr="00BD2FF2">
        <w:rPr>
          <w:rFonts w:ascii="Arial" w:hAnsi="Arial" w:cs="Arial"/>
          <w:lang w:val="mk-MK"/>
        </w:rPr>
        <w:t xml:space="preserve"> </w:t>
      </w:r>
      <w:proofErr w:type="spellStart"/>
      <w:r w:rsidRPr="00BD2FF2">
        <w:rPr>
          <w:rFonts w:ascii="Arial" w:hAnsi="Arial" w:cs="Arial"/>
          <w:lang w:val="mk-MK"/>
        </w:rPr>
        <w:t>to</w:t>
      </w:r>
      <w:proofErr w:type="spellEnd"/>
      <w:r w:rsidRPr="00BD2FF2">
        <w:rPr>
          <w:rFonts w:ascii="Arial" w:hAnsi="Arial" w:cs="Arial"/>
          <w:lang w:val="mk-MK"/>
        </w:rPr>
        <w:t xml:space="preserve"> </w:t>
      </w:r>
      <w:proofErr w:type="spellStart"/>
      <w:r w:rsidRPr="00BD2FF2">
        <w:rPr>
          <w:rFonts w:ascii="Arial" w:hAnsi="Arial" w:cs="Arial"/>
          <w:lang w:val="mk-MK"/>
        </w:rPr>
        <w:t>maturity</w:t>
      </w:r>
      <w:proofErr w:type="spellEnd"/>
      <w:r w:rsidRPr="00BD2FF2">
        <w:rPr>
          <w:rFonts w:ascii="Arial" w:hAnsi="Arial" w:cs="Arial"/>
          <w:lang w:val="mk-MK"/>
        </w:rPr>
        <w:t xml:space="preserve">. </w:t>
      </w:r>
      <w:proofErr w:type="spellStart"/>
      <w:r w:rsidRPr="00BD2FF2">
        <w:rPr>
          <w:rFonts w:ascii="Arial" w:hAnsi="Arial" w:cs="Arial"/>
          <w:lang w:val="mk-MK"/>
        </w:rPr>
        <w:t>Management</w:t>
      </w:r>
      <w:proofErr w:type="spellEnd"/>
      <w:r w:rsidRPr="00BD2FF2">
        <w:rPr>
          <w:rFonts w:ascii="Arial" w:hAnsi="Arial" w:cs="Arial"/>
          <w:lang w:val="mk-MK"/>
        </w:rPr>
        <w:t xml:space="preserve"> </w:t>
      </w:r>
      <w:proofErr w:type="spellStart"/>
      <w:r w:rsidRPr="00BD2FF2">
        <w:rPr>
          <w:rFonts w:ascii="Arial" w:hAnsi="Arial" w:cs="Arial"/>
          <w:lang w:val="mk-MK"/>
        </w:rPr>
        <w:t>determines</w:t>
      </w:r>
      <w:proofErr w:type="spellEnd"/>
      <w:r w:rsidRPr="00BD2FF2">
        <w:rPr>
          <w:rFonts w:ascii="Arial" w:hAnsi="Arial" w:cs="Arial"/>
          <w:lang w:val="mk-MK"/>
        </w:rPr>
        <w:t xml:space="preserve"> </w:t>
      </w:r>
      <w:proofErr w:type="spellStart"/>
      <w:r w:rsidRPr="00BD2FF2">
        <w:rPr>
          <w:rFonts w:ascii="Arial" w:hAnsi="Arial" w:cs="Arial"/>
          <w:lang w:val="mk-MK"/>
        </w:rPr>
        <w:t>the</w:t>
      </w:r>
      <w:proofErr w:type="spellEnd"/>
      <w:r w:rsidRPr="00BD2FF2">
        <w:rPr>
          <w:rFonts w:ascii="Arial" w:hAnsi="Arial" w:cs="Arial"/>
          <w:lang w:val="mk-MK"/>
        </w:rPr>
        <w:t xml:space="preserve"> </w:t>
      </w:r>
      <w:proofErr w:type="spellStart"/>
      <w:r w:rsidRPr="00BD2FF2">
        <w:rPr>
          <w:rFonts w:ascii="Arial" w:hAnsi="Arial" w:cs="Arial"/>
          <w:lang w:val="mk-MK"/>
        </w:rPr>
        <w:t>classification</w:t>
      </w:r>
      <w:proofErr w:type="spellEnd"/>
      <w:r w:rsidRPr="00BD2FF2">
        <w:rPr>
          <w:rFonts w:ascii="Arial" w:hAnsi="Arial" w:cs="Arial"/>
          <w:lang w:val="mk-MK"/>
        </w:rPr>
        <w:t xml:space="preserve"> </w:t>
      </w:r>
      <w:proofErr w:type="spellStart"/>
      <w:r w:rsidRPr="00BD2FF2">
        <w:rPr>
          <w:rFonts w:ascii="Arial" w:hAnsi="Arial" w:cs="Arial"/>
          <w:lang w:val="mk-MK"/>
        </w:rPr>
        <w:t>of</w:t>
      </w:r>
      <w:proofErr w:type="spellEnd"/>
      <w:r w:rsidRPr="00BD2FF2">
        <w:rPr>
          <w:rFonts w:ascii="Arial" w:hAnsi="Arial" w:cs="Arial"/>
          <w:lang w:val="mk-MK"/>
        </w:rPr>
        <w:t xml:space="preserve"> </w:t>
      </w:r>
      <w:proofErr w:type="spellStart"/>
      <w:r w:rsidRPr="00BD2FF2">
        <w:rPr>
          <w:rFonts w:ascii="Arial" w:hAnsi="Arial" w:cs="Arial"/>
          <w:lang w:val="mk-MK"/>
        </w:rPr>
        <w:t>its</w:t>
      </w:r>
      <w:proofErr w:type="spellEnd"/>
      <w:r w:rsidRPr="00BD2FF2">
        <w:rPr>
          <w:rFonts w:ascii="Arial" w:hAnsi="Arial" w:cs="Arial"/>
          <w:lang w:val="mk-MK"/>
        </w:rPr>
        <w:t xml:space="preserve"> </w:t>
      </w:r>
      <w:proofErr w:type="spellStart"/>
      <w:r w:rsidRPr="00BD2FF2">
        <w:rPr>
          <w:rFonts w:ascii="Arial" w:hAnsi="Arial" w:cs="Arial"/>
          <w:lang w:val="mk-MK"/>
        </w:rPr>
        <w:t>investments</w:t>
      </w:r>
      <w:proofErr w:type="spellEnd"/>
      <w:r w:rsidRPr="00BD2FF2">
        <w:rPr>
          <w:rFonts w:ascii="Arial" w:hAnsi="Arial" w:cs="Arial"/>
          <w:lang w:val="mk-MK"/>
        </w:rPr>
        <w:t xml:space="preserve"> </w:t>
      </w:r>
      <w:proofErr w:type="spellStart"/>
      <w:r w:rsidRPr="00BD2FF2">
        <w:rPr>
          <w:rFonts w:ascii="Arial" w:hAnsi="Arial" w:cs="Arial"/>
          <w:lang w:val="mk-MK"/>
        </w:rPr>
        <w:t>at</w:t>
      </w:r>
      <w:proofErr w:type="spellEnd"/>
      <w:r w:rsidRPr="00BD2FF2">
        <w:rPr>
          <w:rFonts w:ascii="Arial" w:hAnsi="Arial" w:cs="Arial"/>
          <w:lang w:val="mk-MK"/>
        </w:rPr>
        <w:t xml:space="preserve"> </w:t>
      </w:r>
      <w:proofErr w:type="spellStart"/>
      <w:r w:rsidRPr="00BD2FF2">
        <w:rPr>
          <w:rFonts w:ascii="Arial" w:hAnsi="Arial" w:cs="Arial"/>
          <w:lang w:val="mk-MK"/>
        </w:rPr>
        <w:t>initial</w:t>
      </w:r>
      <w:proofErr w:type="spellEnd"/>
      <w:r w:rsidRPr="00BD2FF2">
        <w:rPr>
          <w:rFonts w:ascii="Arial" w:hAnsi="Arial" w:cs="Arial"/>
          <w:lang w:val="mk-MK"/>
        </w:rPr>
        <w:t xml:space="preserve"> </w:t>
      </w:r>
      <w:proofErr w:type="spellStart"/>
      <w:r w:rsidRPr="00BD2FF2">
        <w:rPr>
          <w:rFonts w:ascii="Arial" w:hAnsi="Arial" w:cs="Arial"/>
          <w:lang w:val="mk-MK"/>
        </w:rPr>
        <w:t>recognition</w:t>
      </w:r>
      <w:proofErr w:type="spellEnd"/>
      <w:r w:rsidR="009C0F6D">
        <w:rPr>
          <w:rFonts w:ascii="Arial" w:hAnsi="Arial" w:cs="Arial"/>
        </w:rPr>
        <w:t>.</w:t>
      </w:r>
    </w:p>
    <w:p w14:paraId="6EB3C485" w14:textId="030585AB" w:rsidR="00815E65" w:rsidRPr="00BD2FF2" w:rsidRDefault="00BD2FF2" w:rsidP="00815E65">
      <w:pPr>
        <w:autoSpaceDE w:val="0"/>
        <w:autoSpaceDN w:val="0"/>
        <w:adjustRightInd w:val="0"/>
        <w:jc w:val="both"/>
        <w:rPr>
          <w:rFonts w:ascii="Arial" w:hAnsi="Arial" w:cs="Arial"/>
          <w:i/>
          <w:iCs/>
          <w:kern w:val="32"/>
        </w:rPr>
      </w:pPr>
      <w:r>
        <w:rPr>
          <w:rFonts w:ascii="Arial" w:hAnsi="Arial" w:cs="Arial"/>
          <w:i/>
          <w:iCs/>
          <w:kern w:val="32"/>
        </w:rPr>
        <w:t>Loans and receivables</w:t>
      </w:r>
    </w:p>
    <w:p w14:paraId="10AF03CB" w14:textId="7F9788F8" w:rsidR="0016761C" w:rsidRPr="00CE3053" w:rsidRDefault="0016761C" w:rsidP="00815E65">
      <w:pPr>
        <w:pStyle w:val="BodyText"/>
        <w:jc w:val="both"/>
        <w:rPr>
          <w:rFonts w:ascii="Arial" w:hAnsi="Arial" w:cs="Arial"/>
          <w:lang w:val="mk-MK"/>
        </w:rPr>
      </w:pPr>
      <w:proofErr w:type="spellStart"/>
      <w:r w:rsidRPr="0016761C">
        <w:rPr>
          <w:rFonts w:ascii="Arial" w:hAnsi="Arial" w:cs="Arial"/>
          <w:lang w:val="mk-MK"/>
        </w:rPr>
        <w:t>Loans</w:t>
      </w:r>
      <w:proofErr w:type="spellEnd"/>
      <w:r w:rsidRPr="0016761C">
        <w:rPr>
          <w:rFonts w:ascii="Arial" w:hAnsi="Arial" w:cs="Arial"/>
          <w:lang w:val="mk-MK"/>
        </w:rPr>
        <w:t xml:space="preserve"> </w:t>
      </w:r>
      <w:proofErr w:type="spellStart"/>
      <w:r w:rsidRPr="0016761C">
        <w:rPr>
          <w:rFonts w:ascii="Arial" w:hAnsi="Arial" w:cs="Arial"/>
          <w:lang w:val="mk-MK"/>
        </w:rPr>
        <w:t>and</w:t>
      </w:r>
      <w:proofErr w:type="spellEnd"/>
      <w:r w:rsidRPr="0016761C">
        <w:rPr>
          <w:rFonts w:ascii="Arial" w:hAnsi="Arial" w:cs="Arial"/>
          <w:lang w:val="mk-MK"/>
        </w:rPr>
        <w:t xml:space="preserve"> </w:t>
      </w:r>
      <w:proofErr w:type="spellStart"/>
      <w:r w:rsidRPr="0016761C">
        <w:rPr>
          <w:rFonts w:ascii="Arial" w:hAnsi="Arial" w:cs="Arial"/>
          <w:lang w:val="mk-MK"/>
        </w:rPr>
        <w:t>receivables</w:t>
      </w:r>
      <w:proofErr w:type="spellEnd"/>
      <w:r w:rsidRPr="0016761C">
        <w:rPr>
          <w:rFonts w:ascii="Arial" w:hAnsi="Arial" w:cs="Arial"/>
          <w:lang w:val="mk-MK"/>
        </w:rPr>
        <w:t xml:space="preserve"> </w:t>
      </w:r>
      <w:proofErr w:type="spellStart"/>
      <w:r w:rsidRPr="0016761C">
        <w:rPr>
          <w:rFonts w:ascii="Arial" w:hAnsi="Arial" w:cs="Arial"/>
          <w:lang w:val="mk-MK"/>
        </w:rPr>
        <w:t>are</w:t>
      </w:r>
      <w:proofErr w:type="spellEnd"/>
      <w:r w:rsidRPr="0016761C">
        <w:rPr>
          <w:rFonts w:ascii="Arial" w:hAnsi="Arial" w:cs="Arial"/>
          <w:lang w:val="mk-MK"/>
        </w:rPr>
        <w:t xml:space="preserve"> </w:t>
      </w:r>
      <w:proofErr w:type="spellStart"/>
      <w:r w:rsidRPr="0016761C">
        <w:rPr>
          <w:rFonts w:ascii="Arial" w:hAnsi="Arial" w:cs="Arial"/>
          <w:lang w:val="mk-MK"/>
        </w:rPr>
        <w:t>non-derivative</w:t>
      </w:r>
      <w:proofErr w:type="spellEnd"/>
      <w:r w:rsidRPr="0016761C">
        <w:rPr>
          <w:rFonts w:ascii="Arial" w:hAnsi="Arial" w:cs="Arial"/>
          <w:lang w:val="mk-MK"/>
        </w:rPr>
        <w:t xml:space="preserve"> </w:t>
      </w:r>
      <w:proofErr w:type="spellStart"/>
      <w:r w:rsidRPr="0016761C">
        <w:rPr>
          <w:rFonts w:ascii="Arial" w:hAnsi="Arial" w:cs="Arial"/>
          <w:lang w:val="mk-MK"/>
        </w:rPr>
        <w:t>financial</w:t>
      </w:r>
      <w:proofErr w:type="spellEnd"/>
      <w:r w:rsidRPr="0016761C">
        <w:rPr>
          <w:rFonts w:ascii="Arial" w:hAnsi="Arial" w:cs="Arial"/>
          <w:lang w:val="mk-MK"/>
        </w:rPr>
        <w:t xml:space="preserve"> </w:t>
      </w:r>
      <w:proofErr w:type="spellStart"/>
      <w:r w:rsidRPr="0016761C">
        <w:rPr>
          <w:rFonts w:ascii="Arial" w:hAnsi="Arial" w:cs="Arial"/>
          <w:lang w:val="mk-MK"/>
        </w:rPr>
        <w:t>assets</w:t>
      </w:r>
      <w:proofErr w:type="spellEnd"/>
      <w:r w:rsidRPr="0016761C">
        <w:rPr>
          <w:rFonts w:ascii="Arial" w:hAnsi="Arial" w:cs="Arial"/>
          <w:lang w:val="mk-MK"/>
        </w:rPr>
        <w:t xml:space="preserve"> </w:t>
      </w:r>
      <w:proofErr w:type="spellStart"/>
      <w:r w:rsidRPr="0016761C">
        <w:rPr>
          <w:rFonts w:ascii="Arial" w:hAnsi="Arial" w:cs="Arial"/>
          <w:lang w:val="mk-MK"/>
        </w:rPr>
        <w:t>with</w:t>
      </w:r>
      <w:proofErr w:type="spellEnd"/>
      <w:r w:rsidRPr="0016761C">
        <w:rPr>
          <w:rFonts w:ascii="Arial" w:hAnsi="Arial" w:cs="Arial"/>
          <w:lang w:val="mk-MK"/>
        </w:rPr>
        <w:t xml:space="preserve"> </w:t>
      </w:r>
      <w:proofErr w:type="spellStart"/>
      <w:r w:rsidRPr="0016761C">
        <w:rPr>
          <w:rFonts w:ascii="Arial" w:hAnsi="Arial" w:cs="Arial"/>
          <w:lang w:val="mk-MK"/>
        </w:rPr>
        <w:t>fixed</w:t>
      </w:r>
      <w:proofErr w:type="spellEnd"/>
      <w:r w:rsidRPr="0016761C">
        <w:rPr>
          <w:rFonts w:ascii="Arial" w:hAnsi="Arial" w:cs="Arial"/>
          <w:lang w:val="mk-MK"/>
        </w:rPr>
        <w:t xml:space="preserve"> </w:t>
      </w:r>
      <w:proofErr w:type="spellStart"/>
      <w:r w:rsidRPr="0016761C">
        <w:rPr>
          <w:rFonts w:ascii="Arial" w:hAnsi="Arial" w:cs="Arial"/>
          <w:lang w:val="mk-MK"/>
        </w:rPr>
        <w:t>or</w:t>
      </w:r>
      <w:proofErr w:type="spellEnd"/>
      <w:r w:rsidRPr="0016761C">
        <w:rPr>
          <w:rFonts w:ascii="Arial" w:hAnsi="Arial" w:cs="Arial"/>
          <w:lang w:val="mk-MK"/>
        </w:rPr>
        <w:t xml:space="preserve"> </w:t>
      </w:r>
      <w:proofErr w:type="spellStart"/>
      <w:r w:rsidRPr="0016761C">
        <w:rPr>
          <w:rFonts w:ascii="Arial" w:hAnsi="Arial" w:cs="Arial"/>
          <w:lang w:val="mk-MK"/>
        </w:rPr>
        <w:t>determinable</w:t>
      </w:r>
      <w:proofErr w:type="spellEnd"/>
      <w:r w:rsidRPr="0016761C">
        <w:rPr>
          <w:rFonts w:ascii="Arial" w:hAnsi="Arial" w:cs="Arial"/>
          <w:lang w:val="mk-MK"/>
        </w:rPr>
        <w:t xml:space="preserve"> </w:t>
      </w:r>
      <w:proofErr w:type="spellStart"/>
      <w:r w:rsidRPr="0016761C">
        <w:rPr>
          <w:rFonts w:ascii="Arial" w:hAnsi="Arial" w:cs="Arial"/>
          <w:lang w:val="mk-MK"/>
        </w:rPr>
        <w:t>payments</w:t>
      </w:r>
      <w:proofErr w:type="spellEnd"/>
      <w:r w:rsidRPr="0016761C">
        <w:rPr>
          <w:rFonts w:ascii="Arial" w:hAnsi="Arial" w:cs="Arial"/>
          <w:lang w:val="mk-MK"/>
        </w:rPr>
        <w:t xml:space="preserve"> </w:t>
      </w:r>
      <w:proofErr w:type="spellStart"/>
      <w:r w:rsidRPr="0016761C">
        <w:rPr>
          <w:rFonts w:ascii="Arial" w:hAnsi="Arial" w:cs="Arial"/>
          <w:lang w:val="mk-MK"/>
        </w:rPr>
        <w:t>that</w:t>
      </w:r>
      <w:proofErr w:type="spellEnd"/>
      <w:r w:rsidRPr="0016761C">
        <w:rPr>
          <w:rFonts w:ascii="Arial" w:hAnsi="Arial" w:cs="Arial"/>
          <w:lang w:val="mk-MK"/>
        </w:rPr>
        <w:t xml:space="preserve"> </w:t>
      </w:r>
      <w:proofErr w:type="spellStart"/>
      <w:r w:rsidRPr="0016761C">
        <w:rPr>
          <w:rFonts w:ascii="Arial" w:hAnsi="Arial" w:cs="Arial"/>
          <w:lang w:val="mk-MK"/>
        </w:rPr>
        <w:t>are</w:t>
      </w:r>
      <w:proofErr w:type="spellEnd"/>
      <w:r w:rsidRPr="0016761C">
        <w:rPr>
          <w:rFonts w:ascii="Arial" w:hAnsi="Arial" w:cs="Arial"/>
          <w:lang w:val="mk-MK"/>
        </w:rPr>
        <w:t xml:space="preserve"> </w:t>
      </w:r>
      <w:proofErr w:type="spellStart"/>
      <w:r w:rsidRPr="0016761C">
        <w:rPr>
          <w:rFonts w:ascii="Arial" w:hAnsi="Arial" w:cs="Arial"/>
          <w:lang w:val="mk-MK"/>
        </w:rPr>
        <w:t>not</w:t>
      </w:r>
      <w:proofErr w:type="spellEnd"/>
      <w:r w:rsidRPr="0016761C">
        <w:rPr>
          <w:rFonts w:ascii="Arial" w:hAnsi="Arial" w:cs="Arial"/>
          <w:lang w:val="mk-MK"/>
        </w:rPr>
        <w:t xml:space="preserve"> </w:t>
      </w:r>
      <w:proofErr w:type="spellStart"/>
      <w:r w:rsidRPr="0016761C">
        <w:rPr>
          <w:rFonts w:ascii="Arial" w:hAnsi="Arial" w:cs="Arial"/>
          <w:lang w:val="mk-MK"/>
        </w:rPr>
        <w:t>quoted</w:t>
      </w:r>
      <w:proofErr w:type="spellEnd"/>
      <w:r w:rsidRPr="0016761C">
        <w:rPr>
          <w:rFonts w:ascii="Arial" w:hAnsi="Arial" w:cs="Arial"/>
          <w:lang w:val="mk-MK"/>
        </w:rPr>
        <w:t xml:space="preserve"> </w:t>
      </w:r>
      <w:proofErr w:type="spellStart"/>
      <w:r w:rsidRPr="0016761C">
        <w:rPr>
          <w:rFonts w:ascii="Arial" w:hAnsi="Arial" w:cs="Arial"/>
          <w:lang w:val="mk-MK"/>
        </w:rPr>
        <w:t>in</w:t>
      </w:r>
      <w:proofErr w:type="spellEnd"/>
      <w:r w:rsidRPr="0016761C">
        <w:rPr>
          <w:rFonts w:ascii="Arial" w:hAnsi="Arial" w:cs="Arial"/>
          <w:lang w:val="mk-MK"/>
        </w:rPr>
        <w:t xml:space="preserve"> </w:t>
      </w:r>
      <w:proofErr w:type="spellStart"/>
      <w:r w:rsidRPr="0016761C">
        <w:rPr>
          <w:rFonts w:ascii="Arial" w:hAnsi="Arial" w:cs="Arial"/>
          <w:lang w:val="mk-MK"/>
        </w:rPr>
        <w:t>an</w:t>
      </w:r>
      <w:proofErr w:type="spellEnd"/>
      <w:r w:rsidRPr="0016761C">
        <w:rPr>
          <w:rFonts w:ascii="Arial" w:hAnsi="Arial" w:cs="Arial"/>
          <w:lang w:val="mk-MK"/>
        </w:rPr>
        <w:t xml:space="preserve"> </w:t>
      </w:r>
      <w:proofErr w:type="spellStart"/>
      <w:r w:rsidRPr="0016761C">
        <w:rPr>
          <w:rFonts w:ascii="Arial" w:hAnsi="Arial" w:cs="Arial"/>
          <w:lang w:val="mk-MK"/>
        </w:rPr>
        <w:t>active</w:t>
      </w:r>
      <w:proofErr w:type="spellEnd"/>
      <w:r w:rsidRPr="0016761C">
        <w:rPr>
          <w:rFonts w:ascii="Arial" w:hAnsi="Arial" w:cs="Arial"/>
          <w:lang w:val="mk-MK"/>
        </w:rPr>
        <w:t xml:space="preserve"> </w:t>
      </w:r>
      <w:proofErr w:type="spellStart"/>
      <w:r w:rsidRPr="0016761C">
        <w:rPr>
          <w:rFonts w:ascii="Arial" w:hAnsi="Arial" w:cs="Arial"/>
          <w:lang w:val="mk-MK"/>
        </w:rPr>
        <w:t>market</w:t>
      </w:r>
      <w:proofErr w:type="spellEnd"/>
      <w:r w:rsidRPr="0016761C">
        <w:rPr>
          <w:rFonts w:ascii="Arial" w:hAnsi="Arial" w:cs="Arial"/>
          <w:lang w:val="mk-MK"/>
        </w:rPr>
        <w:t xml:space="preserve">. </w:t>
      </w:r>
      <w:proofErr w:type="spellStart"/>
      <w:r w:rsidRPr="0016761C">
        <w:rPr>
          <w:rFonts w:ascii="Arial" w:hAnsi="Arial" w:cs="Arial"/>
          <w:lang w:val="mk-MK"/>
        </w:rPr>
        <w:t>They</w:t>
      </w:r>
      <w:proofErr w:type="spellEnd"/>
      <w:r w:rsidRPr="0016761C">
        <w:rPr>
          <w:rFonts w:ascii="Arial" w:hAnsi="Arial" w:cs="Arial"/>
          <w:lang w:val="mk-MK"/>
        </w:rPr>
        <w:t xml:space="preserve"> </w:t>
      </w:r>
      <w:proofErr w:type="spellStart"/>
      <w:r w:rsidRPr="0016761C">
        <w:rPr>
          <w:rFonts w:ascii="Arial" w:hAnsi="Arial" w:cs="Arial"/>
          <w:lang w:val="mk-MK"/>
        </w:rPr>
        <w:t>are</w:t>
      </w:r>
      <w:proofErr w:type="spellEnd"/>
      <w:r w:rsidRPr="0016761C">
        <w:rPr>
          <w:rFonts w:ascii="Arial" w:hAnsi="Arial" w:cs="Arial"/>
          <w:lang w:val="mk-MK"/>
        </w:rPr>
        <w:t xml:space="preserve"> </w:t>
      </w:r>
      <w:proofErr w:type="spellStart"/>
      <w:r w:rsidRPr="0016761C">
        <w:rPr>
          <w:rFonts w:ascii="Arial" w:hAnsi="Arial" w:cs="Arial"/>
          <w:lang w:val="mk-MK"/>
        </w:rPr>
        <w:t>included</w:t>
      </w:r>
      <w:proofErr w:type="spellEnd"/>
      <w:r w:rsidRPr="0016761C">
        <w:rPr>
          <w:rFonts w:ascii="Arial" w:hAnsi="Arial" w:cs="Arial"/>
          <w:lang w:val="mk-MK"/>
        </w:rPr>
        <w:t xml:space="preserve"> </w:t>
      </w:r>
      <w:proofErr w:type="spellStart"/>
      <w:r w:rsidRPr="0016761C">
        <w:rPr>
          <w:rFonts w:ascii="Arial" w:hAnsi="Arial" w:cs="Arial"/>
          <w:lang w:val="mk-MK"/>
        </w:rPr>
        <w:t>in</w:t>
      </w:r>
      <w:proofErr w:type="spellEnd"/>
      <w:r w:rsidRPr="0016761C">
        <w:rPr>
          <w:rFonts w:ascii="Arial" w:hAnsi="Arial" w:cs="Arial"/>
          <w:lang w:val="mk-MK"/>
        </w:rPr>
        <w:t xml:space="preserve"> </w:t>
      </w:r>
      <w:proofErr w:type="spellStart"/>
      <w:r w:rsidRPr="0016761C">
        <w:rPr>
          <w:rFonts w:ascii="Arial" w:hAnsi="Arial" w:cs="Arial"/>
          <w:lang w:val="mk-MK"/>
        </w:rPr>
        <w:t>current</w:t>
      </w:r>
      <w:proofErr w:type="spellEnd"/>
      <w:r w:rsidRPr="0016761C">
        <w:rPr>
          <w:rFonts w:ascii="Arial" w:hAnsi="Arial" w:cs="Arial"/>
          <w:lang w:val="mk-MK"/>
        </w:rPr>
        <w:t xml:space="preserve"> </w:t>
      </w:r>
      <w:proofErr w:type="spellStart"/>
      <w:r w:rsidRPr="0016761C">
        <w:rPr>
          <w:rFonts w:ascii="Arial" w:hAnsi="Arial" w:cs="Arial"/>
          <w:lang w:val="mk-MK"/>
        </w:rPr>
        <w:t>assets</w:t>
      </w:r>
      <w:proofErr w:type="spellEnd"/>
      <w:r w:rsidRPr="0016761C">
        <w:rPr>
          <w:rFonts w:ascii="Arial" w:hAnsi="Arial" w:cs="Arial"/>
          <w:lang w:val="mk-MK"/>
        </w:rPr>
        <w:t xml:space="preserve">, </w:t>
      </w:r>
      <w:proofErr w:type="spellStart"/>
      <w:r w:rsidRPr="0016761C">
        <w:rPr>
          <w:rFonts w:ascii="Arial" w:hAnsi="Arial" w:cs="Arial"/>
          <w:lang w:val="mk-MK"/>
        </w:rPr>
        <w:t>except</w:t>
      </w:r>
      <w:proofErr w:type="spellEnd"/>
      <w:r w:rsidRPr="0016761C">
        <w:rPr>
          <w:rFonts w:ascii="Arial" w:hAnsi="Arial" w:cs="Arial"/>
          <w:lang w:val="mk-MK"/>
        </w:rPr>
        <w:t xml:space="preserve"> </w:t>
      </w:r>
      <w:proofErr w:type="spellStart"/>
      <w:r w:rsidRPr="0016761C">
        <w:rPr>
          <w:rFonts w:ascii="Arial" w:hAnsi="Arial" w:cs="Arial"/>
          <w:lang w:val="mk-MK"/>
        </w:rPr>
        <w:t>for</w:t>
      </w:r>
      <w:proofErr w:type="spellEnd"/>
      <w:r w:rsidRPr="0016761C">
        <w:rPr>
          <w:rFonts w:ascii="Arial" w:hAnsi="Arial" w:cs="Arial"/>
          <w:lang w:val="mk-MK"/>
        </w:rPr>
        <w:t xml:space="preserve"> </w:t>
      </w:r>
      <w:proofErr w:type="spellStart"/>
      <w:r w:rsidRPr="0016761C">
        <w:rPr>
          <w:rFonts w:ascii="Arial" w:hAnsi="Arial" w:cs="Arial"/>
          <w:lang w:val="mk-MK"/>
        </w:rPr>
        <w:t>those</w:t>
      </w:r>
      <w:proofErr w:type="spellEnd"/>
      <w:r w:rsidRPr="0016761C">
        <w:rPr>
          <w:rFonts w:ascii="Arial" w:hAnsi="Arial" w:cs="Arial"/>
          <w:lang w:val="mk-MK"/>
        </w:rPr>
        <w:t xml:space="preserve"> </w:t>
      </w:r>
      <w:proofErr w:type="spellStart"/>
      <w:r w:rsidRPr="0016761C">
        <w:rPr>
          <w:rFonts w:ascii="Arial" w:hAnsi="Arial" w:cs="Arial"/>
          <w:lang w:val="mk-MK"/>
        </w:rPr>
        <w:t>with</w:t>
      </w:r>
      <w:proofErr w:type="spellEnd"/>
      <w:r w:rsidRPr="0016761C">
        <w:rPr>
          <w:rFonts w:ascii="Arial" w:hAnsi="Arial" w:cs="Arial"/>
          <w:lang w:val="mk-MK"/>
        </w:rPr>
        <w:t xml:space="preserve"> </w:t>
      </w:r>
      <w:proofErr w:type="spellStart"/>
      <w:r w:rsidRPr="0016761C">
        <w:rPr>
          <w:rFonts w:ascii="Arial" w:hAnsi="Arial" w:cs="Arial"/>
          <w:lang w:val="mk-MK"/>
        </w:rPr>
        <w:t>maturity</w:t>
      </w:r>
      <w:proofErr w:type="spellEnd"/>
      <w:r w:rsidRPr="0016761C">
        <w:rPr>
          <w:rFonts w:ascii="Arial" w:hAnsi="Arial" w:cs="Arial"/>
          <w:lang w:val="mk-MK"/>
        </w:rPr>
        <w:t xml:space="preserve"> </w:t>
      </w:r>
      <w:proofErr w:type="spellStart"/>
      <w:r w:rsidRPr="0016761C">
        <w:rPr>
          <w:rFonts w:ascii="Arial" w:hAnsi="Arial" w:cs="Arial"/>
          <w:lang w:val="mk-MK"/>
        </w:rPr>
        <w:t>within</w:t>
      </w:r>
      <w:proofErr w:type="spellEnd"/>
      <w:r w:rsidRPr="0016761C">
        <w:rPr>
          <w:rFonts w:ascii="Arial" w:hAnsi="Arial" w:cs="Arial"/>
          <w:lang w:val="mk-MK"/>
        </w:rPr>
        <w:t xml:space="preserve"> 12 </w:t>
      </w:r>
      <w:proofErr w:type="spellStart"/>
      <w:r w:rsidRPr="0016761C">
        <w:rPr>
          <w:rFonts w:ascii="Arial" w:hAnsi="Arial" w:cs="Arial"/>
          <w:lang w:val="mk-MK"/>
        </w:rPr>
        <w:t>months</w:t>
      </w:r>
      <w:proofErr w:type="spellEnd"/>
      <w:r w:rsidRPr="0016761C">
        <w:rPr>
          <w:rFonts w:ascii="Arial" w:hAnsi="Arial" w:cs="Arial"/>
          <w:lang w:val="mk-MK"/>
        </w:rPr>
        <w:t xml:space="preserve"> </w:t>
      </w:r>
      <w:proofErr w:type="spellStart"/>
      <w:r w:rsidRPr="0016761C">
        <w:rPr>
          <w:rFonts w:ascii="Arial" w:hAnsi="Arial" w:cs="Arial"/>
          <w:lang w:val="mk-MK"/>
        </w:rPr>
        <w:t>as</w:t>
      </w:r>
      <w:proofErr w:type="spellEnd"/>
      <w:r w:rsidRPr="0016761C">
        <w:rPr>
          <w:rFonts w:ascii="Arial" w:hAnsi="Arial" w:cs="Arial"/>
          <w:lang w:val="mk-MK"/>
        </w:rPr>
        <w:t xml:space="preserve"> </w:t>
      </w:r>
      <w:proofErr w:type="spellStart"/>
      <w:r w:rsidRPr="0016761C">
        <w:rPr>
          <w:rFonts w:ascii="Arial" w:hAnsi="Arial" w:cs="Arial"/>
          <w:lang w:val="mk-MK"/>
        </w:rPr>
        <w:t>of</w:t>
      </w:r>
      <w:proofErr w:type="spellEnd"/>
      <w:r w:rsidRPr="0016761C">
        <w:rPr>
          <w:rFonts w:ascii="Arial" w:hAnsi="Arial" w:cs="Arial"/>
          <w:lang w:val="mk-MK"/>
        </w:rPr>
        <w:t xml:space="preserve"> </w:t>
      </w:r>
      <w:proofErr w:type="spellStart"/>
      <w:r w:rsidRPr="0016761C">
        <w:rPr>
          <w:rFonts w:ascii="Arial" w:hAnsi="Arial" w:cs="Arial"/>
          <w:lang w:val="mk-MK"/>
        </w:rPr>
        <w:t>the</w:t>
      </w:r>
      <w:proofErr w:type="spellEnd"/>
      <w:r w:rsidRPr="0016761C">
        <w:rPr>
          <w:rFonts w:ascii="Arial" w:hAnsi="Arial" w:cs="Arial"/>
          <w:lang w:val="mk-MK"/>
        </w:rPr>
        <w:t xml:space="preserve"> </w:t>
      </w:r>
      <w:proofErr w:type="spellStart"/>
      <w:r w:rsidRPr="0016761C">
        <w:rPr>
          <w:rFonts w:ascii="Arial" w:hAnsi="Arial" w:cs="Arial"/>
          <w:lang w:val="mk-MK"/>
        </w:rPr>
        <w:t>Statement</w:t>
      </w:r>
      <w:proofErr w:type="spellEnd"/>
      <w:r w:rsidRPr="0016761C">
        <w:rPr>
          <w:rFonts w:ascii="Arial" w:hAnsi="Arial" w:cs="Arial"/>
          <w:lang w:val="mk-MK"/>
        </w:rPr>
        <w:t xml:space="preserve"> </w:t>
      </w:r>
      <w:proofErr w:type="spellStart"/>
      <w:r w:rsidRPr="0016761C">
        <w:rPr>
          <w:rFonts w:ascii="Arial" w:hAnsi="Arial" w:cs="Arial"/>
          <w:lang w:val="mk-MK"/>
        </w:rPr>
        <w:t>of</w:t>
      </w:r>
      <w:proofErr w:type="spellEnd"/>
      <w:r w:rsidRPr="0016761C">
        <w:rPr>
          <w:rFonts w:ascii="Arial" w:hAnsi="Arial" w:cs="Arial"/>
          <w:lang w:val="mk-MK"/>
        </w:rPr>
        <w:t xml:space="preserve"> </w:t>
      </w:r>
      <w:proofErr w:type="spellStart"/>
      <w:r w:rsidRPr="0016761C">
        <w:rPr>
          <w:rFonts w:ascii="Arial" w:hAnsi="Arial" w:cs="Arial"/>
          <w:lang w:val="mk-MK"/>
        </w:rPr>
        <w:t>financial</w:t>
      </w:r>
      <w:proofErr w:type="spellEnd"/>
      <w:r w:rsidRPr="0016761C">
        <w:rPr>
          <w:rFonts w:ascii="Arial" w:hAnsi="Arial" w:cs="Arial"/>
          <w:lang w:val="mk-MK"/>
        </w:rPr>
        <w:t xml:space="preserve"> </w:t>
      </w:r>
      <w:proofErr w:type="spellStart"/>
      <w:r w:rsidRPr="0016761C">
        <w:rPr>
          <w:rFonts w:ascii="Arial" w:hAnsi="Arial" w:cs="Arial"/>
          <w:lang w:val="mk-MK"/>
        </w:rPr>
        <w:t>position</w:t>
      </w:r>
      <w:proofErr w:type="spellEnd"/>
      <w:r w:rsidRPr="0016761C">
        <w:rPr>
          <w:rFonts w:ascii="Arial" w:hAnsi="Arial" w:cs="Arial"/>
          <w:lang w:val="mk-MK"/>
        </w:rPr>
        <w:t xml:space="preserve"> </w:t>
      </w:r>
      <w:proofErr w:type="spellStart"/>
      <w:r w:rsidRPr="0016761C">
        <w:rPr>
          <w:rFonts w:ascii="Arial" w:hAnsi="Arial" w:cs="Arial"/>
          <w:lang w:val="mk-MK"/>
        </w:rPr>
        <w:t>date</w:t>
      </w:r>
      <w:proofErr w:type="spellEnd"/>
      <w:r w:rsidRPr="0016761C">
        <w:rPr>
          <w:rFonts w:ascii="Arial" w:hAnsi="Arial" w:cs="Arial"/>
          <w:lang w:val="mk-MK"/>
        </w:rPr>
        <w:t xml:space="preserve">, </w:t>
      </w:r>
      <w:proofErr w:type="spellStart"/>
      <w:r w:rsidRPr="0016761C">
        <w:rPr>
          <w:rFonts w:ascii="Arial" w:hAnsi="Arial" w:cs="Arial"/>
          <w:lang w:val="mk-MK"/>
        </w:rPr>
        <w:t>which</w:t>
      </w:r>
      <w:proofErr w:type="spellEnd"/>
      <w:r w:rsidRPr="0016761C">
        <w:rPr>
          <w:rFonts w:ascii="Arial" w:hAnsi="Arial" w:cs="Arial"/>
          <w:lang w:val="mk-MK"/>
        </w:rPr>
        <w:t xml:space="preserve"> </w:t>
      </w:r>
      <w:proofErr w:type="spellStart"/>
      <w:r w:rsidRPr="0016761C">
        <w:rPr>
          <w:rFonts w:ascii="Arial" w:hAnsi="Arial" w:cs="Arial"/>
          <w:lang w:val="mk-MK"/>
        </w:rPr>
        <w:t>are</w:t>
      </w:r>
      <w:proofErr w:type="spellEnd"/>
      <w:r w:rsidRPr="0016761C">
        <w:rPr>
          <w:rFonts w:ascii="Arial" w:hAnsi="Arial" w:cs="Arial"/>
          <w:lang w:val="mk-MK"/>
        </w:rPr>
        <w:t xml:space="preserve"> </w:t>
      </w:r>
      <w:proofErr w:type="spellStart"/>
      <w:r w:rsidRPr="0016761C">
        <w:rPr>
          <w:rFonts w:ascii="Arial" w:hAnsi="Arial" w:cs="Arial"/>
          <w:lang w:val="mk-MK"/>
        </w:rPr>
        <w:t>included</w:t>
      </w:r>
      <w:proofErr w:type="spellEnd"/>
      <w:r w:rsidRPr="0016761C">
        <w:rPr>
          <w:rFonts w:ascii="Arial" w:hAnsi="Arial" w:cs="Arial"/>
          <w:lang w:val="mk-MK"/>
        </w:rPr>
        <w:t xml:space="preserve"> </w:t>
      </w:r>
      <w:proofErr w:type="spellStart"/>
      <w:r w:rsidRPr="0016761C">
        <w:rPr>
          <w:rFonts w:ascii="Arial" w:hAnsi="Arial" w:cs="Arial"/>
          <w:lang w:val="mk-MK"/>
        </w:rPr>
        <w:t>in</w:t>
      </w:r>
      <w:proofErr w:type="spellEnd"/>
      <w:r w:rsidRPr="0016761C">
        <w:rPr>
          <w:rFonts w:ascii="Arial" w:hAnsi="Arial" w:cs="Arial"/>
          <w:lang w:val="mk-MK"/>
        </w:rPr>
        <w:t xml:space="preserve"> </w:t>
      </w:r>
      <w:proofErr w:type="spellStart"/>
      <w:r w:rsidRPr="0016761C">
        <w:rPr>
          <w:rFonts w:ascii="Arial" w:hAnsi="Arial" w:cs="Arial"/>
          <w:lang w:val="mk-MK"/>
        </w:rPr>
        <w:t>non-current</w:t>
      </w:r>
      <w:proofErr w:type="spellEnd"/>
      <w:r w:rsidRPr="0016761C">
        <w:rPr>
          <w:rFonts w:ascii="Arial" w:hAnsi="Arial" w:cs="Arial"/>
          <w:lang w:val="mk-MK"/>
        </w:rPr>
        <w:t xml:space="preserve"> </w:t>
      </w:r>
      <w:proofErr w:type="spellStart"/>
      <w:r w:rsidRPr="0016761C">
        <w:rPr>
          <w:rFonts w:ascii="Arial" w:hAnsi="Arial" w:cs="Arial"/>
          <w:lang w:val="mk-MK"/>
        </w:rPr>
        <w:t>assets</w:t>
      </w:r>
      <w:proofErr w:type="spellEnd"/>
      <w:r w:rsidRPr="0016761C">
        <w:rPr>
          <w:rFonts w:ascii="Arial" w:hAnsi="Arial" w:cs="Arial"/>
          <w:lang w:val="mk-MK"/>
        </w:rPr>
        <w:t xml:space="preserve">. </w:t>
      </w:r>
      <w:proofErr w:type="spellStart"/>
      <w:r w:rsidRPr="0016761C">
        <w:rPr>
          <w:rFonts w:ascii="Arial" w:hAnsi="Arial" w:cs="Arial"/>
          <w:lang w:val="mk-MK"/>
        </w:rPr>
        <w:t>The</w:t>
      </w:r>
      <w:proofErr w:type="spellEnd"/>
      <w:r w:rsidRPr="0016761C">
        <w:rPr>
          <w:rFonts w:ascii="Arial" w:hAnsi="Arial" w:cs="Arial"/>
          <w:lang w:val="mk-MK"/>
        </w:rPr>
        <w:t xml:space="preserve"> </w:t>
      </w:r>
      <w:proofErr w:type="spellStart"/>
      <w:r w:rsidRPr="0016761C">
        <w:rPr>
          <w:rFonts w:ascii="Arial" w:hAnsi="Arial" w:cs="Arial"/>
          <w:lang w:val="mk-MK"/>
        </w:rPr>
        <w:t>Fund’s</w:t>
      </w:r>
      <w:proofErr w:type="spellEnd"/>
      <w:r w:rsidRPr="0016761C">
        <w:rPr>
          <w:rFonts w:ascii="Arial" w:hAnsi="Arial" w:cs="Arial"/>
          <w:lang w:val="mk-MK"/>
        </w:rPr>
        <w:t xml:space="preserve"> </w:t>
      </w:r>
      <w:proofErr w:type="spellStart"/>
      <w:r w:rsidRPr="0016761C">
        <w:rPr>
          <w:rFonts w:ascii="Arial" w:hAnsi="Arial" w:cs="Arial"/>
          <w:lang w:val="mk-MK"/>
        </w:rPr>
        <w:t>loans</w:t>
      </w:r>
      <w:proofErr w:type="spellEnd"/>
      <w:r w:rsidRPr="0016761C">
        <w:rPr>
          <w:rFonts w:ascii="Arial" w:hAnsi="Arial" w:cs="Arial"/>
          <w:lang w:val="mk-MK"/>
        </w:rPr>
        <w:t xml:space="preserve"> </w:t>
      </w:r>
      <w:proofErr w:type="spellStart"/>
      <w:r w:rsidRPr="0016761C">
        <w:rPr>
          <w:rFonts w:ascii="Arial" w:hAnsi="Arial" w:cs="Arial"/>
          <w:lang w:val="mk-MK"/>
        </w:rPr>
        <w:t>and</w:t>
      </w:r>
      <w:proofErr w:type="spellEnd"/>
      <w:r w:rsidRPr="0016761C">
        <w:rPr>
          <w:rFonts w:ascii="Arial" w:hAnsi="Arial" w:cs="Arial"/>
          <w:lang w:val="mk-MK"/>
        </w:rPr>
        <w:t xml:space="preserve"> </w:t>
      </w:r>
      <w:proofErr w:type="spellStart"/>
      <w:r w:rsidRPr="0016761C">
        <w:rPr>
          <w:rFonts w:ascii="Arial" w:hAnsi="Arial" w:cs="Arial"/>
          <w:lang w:val="mk-MK"/>
        </w:rPr>
        <w:t>receivables</w:t>
      </w:r>
      <w:proofErr w:type="spellEnd"/>
      <w:r w:rsidRPr="0016761C">
        <w:rPr>
          <w:rFonts w:ascii="Arial" w:hAnsi="Arial" w:cs="Arial"/>
          <w:lang w:val="mk-MK"/>
        </w:rPr>
        <w:t xml:space="preserve"> </w:t>
      </w:r>
      <w:proofErr w:type="spellStart"/>
      <w:r w:rsidRPr="0016761C">
        <w:rPr>
          <w:rFonts w:ascii="Arial" w:hAnsi="Arial" w:cs="Arial"/>
          <w:lang w:val="mk-MK"/>
        </w:rPr>
        <w:t>at</w:t>
      </w:r>
      <w:proofErr w:type="spellEnd"/>
      <w:r w:rsidRPr="0016761C">
        <w:rPr>
          <w:rFonts w:ascii="Arial" w:hAnsi="Arial" w:cs="Arial"/>
          <w:lang w:val="mk-MK"/>
        </w:rPr>
        <w:t xml:space="preserve"> </w:t>
      </w:r>
      <w:proofErr w:type="spellStart"/>
      <w:r w:rsidRPr="0016761C">
        <w:rPr>
          <w:rFonts w:ascii="Arial" w:hAnsi="Arial" w:cs="Arial"/>
          <w:lang w:val="mk-MK"/>
        </w:rPr>
        <w:t>the</w:t>
      </w:r>
      <w:proofErr w:type="spellEnd"/>
      <w:r w:rsidRPr="0016761C">
        <w:rPr>
          <w:rFonts w:ascii="Arial" w:hAnsi="Arial" w:cs="Arial"/>
          <w:lang w:val="mk-MK"/>
        </w:rPr>
        <w:t xml:space="preserve"> </w:t>
      </w:r>
      <w:proofErr w:type="spellStart"/>
      <w:r w:rsidRPr="0016761C">
        <w:rPr>
          <w:rFonts w:ascii="Arial" w:hAnsi="Arial" w:cs="Arial"/>
          <w:lang w:val="mk-MK"/>
        </w:rPr>
        <w:t>Statement</w:t>
      </w:r>
      <w:proofErr w:type="spellEnd"/>
      <w:r w:rsidRPr="0016761C">
        <w:rPr>
          <w:rFonts w:ascii="Arial" w:hAnsi="Arial" w:cs="Arial"/>
          <w:lang w:val="mk-MK"/>
        </w:rPr>
        <w:t xml:space="preserve"> </w:t>
      </w:r>
      <w:proofErr w:type="spellStart"/>
      <w:r w:rsidRPr="0016761C">
        <w:rPr>
          <w:rFonts w:ascii="Arial" w:hAnsi="Arial" w:cs="Arial"/>
          <w:lang w:val="mk-MK"/>
        </w:rPr>
        <w:t>of</w:t>
      </w:r>
      <w:proofErr w:type="spellEnd"/>
      <w:r w:rsidRPr="0016761C">
        <w:rPr>
          <w:rFonts w:ascii="Arial" w:hAnsi="Arial" w:cs="Arial"/>
          <w:lang w:val="mk-MK"/>
        </w:rPr>
        <w:t xml:space="preserve"> </w:t>
      </w:r>
      <w:proofErr w:type="spellStart"/>
      <w:r w:rsidRPr="0016761C">
        <w:rPr>
          <w:rFonts w:ascii="Arial" w:hAnsi="Arial" w:cs="Arial"/>
          <w:lang w:val="mk-MK"/>
        </w:rPr>
        <w:t>financial</w:t>
      </w:r>
      <w:proofErr w:type="spellEnd"/>
      <w:r w:rsidRPr="0016761C">
        <w:rPr>
          <w:rFonts w:ascii="Arial" w:hAnsi="Arial" w:cs="Arial"/>
          <w:lang w:val="mk-MK"/>
        </w:rPr>
        <w:t xml:space="preserve"> </w:t>
      </w:r>
      <w:proofErr w:type="spellStart"/>
      <w:r w:rsidRPr="0016761C">
        <w:rPr>
          <w:rFonts w:ascii="Arial" w:hAnsi="Arial" w:cs="Arial"/>
          <w:lang w:val="mk-MK"/>
        </w:rPr>
        <w:t>position</w:t>
      </w:r>
      <w:proofErr w:type="spellEnd"/>
      <w:r w:rsidRPr="0016761C">
        <w:rPr>
          <w:rFonts w:ascii="Arial" w:hAnsi="Arial" w:cs="Arial"/>
          <w:lang w:val="mk-MK"/>
        </w:rPr>
        <w:t xml:space="preserve"> </w:t>
      </w:r>
      <w:proofErr w:type="spellStart"/>
      <w:r w:rsidRPr="0016761C">
        <w:rPr>
          <w:rFonts w:ascii="Arial" w:hAnsi="Arial" w:cs="Arial"/>
          <w:lang w:val="mk-MK"/>
        </w:rPr>
        <w:t>date</w:t>
      </w:r>
      <w:proofErr w:type="spellEnd"/>
      <w:r w:rsidRPr="0016761C">
        <w:rPr>
          <w:rFonts w:ascii="Arial" w:hAnsi="Arial" w:cs="Arial"/>
          <w:lang w:val="mk-MK"/>
        </w:rPr>
        <w:t xml:space="preserve"> </w:t>
      </w:r>
      <w:proofErr w:type="spellStart"/>
      <w:r w:rsidRPr="0016761C">
        <w:rPr>
          <w:rFonts w:ascii="Arial" w:hAnsi="Arial" w:cs="Arial"/>
          <w:lang w:val="mk-MK"/>
        </w:rPr>
        <w:t>comprise</w:t>
      </w:r>
      <w:proofErr w:type="spellEnd"/>
      <w:r w:rsidRPr="0016761C">
        <w:rPr>
          <w:rFonts w:ascii="Arial" w:hAnsi="Arial" w:cs="Arial"/>
          <w:lang w:val="mk-MK"/>
        </w:rPr>
        <w:t xml:space="preserve"> </w:t>
      </w:r>
      <w:proofErr w:type="spellStart"/>
      <w:r w:rsidRPr="0016761C">
        <w:rPr>
          <w:rFonts w:ascii="Arial" w:hAnsi="Arial" w:cs="Arial"/>
          <w:lang w:val="mk-MK"/>
        </w:rPr>
        <w:t>of</w:t>
      </w:r>
      <w:proofErr w:type="spellEnd"/>
      <w:r w:rsidRPr="0016761C">
        <w:rPr>
          <w:rFonts w:ascii="Arial" w:hAnsi="Arial" w:cs="Arial"/>
          <w:lang w:val="mk-MK"/>
        </w:rPr>
        <w:t xml:space="preserve"> </w:t>
      </w:r>
      <w:r>
        <w:rPr>
          <w:rFonts w:ascii="Arial" w:hAnsi="Arial" w:cs="Arial"/>
          <w:lang w:val="en-US"/>
        </w:rPr>
        <w:t>r</w:t>
      </w:r>
      <w:proofErr w:type="spellStart"/>
      <w:r w:rsidRPr="0016761C">
        <w:rPr>
          <w:rFonts w:ascii="Arial" w:hAnsi="Arial" w:cs="Arial"/>
          <w:lang w:val="mk-MK"/>
        </w:rPr>
        <w:t>eceivables</w:t>
      </w:r>
      <w:proofErr w:type="spellEnd"/>
      <w:r w:rsidRPr="0016761C">
        <w:rPr>
          <w:rFonts w:ascii="Arial" w:hAnsi="Arial" w:cs="Arial"/>
          <w:lang w:val="mk-MK"/>
        </w:rPr>
        <w:t xml:space="preserve"> </w:t>
      </w:r>
      <w:proofErr w:type="spellStart"/>
      <w:r w:rsidRPr="0016761C">
        <w:rPr>
          <w:rFonts w:ascii="Arial" w:hAnsi="Arial" w:cs="Arial"/>
          <w:lang w:val="mk-MK"/>
        </w:rPr>
        <w:t>for</w:t>
      </w:r>
      <w:proofErr w:type="spellEnd"/>
      <w:r w:rsidRPr="0016761C">
        <w:rPr>
          <w:rFonts w:ascii="Arial" w:hAnsi="Arial" w:cs="Arial"/>
          <w:lang w:val="mk-MK"/>
        </w:rPr>
        <w:t xml:space="preserve"> </w:t>
      </w:r>
      <w:proofErr w:type="spellStart"/>
      <w:r w:rsidRPr="0016761C">
        <w:rPr>
          <w:rFonts w:ascii="Arial" w:hAnsi="Arial" w:cs="Arial"/>
          <w:lang w:val="mk-MK"/>
        </w:rPr>
        <w:t>insurance</w:t>
      </w:r>
      <w:proofErr w:type="spellEnd"/>
      <w:r w:rsidRPr="0016761C">
        <w:rPr>
          <w:rFonts w:ascii="Arial" w:hAnsi="Arial" w:cs="Arial"/>
          <w:lang w:val="mk-MK"/>
        </w:rPr>
        <w:t xml:space="preserve"> </w:t>
      </w:r>
      <w:proofErr w:type="spellStart"/>
      <w:r w:rsidRPr="0016761C">
        <w:rPr>
          <w:rFonts w:ascii="Arial" w:hAnsi="Arial" w:cs="Arial"/>
          <w:lang w:val="mk-MK"/>
        </w:rPr>
        <w:t>premium</w:t>
      </w:r>
      <w:proofErr w:type="spellEnd"/>
      <w:r>
        <w:rPr>
          <w:rFonts w:ascii="Arial" w:hAnsi="Arial" w:cs="Arial"/>
          <w:lang w:val="en-US"/>
        </w:rPr>
        <w:t>,</w:t>
      </w:r>
      <w:r w:rsidRPr="0016761C">
        <w:rPr>
          <w:rFonts w:ascii="Arial" w:hAnsi="Arial" w:cs="Arial"/>
          <w:lang w:val="mk-MK"/>
        </w:rPr>
        <w:t xml:space="preserve"> </w:t>
      </w:r>
      <w:proofErr w:type="spellStart"/>
      <w:r w:rsidRPr="0016761C">
        <w:rPr>
          <w:rFonts w:ascii="Arial" w:hAnsi="Arial" w:cs="Arial"/>
          <w:lang w:val="mk-MK"/>
        </w:rPr>
        <w:t>other</w:t>
      </w:r>
      <w:proofErr w:type="spellEnd"/>
      <w:r w:rsidRPr="0016761C">
        <w:rPr>
          <w:rFonts w:ascii="Arial" w:hAnsi="Arial" w:cs="Arial"/>
          <w:lang w:val="mk-MK"/>
        </w:rPr>
        <w:t xml:space="preserve"> </w:t>
      </w:r>
      <w:proofErr w:type="spellStart"/>
      <w:r w:rsidRPr="0016761C">
        <w:rPr>
          <w:rFonts w:ascii="Arial" w:hAnsi="Arial" w:cs="Arial"/>
          <w:lang w:val="mk-MK"/>
        </w:rPr>
        <w:t>receivables</w:t>
      </w:r>
      <w:proofErr w:type="spellEnd"/>
      <w:r w:rsidRPr="0016761C">
        <w:rPr>
          <w:rFonts w:ascii="Arial" w:hAnsi="Arial" w:cs="Arial"/>
          <w:lang w:val="mk-MK"/>
        </w:rPr>
        <w:t xml:space="preserve"> </w:t>
      </w:r>
      <w:r w:rsidR="0084099F">
        <w:rPr>
          <w:rFonts w:ascii="Arial" w:hAnsi="Arial" w:cs="Arial"/>
          <w:lang w:val="en-US"/>
        </w:rPr>
        <w:t>and</w:t>
      </w:r>
      <w:r w:rsidRPr="0016761C">
        <w:rPr>
          <w:rFonts w:ascii="Arial" w:hAnsi="Arial" w:cs="Arial"/>
          <w:lang w:val="mk-MK"/>
        </w:rPr>
        <w:t xml:space="preserve"> </w:t>
      </w:r>
      <w:proofErr w:type="spellStart"/>
      <w:r w:rsidRPr="0016761C">
        <w:rPr>
          <w:rFonts w:ascii="Arial" w:hAnsi="Arial" w:cs="Arial"/>
          <w:lang w:val="mk-MK"/>
        </w:rPr>
        <w:t>cash</w:t>
      </w:r>
      <w:proofErr w:type="spellEnd"/>
      <w:r w:rsidRPr="0016761C">
        <w:rPr>
          <w:rFonts w:ascii="Arial" w:hAnsi="Arial" w:cs="Arial"/>
          <w:lang w:val="mk-MK"/>
        </w:rPr>
        <w:t xml:space="preserve"> </w:t>
      </w:r>
      <w:proofErr w:type="spellStart"/>
      <w:r w:rsidRPr="0016761C">
        <w:rPr>
          <w:rFonts w:ascii="Arial" w:hAnsi="Arial" w:cs="Arial"/>
          <w:lang w:val="mk-MK"/>
        </w:rPr>
        <w:t>and</w:t>
      </w:r>
      <w:proofErr w:type="spellEnd"/>
      <w:r w:rsidRPr="0016761C">
        <w:rPr>
          <w:rFonts w:ascii="Arial" w:hAnsi="Arial" w:cs="Arial"/>
          <w:lang w:val="mk-MK"/>
        </w:rPr>
        <w:t xml:space="preserve"> </w:t>
      </w:r>
      <w:proofErr w:type="spellStart"/>
      <w:r w:rsidRPr="0016761C">
        <w:rPr>
          <w:rFonts w:ascii="Arial" w:hAnsi="Arial" w:cs="Arial"/>
          <w:lang w:val="mk-MK"/>
        </w:rPr>
        <w:t>cash</w:t>
      </w:r>
      <w:proofErr w:type="spellEnd"/>
      <w:r w:rsidRPr="0016761C">
        <w:rPr>
          <w:rFonts w:ascii="Arial" w:hAnsi="Arial" w:cs="Arial"/>
          <w:lang w:val="mk-MK"/>
        </w:rPr>
        <w:t xml:space="preserve"> </w:t>
      </w:r>
      <w:proofErr w:type="spellStart"/>
      <w:r w:rsidRPr="0016761C">
        <w:rPr>
          <w:rFonts w:ascii="Arial" w:hAnsi="Arial" w:cs="Arial"/>
          <w:lang w:val="mk-MK"/>
        </w:rPr>
        <w:t>equivalents</w:t>
      </w:r>
      <w:proofErr w:type="spellEnd"/>
      <w:r w:rsidRPr="0016761C">
        <w:rPr>
          <w:rFonts w:ascii="Arial" w:hAnsi="Arial" w:cs="Arial"/>
          <w:lang w:val="mk-MK"/>
        </w:rPr>
        <w:t>.</w:t>
      </w:r>
    </w:p>
    <w:p w14:paraId="4980B50C" w14:textId="77777777" w:rsidR="0084099F" w:rsidRDefault="0084099F" w:rsidP="0025712C">
      <w:pPr>
        <w:spacing w:afterLines="100" w:after="240" w:line="280" w:lineRule="atLeast"/>
        <w:jc w:val="both"/>
        <w:rPr>
          <w:rFonts w:ascii="Arial" w:hAnsi="Arial" w:cs="Arial"/>
          <w:i/>
          <w:iCs/>
          <w:kern w:val="32"/>
          <w:lang w:val="mk-MK"/>
        </w:rPr>
      </w:pPr>
      <w:proofErr w:type="spellStart"/>
      <w:r w:rsidRPr="0084099F">
        <w:rPr>
          <w:rFonts w:ascii="Arial" w:hAnsi="Arial" w:cs="Arial"/>
          <w:i/>
          <w:iCs/>
          <w:kern w:val="32"/>
          <w:lang w:val="mk-MK"/>
        </w:rPr>
        <w:t>Financial</w:t>
      </w:r>
      <w:proofErr w:type="spellEnd"/>
      <w:r w:rsidRPr="0084099F">
        <w:rPr>
          <w:rFonts w:ascii="Arial" w:hAnsi="Arial" w:cs="Arial"/>
          <w:i/>
          <w:iCs/>
          <w:kern w:val="32"/>
          <w:lang w:val="mk-MK"/>
        </w:rPr>
        <w:t xml:space="preserve"> </w:t>
      </w:r>
      <w:proofErr w:type="spellStart"/>
      <w:r w:rsidRPr="0084099F">
        <w:rPr>
          <w:rFonts w:ascii="Arial" w:hAnsi="Arial" w:cs="Arial"/>
          <w:i/>
          <w:iCs/>
          <w:kern w:val="32"/>
          <w:lang w:val="mk-MK"/>
        </w:rPr>
        <w:t>assets</w:t>
      </w:r>
      <w:proofErr w:type="spellEnd"/>
      <w:r w:rsidRPr="0084099F">
        <w:rPr>
          <w:rFonts w:ascii="Arial" w:hAnsi="Arial" w:cs="Arial"/>
          <w:i/>
          <w:iCs/>
          <w:kern w:val="32"/>
          <w:lang w:val="mk-MK"/>
        </w:rPr>
        <w:t xml:space="preserve"> </w:t>
      </w:r>
      <w:proofErr w:type="spellStart"/>
      <w:r w:rsidRPr="0084099F">
        <w:rPr>
          <w:rFonts w:ascii="Arial" w:hAnsi="Arial" w:cs="Arial"/>
          <w:i/>
          <w:iCs/>
          <w:kern w:val="32"/>
          <w:lang w:val="mk-MK"/>
        </w:rPr>
        <w:t>at</w:t>
      </w:r>
      <w:proofErr w:type="spellEnd"/>
      <w:r w:rsidRPr="0084099F">
        <w:rPr>
          <w:rFonts w:ascii="Arial" w:hAnsi="Arial" w:cs="Arial"/>
          <w:i/>
          <w:iCs/>
          <w:kern w:val="32"/>
          <w:lang w:val="mk-MK"/>
        </w:rPr>
        <w:t xml:space="preserve"> </w:t>
      </w:r>
      <w:proofErr w:type="spellStart"/>
      <w:r w:rsidRPr="0084099F">
        <w:rPr>
          <w:rFonts w:ascii="Arial" w:hAnsi="Arial" w:cs="Arial"/>
          <w:i/>
          <w:iCs/>
          <w:kern w:val="32"/>
          <w:lang w:val="mk-MK"/>
        </w:rPr>
        <w:t>fair</w:t>
      </w:r>
      <w:proofErr w:type="spellEnd"/>
      <w:r w:rsidRPr="0084099F">
        <w:rPr>
          <w:rFonts w:ascii="Arial" w:hAnsi="Arial" w:cs="Arial"/>
          <w:i/>
          <w:iCs/>
          <w:kern w:val="32"/>
          <w:lang w:val="mk-MK"/>
        </w:rPr>
        <w:t xml:space="preserve"> </w:t>
      </w:r>
      <w:proofErr w:type="spellStart"/>
      <w:r w:rsidRPr="0084099F">
        <w:rPr>
          <w:rFonts w:ascii="Arial" w:hAnsi="Arial" w:cs="Arial"/>
          <w:i/>
          <w:iCs/>
          <w:kern w:val="32"/>
          <w:lang w:val="mk-MK"/>
        </w:rPr>
        <w:t>value</w:t>
      </w:r>
      <w:proofErr w:type="spellEnd"/>
      <w:r w:rsidRPr="0084099F">
        <w:rPr>
          <w:rFonts w:ascii="Arial" w:hAnsi="Arial" w:cs="Arial"/>
          <w:i/>
          <w:iCs/>
          <w:kern w:val="32"/>
          <w:lang w:val="mk-MK"/>
        </w:rPr>
        <w:t xml:space="preserve"> </w:t>
      </w:r>
      <w:proofErr w:type="spellStart"/>
      <w:r w:rsidRPr="0084099F">
        <w:rPr>
          <w:rFonts w:ascii="Arial" w:hAnsi="Arial" w:cs="Arial"/>
          <w:i/>
          <w:iCs/>
          <w:kern w:val="32"/>
          <w:lang w:val="mk-MK"/>
        </w:rPr>
        <w:t>through</w:t>
      </w:r>
      <w:proofErr w:type="spellEnd"/>
      <w:r w:rsidRPr="0084099F">
        <w:rPr>
          <w:rFonts w:ascii="Arial" w:hAnsi="Arial" w:cs="Arial"/>
          <w:i/>
          <w:iCs/>
          <w:kern w:val="32"/>
          <w:lang w:val="mk-MK"/>
        </w:rPr>
        <w:t xml:space="preserve"> </w:t>
      </w:r>
      <w:proofErr w:type="spellStart"/>
      <w:r w:rsidRPr="0084099F">
        <w:rPr>
          <w:rFonts w:ascii="Arial" w:hAnsi="Arial" w:cs="Arial"/>
          <w:i/>
          <w:iCs/>
          <w:kern w:val="32"/>
          <w:lang w:val="mk-MK"/>
        </w:rPr>
        <w:t>profit</w:t>
      </w:r>
      <w:proofErr w:type="spellEnd"/>
      <w:r w:rsidRPr="0084099F">
        <w:rPr>
          <w:rFonts w:ascii="Arial" w:hAnsi="Arial" w:cs="Arial"/>
          <w:i/>
          <w:iCs/>
          <w:kern w:val="32"/>
          <w:lang w:val="mk-MK"/>
        </w:rPr>
        <w:t xml:space="preserve"> </w:t>
      </w:r>
      <w:proofErr w:type="spellStart"/>
      <w:r w:rsidRPr="0084099F">
        <w:rPr>
          <w:rFonts w:ascii="Arial" w:hAnsi="Arial" w:cs="Arial"/>
          <w:i/>
          <w:iCs/>
          <w:kern w:val="32"/>
          <w:lang w:val="mk-MK"/>
        </w:rPr>
        <w:t>or</w:t>
      </w:r>
      <w:proofErr w:type="spellEnd"/>
      <w:r w:rsidRPr="0084099F">
        <w:rPr>
          <w:rFonts w:ascii="Arial" w:hAnsi="Arial" w:cs="Arial"/>
          <w:i/>
          <w:iCs/>
          <w:kern w:val="32"/>
          <w:lang w:val="mk-MK"/>
        </w:rPr>
        <w:t xml:space="preserve"> </w:t>
      </w:r>
      <w:proofErr w:type="spellStart"/>
      <w:r w:rsidRPr="0084099F">
        <w:rPr>
          <w:rFonts w:ascii="Arial" w:hAnsi="Arial" w:cs="Arial"/>
          <w:i/>
          <w:iCs/>
          <w:kern w:val="32"/>
          <w:lang w:val="mk-MK"/>
        </w:rPr>
        <w:t>loss</w:t>
      </w:r>
      <w:proofErr w:type="spellEnd"/>
      <w:r w:rsidRPr="0084099F">
        <w:rPr>
          <w:rFonts w:ascii="Arial" w:hAnsi="Arial" w:cs="Arial"/>
          <w:i/>
          <w:iCs/>
          <w:kern w:val="32"/>
          <w:lang w:val="mk-MK"/>
        </w:rPr>
        <w:t xml:space="preserve"> </w:t>
      </w:r>
    </w:p>
    <w:p w14:paraId="7892A884" w14:textId="1C4691C9" w:rsidR="0084099F" w:rsidRPr="006557D5" w:rsidRDefault="0084099F" w:rsidP="006557D5">
      <w:pPr>
        <w:pStyle w:val="BodyText"/>
        <w:jc w:val="both"/>
        <w:rPr>
          <w:rFonts w:ascii="Arial" w:hAnsi="Arial" w:cs="Arial"/>
          <w:lang w:val="mk-MK"/>
        </w:rPr>
      </w:pPr>
      <w:proofErr w:type="spellStart"/>
      <w:r w:rsidRPr="006557D5">
        <w:rPr>
          <w:rFonts w:ascii="Arial" w:hAnsi="Arial" w:cs="Arial"/>
          <w:lang w:val="mk-MK"/>
        </w:rPr>
        <w:t>This</w:t>
      </w:r>
      <w:proofErr w:type="spellEnd"/>
      <w:r w:rsidRPr="006557D5">
        <w:rPr>
          <w:rFonts w:ascii="Arial" w:hAnsi="Arial" w:cs="Arial"/>
          <w:lang w:val="mk-MK"/>
        </w:rPr>
        <w:t xml:space="preserve"> </w:t>
      </w:r>
      <w:proofErr w:type="spellStart"/>
      <w:r w:rsidRPr="006557D5">
        <w:rPr>
          <w:rFonts w:ascii="Arial" w:hAnsi="Arial" w:cs="Arial"/>
          <w:lang w:val="mk-MK"/>
        </w:rPr>
        <w:t>category</w:t>
      </w:r>
      <w:proofErr w:type="spellEnd"/>
      <w:r w:rsidRPr="006557D5">
        <w:rPr>
          <w:rFonts w:ascii="Arial" w:hAnsi="Arial" w:cs="Arial"/>
          <w:lang w:val="mk-MK"/>
        </w:rPr>
        <w:t xml:space="preserve"> </w:t>
      </w:r>
      <w:proofErr w:type="spellStart"/>
      <w:r w:rsidRPr="006557D5">
        <w:rPr>
          <w:rFonts w:ascii="Arial" w:hAnsi="Arial" w:cs="Arial"/>
          <w:lang w:val="mk-MK"/>
        </w:rPr>
        <w:t>of</w:t>
      </w:r>
      <w:proofErr w:type="spellEnd"/>
      <w:r w:rsidRPr="006557D5">
        <w:rPr>
          <w:rFonts w:ascii="Arial" w:hAnsi="Arial" w:cs="Arial"/>
          <w:lang w:val="mk-MK"/>
        </w:rPr>
        <w:t xml:space="preserve"> </w:t>
      </w:r>
      <w:proofErr w:type="spellStart"/>
      <w:r w:rsidRPr="006557D5">
        <w:rPr>
          <w:rFonts w:ascii="Arial" w:hAnsi="Arial" w:cs="Arial"/>
          <w:lang w:val="mk-MK"/>
        </w:rPr>
        <w:t>financial</w:t>
      </w:r>
      <w:proofErr w:type="spellEnd"/>
      <w:r w:rsidRPr="006557D5">
        <w:rPr>
          <w:rFonts w:ascii="Arial" w:hAnsi="Arial" w:cs="Arial"/>
          <w:lang w:val="mk-MK"/>
        </w:rPr>
        <w:t xml:space="preserve"> </w:t>
      </w:r>
      <w:proofErr w:type="spellStart"/>
      <w:r w:rsidRPr="006557D5">
        <w:rPr>
          <w:rFonts w:ascii="Arial" w:hAnsi="Arial" w:cs="Arial"/>
          <w:lang w:val="mk-MK"/>
        </w:rPr>
        <w:t>assets</w:t>
      </w:r>
      <w:proofErr w:type="spellEnd"/>
      <w:r w:rsidRPr="006557D5">
        <w:rPr>
          <w:rFonts w:ascii="Arial" w:hAnsi="Arial" w:cs="Arial"/>
          <w:lang w:val="mk-MK"/>
        </w:rPr>
        <w:t xml:space="preserve"> </w:t>
      </w:r>
      <w:proofErr w:type="spellStart"/>
      <w:r w:rsidRPr="006557D5">
        <w:rPr>
          <w:rFonts w:ascii="Arial" w:hAnsi="Arial" w:cs="Arial"/>
          <w:lang w:val="mk-MK"/>
        </w:rPr>
        <w:t>consists</w:t>
      </w:r>
      <w:proofErr w:type="spellEnd"/>
      <w:r w:rsidRPr="006557D5">
        <w:rPr>
          <w:rFonts w:ascii="Arial" w:hAnsi="Arial" w:cs="Arial"/>
          <w:lang w:val="mk-MK"/>
        </w:rPr>
        <w:t xml:space="preserve"> </w:t>
      </w:r>
      <w:proofErr w:type="spellStart"/>
      <w:r w:rsidRPr="006557D5">
        <w:rPr>
          <w:rFonts w:ascii="Arial" w:hAnsi="Arial" w:cs="Arial"/>
          <w:lang w:val="mk-MK"/>
        </w:rPr>
        <w:t>of</w:t>
      </w:r>
      <w:proofErr w:type="spellEnd"/>
      <w:r w:rsidRPr="006557D5">
        <w:rPr>
          <w:rFonts w:ascii="Arial" w:hAnsi="Arial" w:cs="Arial"/>
          <w:lang w:val="mk-MK"/>
        </w:rPr>
        <w:t xml:space="preserve"> </w:t>
      </w:r>
      <w:proofErr w:type="spellStart"/>
      <w:r w:rsidRPr="006557D5">
        <w:rPr>
          <w:rFonts w:ascii="Arial" w:hAnsi="Arial" w:cs="Arial"/>
          <w:lang w:val="mk-MK"/>
        </w:rPr>
        <w:t>securities</w:t>
      </w:r>
      <w:proofErr w:type="spellEnd"/>
      <w:r w:rsidRPr="006557D5">
        <w:rPr>
          <w:rFonts w:ascii="Arial" w:hAnsi="Arial" w:cs="Arial"/>
          <w:lang w:val="mk-MK"/>
        </w:rPr>
        <w:t xml:space="preserve"> </w:t>
      </w:r>
      <w:proofErr w:type="spellStart"/>
      <w:r w:rsidRPr="006557D5">
        <w:rPr>
          <w:rFonts w:ascii="Arial" w:hAnsi="Arial" w:cs="Arial"/>
          <w:lang w:val="mk-MK"/>
        </w:rPr>
        <w:t>held-for-trading</w:t>
      </w:r>
      <w:proofErr w:type="spellEnd"/>
      <w:r w:rsidRPr="006557D5">
        <w:rPr>
          <w:rFonts w:ascii="Arial" w:hAnsi="Arial" w:cs="Arial"/>
          <w:lang w:val="mk-MK"/>
        </w:rPr>
        <w:t xml:space="preserve"> </w:t>
      </w:r>
      <w:proofErr w:type="spellStart"/>
      <w:r w:rsidRPr="006557D5">
        <w:rPr>
          <w:rFonts w:ascii="Arial" w:hAnsi="Arial" w:cs="Arial"/>
          <w:lang w:val="mk-MK"/>
        </w:rPr>
        <w:t>and</w:t>
      </w:r>
      <w:proofErr w:type="spellEnd"/>
      <w:r w:rsidRPr="006557D5">
        <w:rPr>
          <w:rFonts w:ascii="Arial" w:hAnsi="Arial" w:cs="Arial"/>
          <w:lang w:val="mk-MK"/>
        </w:rPr>
        <w:t xml:space="preserve"> </w:t>
      </w:r>
      <w:proofErr w:type="spellStart"/>
      <w:r w:rsidRPr="006557D5">
        <w:rPr>
          <w:rFonts w:ascii="Arial" w:hAnsi="Arial" w:cs="Arial"/>
          <w:lang w:val="mk-MK"/>
        </w:rPr>
        <w:t>securities</w:t>
      </w:r>
      <w:proofErr w:type="spellEnd"/>
      <w:r w:rsidRPr="006557D5">
        <w:rPr>
          <w:rFonts w:ascii="Arial" w:hAnsi="Arial" w:cs="Arial"/>
          <w:lang w:val="mk-MK"/>
        </w:rPr>
        <w:t xml:space="preserve"> </w:t>
      </w:r>
      <w:proofErr w:type="spellStart"/>
      <w:r w:rsidRPr="006557D5">
        <w:rPr>
          <w:rFonts w:ascii="Arial" w:hAnsi="Arial" w:cs="Arial"/>
          <w:lang w:val="mk-MK"/>
        </w:rPr>
        <w:t>at</w:t>
      </w:r>
      <w:proofErr w:type="spellEnd"/>
      <w:r w:rsidRPr="006557D5">
        <w:rPr>
          <w:rFonts w:ascii="Arial" w:hAnsi="Arial" w:cs="Arial"/>
          <w:lang w:val="mk-MK"/>
        </w:rPr>
        <w:t xml:space="preserve"> </w:t>
      </w:r>
      <w:proofErr w:type="spellStart"/>
      <w:r w:rsidRPr="006557D5">
        <w:rPr>
          <w:rFonts w:ascii="Arial" w:hAnsi="Arial" w:cs="Arial"/>
          <w:lang w:val="mk-MK"/>
        </w:rPr>
        <w:t>fair</w:t>
      </w:r>
      <w:proofErr w:type="spellEnd"/>
      <w:r w:rsidRPr="006557D5">
        <w:rPr>
          <w:rFonts w:ascii="Arial" w:hAnsi="Arial" w:cs="Arial"/>
          <w:lang w:val="mk-MK"/>
        </w:rPr>
        <w:t xml:space="preserve"> </w:t>
      </w:r>
      <w:proofErr w:type="spellStart"/>
      <w:r w:rsidRPr="006557D5">
        <w:rPr>
          <w:rFonts w:ascii="Arial" w:hAnsi="Arial" w:cs="Arial"/>
          <w:lang w:val="mk-MK"/>
        </w:rPr>
        <w:t>value</w:t>
      </w:r>
      <w:proofErr w:type="spellEnd"/>
      <w:r w:rsidRPr="006557D5">
        <w:rPr>
          <w:rFonts w:ascii="Arial" w:hAnsi="Arial" w:cs="Arial"/>
          <w:lang w:val="mk-MK"/>
        </w:rPr>
        <w:t xml:space="preserve"> </w:t>
      </w:r>
      <w:proofErr w:type="spellStart"/>
      <w:r w:rsidRPr="006557D5">
        <w:rPr>
          <w:rFonts w:ascii="Arial" w:hAnsi="Arial" w:cs="Arial"/>
          <w:lang w:val="mk-MK"/>
        </w:rPr>
        <w:t>through</w:t>
      </w:r>
      <w:proofErr w:type="spellEnd"/>
      <w:r w:rsidRPr="006557D5">
        <w:rPr>
          <w:rFonts w:ascii="Arial" w:hAnsi="Arial" w:cs="Arial"/>
          <w:lang w:val="mk-MK"/>
        </w:rPr>
        <w:t xml:space="preserve"> </w:t>
      </w:r>
      <w:proofErr w:type="spellStart"/>
      <w:r w:rsidRPr="006557D5">
        <w:rPr>
          <w:rFonts w:ascii="Arial" w:hAnsi="Arial" w:cs="Arial"/>
          <w:lang w:val="mk-MK"/>
        </w:rPr>
        <w:t>profit</w:t>
      </w:r>
      <w:proofErr w:type="spellEnd"/>
      <w:r w:rsidRPr="006557D5">
        <w:rPr>
          <w:rFonts w:ascii="Arial" w:hAnsi="Arial" w:cs="Arial"/>
          <w:lang w:val="mk-MK"/>
        </w:rPr>
        <w:t xml:space="preserve"> </w:t>
      </w:r>
      <w:proofErr w:type="spellStart"/>
      <w:r w:rsidRPr="006557D5">
        <w:rPr>
          <w:rFonts w:ascii="Arial" w:hAnsi="Arial" w:cs="Arial"/>
          <w:lang w:val="mk-MK"/>
        </w:rPr>
        <w:t>or</w:t>
      </w:r>
      <w:proofErr w:type="spellEnd"/>
      <w:r w:rsidRPr="006557D5">
        <w:rPr>
          <w:rFonts w:ascii="Arial" w:hAnsi="Arial" w:cs="Arial"/>
          <w:lang w:val="mk-MK"/>
        </w:rPr>
        <w:t xml:space="preserve"> </w:t>
      </w:r>
      <w:proofErr w:type="spellStart"/>
      <w:r w:rsidRPr="006557D5">
        <w:rPr>
          <w:rFonts w:ascii="Arial" w:hAnsi="Arial" w:cs="Arial"/>
          <w:lang w:val="mk-MK"/>
        </w:rPr>
        <w:t>loss</w:t>
      </w:r>
      <w:proofErr w:type="spellEnd"/>
      <w:r w:rsidRPr="006557D5">
        <w:rPr>
          <w:rFonts w:ascii="Arial" w:hAnsi="Arial" w:cs="Arial"/>
          <w:lang w:val="mk-MK"/>
        </w:rPr>
        <w:t xml:space="preserve"> </w:t>
      </w:r>
      <w:proofErr w:type="spellStart"/>
      <w:r w:rsidRPr="006557D5">
        <w:rPr>
          <w:rFonts w:ascii="Arial" w:hAnsi="Arial" w:cs="Arial"/>
          <w:lang w:val="mk-MK"/>
        </w:rPr>
        <w:t>determined</w:t>
      </w:r>
      <w:proofErr w:type="spellEnd"/>
      <w:r w:rsidRPr="006557D5">
        <w:rPr>
          <w:rFonts w:ascii="Arial" w:hAnsi="Arial" w:cs="Arial"/>
          <w:lang w:val="mk-MK"/>
        </w:rPr>
        <w:t xml:space="preserve"> </w:t>
      </w:r>
      <w:proofErr w:type="spellStart"/>
      <w:r w:rsidRPr="006557D5">
        <w:rPr>
          <w:rFonts w:ascii="Arial" w:hAnsi="Arial" w:cs="Arial"/>
          <w:lang w:val="mk-MK"/>
        </w:rPr>
        <w:t>as</w:t>
      </w:r>
      <w:proofErr w:type="spellEnd"/>
      <w:r w:rsidRPr="006557D5">
        <w:rPr>
          <w:rFonts w:ascii="Arial" w:hAnsi="Arial" w:cs="Arial"/>
          <w:lang w:val="mk-MK"/>
        </w:rPr>
        <w:t xml:space="preserve"> </w:t>
      </w:r>
      <w:proofErr w:type="spellStart"/>
      <w:r w:rsidRPr="006557D5">
        <w:rPr>
          <w:rFonts w:ascii="Arial" w:hAnsi="Arial" w:cs="Arial"/>
          <w:lang w:val="mk-MK"/>
        </w:rPr>
        <w:t>such</w:t>
      </w:r>
      <w:proofErr w:type="spellEnd"/>
      <w:r w:rsidRPr="006557D5">
        <w:rPr>
          <w:rFonts w:ascii="Arial" w:hAnsi="Arial" w:cs="Arial"/>
          <w:lang w:val="mk-MK"/>
        </w:rPr>
        <w:t xml:space="preserve"> </w:t>
      </w:r>
      <w:proofErr w:type="spellStart"/>
      <w:r w:rsidRPr="006557D5">
        <w:rPr>
          <w:rFonts w:ascii="Arial" w:hAnsi="Arial" w:cs="Arial"/>
          <w:lang w:val="mk-MK"/>
        </w:rPr>
        <w:t>at</w:t>
      </w:r>
      <w:proofErr w:type="spellEnd"/>
      <w:r w:rsidRPr="006557D5">
        <w:rPr>
          <w:rFonts w:ascii="Arial" w:hAnsi="Arial" w:cs="Arial"/>
          <w:lang w:val="mk-MK"/>
        </w:rPr>
        <w:t xml:space="preserve"> </w:t>
      </w:r>
      <w:proofErr w:type="spellStart"/>
      <w:r w:rsidRPr="006557D5">
        <w:rPr>
          <w:rFonts w:ascii="Arial" w:hAnsi="Arial" w:cs="Arial"/>
          <w:lang w:val="mk-MK"/>
        </w:rPr>
        <w:t>initial</w:t>
      </w:r>
      <w:proofErr w:type="spellEnd"/>
      <w:r w:rsidRPr="006557D5">
        <w:rPr>
          <w:rFonts w:ascii="Arial" w:hAnsi="Arial" w:cs="Arial"/>
          <w:lang w:val="mk-MK"/>
        </w:rPr>
        <w:t xml:space="preserve"> </w:t>
      </w:r>
      <w:proofErr w:type="spellStart"/>
      <w:r w:rsidRPr="006557D5">
        <w:rPr>
          <w:rFonts w:ascii="Arial" w:hAnsi="Arial" w:cs="Arial"/>
          <w:lang w:val="mk-MK"/>
        </w:rPr>
        <w:t>recognition</w:t>
      </w:r>
      <w:proofErr w:type="spellEnd"/>
      <w:r w:rsidRPr="006557D5">
        <w:rPr>
          <w:rFonts w:ascii="Arial" w:hAnsi="Arial" w:cs="Arial"/>
          <w:lang w:val="mk-MK"/>
        </w:rPr>
        <w:t>.</w:t>
      </w:r>
      <w:r w:rsidR="009C0F6D" w:rsidRPr="006557D5">
        <w:rPr>
          <w:rFonts w:ascii="Arial" w:hAnsi="Arial" w:cs="Arial"/>
          <w:lang w:val="mk-MK"/>
        </w:rPr>
        <w:t xml:space="preserve"> </w:t>
      </w:r>
      <w:r w:rsidRPr="006557D5">
        <w:rPr>
          <w:rFonts w:ascii="Arial" w:hAnsi="Arial" w:cs="Arial"/>
          <w:lang w:val="mk-MK"/>
        </w:rPr>
        <w:t xml:space="preserve">A </w:t>
      </w:r>
      <w:proofErr w:type="spellStart"/>
      <w:r w:rsidRPr="006557D5">
        <w:rPr>
          <w:rFonts w:ascii="Arial" w:hAnsi="Arial" w:cs="Arial"/>
          <w:lang w:val="mk-MK"/>
        </w:rPr>
        <w:t>financial</w:t>
      </w:r>
      <w:proofErr w:type="spellEnd"/>
      <w:r w:rsidRPr="006557D5">
        <w:rPr>
          <w:rFonts w:ascii="Arial" w:hAnsi="Arial" w:cs="Arial"/>
          <w:lang w:val="mk-MK"/>
        </w:rPr>
        <w:t xml:space="preserve"> </w:t>
      </w:r>
      <w:proofErr w:type="spellStart"/>
      <w:r w:rsidRPr="006557D5">
        <w:rPr>
          <w:rFonts w:ascii="Arial" w:hAnsi="Arial" w:cs="Arial"/>
          <w:lang w:val="mk-MK"/>
        </w:rPr>
        <w:t>asset</w:t>
      </w:r>
      <w:proofErr w:type="spellEnd"/>
      <w:r w:rsidRPr="006557D5">
        <w:rPr>
          <w:rFonts w:ascii="Arial" w:hAnsi="Arial" w:cs="Arial"/>
          <w:lang w:val="mk-MK"/>
        </w:rPr>
        <w:t xml:space="preserve"> </w:t>
      </w:r>
      <w:proofErr w:type="spellStart"/>
      <w:r w:rsidRPr="006557D5">
        <w:rPr>
          <w:rFonts w:ascii="Arial" w:hAnsi="Arial" w:cs="Arial"/>
          <w:lang w:val="mk-MK"/>
        </w:rPr>
        <w:t>is</w:t>
      </w:r>
      <w:proofErr w:type="spellEnd"/>
      <w:r w:rsidRPr="006557D5">
        <w:rPr>
          <w:rFonts w:ascii="Arial" w:hAnsi="Arial" w:cs="Arial"/>
          <w:lang w:val="mk-MK"/>
        </w:rPr>
        <w:t xml:space="preserve"> </w:t>
      </w:r>
      <w:proofErr w:type="spellStart"/>
      <w:r w:rsidRPr="006557D5">
        <w:rPr>
          <w:rFonts w:ascii="Arial" w:hAnsi="Arial" w:cs="Arial"/>
          <w:lang w:val="mk-MK"/>
        </w:rPr>
        <w:t>classified</w:t>
      </w:r>
      <w:proofErr w:type="spellEnd"/>
      <w:r w:rsidRPr="006557D5">
        <w:rPr>
          <w:rFonts w:ascii="Arial" w:hAnsi="Arial" w:cs="Arial"/>
          <w:lang w:val="mk-MK"/>
        </w:rPr>
        <w:t xml:space="preserve"> </w:t>
      </w:r>
      <w:proofErr w:type="spellStart"/>
      <w:r w:rsidRPr="006557D5">
        <w:rPr>
          <w:rFonts w:ascii="Arial" w:hAnsi="Arial" w:cs="Arial"/>
          <w:lang w:val="mk-MK"/>
        </w:rPr>
        <w:t>as</w:t>
      </w:r>
      <w:proofErr w:type="spellEnd"/>
      <w:r w:rsidRPr="006557D5">
        <w:rPr>
          <w:rFonts w:ascii="Arial" w:hAnsi="Arial" w:cs="Arial"/>
          <w:lang w:val="mk-MK"/>
        </w:rPr>
        <w:t xml:space="preserve"> </w:t>
      </w:r>
      <w:proofErr w:type="spellStart"/>
      <w:r w:rsidRPr="006557D5">
        <w:rPr>
          <w:rFonts w:ascii="Arial" w:hAnsi="Arial" w:cs="Arial"/>
          <w:lang w:val="mk-MK"/>
        </w:rPr>
        <w:t>held</w:t>
      </w:r>
      <w:proofErr w:type="spellEnd"/>
      <w:r w:rsidR="009C0F6D" w:rsidRPr="006557D5">
        <w:rPr>
          <w:rFonts w:ascii="Arial" w:hAnsi="Arial" w:cs="Arial"/>
          <w:lang w:val="mk-MK"/>
        </w:rPr>
        <w:t xml:space="preserve"> </w:t>
      </w:r>
      <w:proofErr w:type="spellStart"/>
      <w:r w:rsidRPr="006557D5">
        <w:rPr>
          <w:rFonts w:ascii="Arial" w:hAnsi="Arial" w:cs="Arial"/>
          <w:lang w:val="mk-MK"/>
        </w:rPr>
        <w:t>for</w:t>
      </w:r>
      <w:proofErr w:type="spellEnd"/>
      <w:r w:rsidR="009C0F6D" w:rsidRPr="006557D5">
        <w:rPr>
          <w:rFonts w:ascii="Arial" w:hAnsi="Arial" w:cs="Arial"/>
          <w:lang w:val="mk-MK"/>
        </w:rPr>
        <w:t xml:space="preserve"> </w:t>
      </w:r>
      <w:proofErr w:type="spellStart"/>
      <w:r w:rsidRPr="006557D5">
        <w:rPr>
          <w:rFonts w:ascii="Arial" w:hAnsi="Arial" w:cs="Arial"/>
          <w:lang w:val="mk-MK"/>
        </w:rPr>
        <w:t>trading</w:t>
      </w:r>
      <w:proofErr w:type="spellEnd"/>
      <w:r w:rsidRPr="006557D5">
        <w:rPr>
          <w:rFonts w:ascii="Arial" w:hAnsi="Arial" w:cs="Arial"/>
          <w:lang w:val="mk-MK"/>
        </w:rPr>
        <w:t xml:space="preserve"> </w:t>
      </w:r>
      <w:proofErr w:type="spellStart"/>
      <w:r w:rsidRPr="006557D5">
        <w:rPr>
          <w:rFonts w:ascii="Arial" w:hAnsi="Arial" w:cs="Arial"/>
          <w:lang w:val="mk-MK"/>
        </w:rPr>
        <w:t>if</w:t>
      </w:r>
      <w:proofErr w:type="spellEnd"/>
      <w:r w:rsidRPr="006557D5">
        <w:rPr>
          <w:rFonts w:ascii="Arial" w:hAnsi="Arial" w:cs="Arial"/>
          <w:lang w:val="mk-MK"/>
        </w:rPr>
        <w:t xml:space="preserve"> </w:t>
      </w:r>
      <w:proofErr w:type="spellStart"/>
      <w:r w:rsidRPr="006557D5">
        <w:rPr>
          <w:rFonts w:ascii="Arial" w:hAnsi="Arial" w:cs="Arial"/>
          <w:lang w:val="mk-MK"/>
        </w:rPr>
        <w:t>acquired</w:t>
      </w:r>
      <w:proofErr w:type="spellEnd"/>
      <w:r w:rsidRPr="006557D5">
        <w:rPr>
          <w:rFonts w:ascii="Arial" w:hAnsi="Arial" w:cs="Arial"/>
          <w:lang w:val="mk-MK"/>
        </w:rPr>
        <w:t xml:space="preserve"> </w:t>
      </w:r>
      <w:proofErr w:type="spellStart"/>
      <w:r w:rsidRPr="006557D5">
        <w:rPr>
          <w:rFonts w:ascii="Arial" w:hAnsi="Arial" w:cs="Arial"/>
          <w:lang w:val="mk-MK"/>
        </w:rPr>
        <w:t>or</w:t>
      </w:r>
      <w:proofErr w:type="spellEnd"/>
      <w:r w:rsidRPr="006557D5">
        <w:rPr>
          <w:rFonts w:ascii="Arial" w:hAnsi="Arial" w:cs="Arial"/>
          <w:lang w:val="mk-MK"/>
        </w:rPr>
        <w:t xml:space="preserve"> </w:t>
      </w:r>
      <w:proofErr w:type="spellStart"/>
      <w:r w:rsidRPr="006557D5">
        <w:rPr>
          <w:rFonts w:ascii="Arial" w:hAnsi="Arial" w:cs="Arial"/>
          <w:lang w:val="mk-MK"/>
        </w:rPr>
        <w:t>incurred</w:t>
      </w:r>
      <w:proofErr w:type="spellEnd"/>
      <w:r w:rsidRPr="006557D5">
        <w:rPr>
          <w:rFonts w:ascii="Arial" w:hAnsi="Arial" w:cs="Arial"/>
          <w:lang w:val="mk-MK"/>
        </w:rPr>
        <w:t xml:space="preserve"> </w:t>
      </w:r>
      <w:proofErr w:type="spellStart"/>
      <w:r w:rsidRPr="006557D5">
        <w:rPr>
          <w:rFonts w:ascii="Arial" w:hAnsi="Arial" w:cs="Arial"/>
          <w:lang w:val="mk-MK"/>
        </w:rPr>
        <w:t>principally</w:t>
      </w:r>
      <w:proofErr w:type="spellEnd"/>
      <w:r w:rsidRPr="006557D5">
        <w:rPr>
          <w:rFonts w:ascii="Arial" w:hAnsi="Arial" w:cs="Arial"/>
          <w:lang w:val="mk-MK"/>
        </w:rPr>
        <w:t xml:space="preserve"> </w:t>
      </w:r>
      <w:proofErr w:type="spellStart"/>
      <w:r w:rsidRPr="006557D5">
        <w:rPr>
          <w:rFonts w:ascii="Arial" w:hAnsi="Arial" w:cs="Arial"/>
          <w:lang w:val="mk-MK"/>
        </w:rPr>
        <w:t>for</w:t>
      </w:r>
      <w:proofErr w:type="spellEnd"/>
      <w:r w:rsidRPr="006557D5">
        <w:rPr>
          <w:rFonts w:ascii="Arial" w:hAnsi="Arial" w:cs="Arial"/>
          <w:lang w:val="mk-MK"/>
        </w:rPr>
        <w:t xml:space="preserve"> </w:t>
      </w:r>
      <w:proofErr w:type="spellStart"/>
      <w:r w:rsidRPr="006557D5">
        <w:rPr>
          <w:rFonts w:ascii="Arial" w:hAnsi="Arial" w:cs="Arial"/>
          <w:lang w:val="mk-MK"/>
        </w:rPr>
        <w:t>the</w:t>
      </w:r>
      <w:proofErr w:type="spellEnd"/>
      <w:r w:rsidRPr="006557D5">
        <w:rPr>
          <w:rFonts w:ascii="Arial" w:hAnsi="Arial" w:cs="Arial"/>
          <w:lang w:val="mk-MK"/>
        </w:rPr>
        <w:t xml:space="preserve"> </w:t>
      </w:r>
      <w:proofErr w:type="spellStart"/>
      <w:r w:rsidRPr="006557D5">
        <w:rPr>
          <w:rFonts w:ascii="Arial" w:hAnsi="Arial" w:cs="Arial"/>
          <w:lang w:val="mk-MK"/>
        </w:rPr>
        <w:t>purpose</w:t>
      </w:r>
      <w:proofErr w:type="spellEnd"/>
      <w:r w:rsidRPr="006557D5">
        <w:rPr>
          <w:rFonts w:ascii="Arial" w:hAnsi="Arial" w:cs="Arial"/>
          <w:lang w:val="mk-MK"/>
        </w:rPr>
        <w:t xml:space="preserve"> </w:t>
      </w:r>
      <w:proofErr w:type="spellStart"/>
      <w:r w:rsidRPr="006557D5">
        <w:rPr>
          <w:rFonts w:ascii="Arial" w:hAnsi="Arial" w:cs="Arial"/>
          <w:lang w:val="mk-MK"/>
        </w:rPr>
        <w:t>of</w:t>
      </w:r>
      <w:proofErr w:type="spellEnd"/>
      <w:r w:rsidRPr="006557D5">
        <w:rPr>
          <w:rFonts w:ascii="Arial" w:hAnsi="Arial" w:cs="Arial"/>
          <w:lang w:val="mk-MK"/>
        </w:rPr>
        <w:t xml:space="preserve"> </w:t>
      </w:r>
      <w:proofErr w:type="spellStart"/>
      <w:r w:rsidRPr="006557D5">
        <w:rPr>
          <w:rFonts w:ascii="Arial" w:hAnsi="Arial" w:cs="Arial"/>
          <w:lang w:val="mk-MK"/>
        </w:rPr>
        <w:t>generating</w:t>
      </w:r>
      <w:proofErr w:type="spellEnd"/>
      <w:r w:rsidRPr="006557D5">
        <w:rPr>
          <w:rFonts w:ascii="Arial" w:hAnsi="Arial" w:cs="Arial"/>
          <w:lang w:val="mk-MK"/>
        </w:rPr>
        <w:t xml:space="preserve"> </w:t>
      </w:r>
      <w:proofErr w:type="spellStart"/>
      <w:r w:rsidRPr="006557D5">
        <w:rPr>
          <w:rFonts w:ascii="Arial" w:hAnsi="Arial" w:cs="Arial"/>
          <w:lang w:val="mk-MK"/>
        </w:rPr>
        <w:t>profit</w:t>
      </w:r>
      <w:proofErr w:type="spellEnd"/>
      <w:r w:rsidRPr="006557D5">
        <w:rPr>
          <w:rFonts w:ascii="Arial" w:hAnsi="Arial" w:cs="Arial"/>
          <w:lang w:val="mk-MK"/>
        </w:rPr>
        <w:t xml:space="preserve"> </w:t>
      </w:r>
      <w:proofErr w:type="spellStart"/>
      <w:r w:rsidRPr="006557D5">
        <w:rPr>
          <w:rFonts w:ascii="Arial" w:hAnsi="Arial" w:cs="Arial"/>
          <w:lang w:val="mk-MK"/>
        </w:rPr>
        <w:t>through</w:t>
      </w:r>
      <w:proofErr w:type="spellEnd"/>
      <w:r w:rsidRPr="006557D5">
        <w:rPr>
          <w:rFonts w:ascii="Arial" w:hAnsi="Arial" w:cs="Arial"/>
          <w:lang w:val="mk-MK"/>
        </w:rPr>
        <w:t xml:space="preserve"> </w:t>
      </w:r>
      <w:proofErr w:type="spellStart"/>
      <w:r w:rsidRPr="006557D5">
        <w:rPr>
          <w:rFonts w:ascii="Arial" w:hAnsi="Arial" w:cs="Arial"/>
          <w:lang w:val="mk-MK"/>
        </w:rPr>
        <w:t>short-term</w:t>
      </w:r>
      <w:proofErr w:type="spellEnd"/>
      <w:r w:rsidRPr="006557D5">
        <w:rPr>
          <w:rFonts w:ascii="Arial" w:hAnsi="Arial" w:cs="Arial"/>
          <w:lang w:val="mk-MK"/>
        </w:rPr>
        <w:t xml:space="preserve"> </w:t>
      </w:r>
      <w:proofErr w:type="spellStart"/>
      <w:r w:rsidRPr="006557D5">
        <w:rPr>
          <w:rFonts w:ascii="Arial" w:hAnsi="Arial" w:cs="Arial"/>
          <w:lang w:val="mk-MK"/>
        </w:rPr>
        <w:t>fluctuations</w:t>
      </w:r>
      <w:proofErr w:type="spellEnd"/>
      <w:r w:rsidRPr="006557D5">
        <w:rPr>
          <w:rFonts w:ascii="Arial" w:hAnsi="Arial" w:cs="Arial"/>
          <w:lang w:val="mk-MK"/>
        </w:rPr>
        <w:t xml:space="preserve"> </w:t>
      </w:r>
      <w:proofErr w:type="spellStart"/>
      <w:r w:rsidRPr="006557D5">
        <w:rPr>
          <w:rFonts w:ascii="Arial" w:hAnsi="Arial" w:cs="Arial"/>
          <w:lang w:val="mk-MK"/>
        </w:rPr>
        <w:t>in</w:t>
      </w:r>
      <w:proofErr w:type="spellEnd"/>
      <w:r w:rsidRPr="006557D5">
        <w:rPr>
          <w:rFonts w:ascii="Arial" w:hAnsi="Arial" w:cs="Arial"/>
          <w:lang w:val="mk-MK"/>
        </w:rPr>
        <w:t xml:space="preserve"> </w:t>
      </w:r>
      <w:proofErr w:type="spellStart"/>
      <w:r w:rsidRPr="006557D5">
        <w:rPr>
          <w:rFonts w:ascii="Arial" w:hAnsi="Arial" w:cs="Arial"/>
          <w:lang w:val="mk-MK"/>
        </w:rPr>
        <w:t>the</w:t>
      </w:r>
      <w:proofErr w:type="spellEnd"/>
      <w:r w:rsidRPr="006557D5">
        <w:rPr>
          <w:rFonts w:ascii="Arial" w:hAnsi="Arial" w:cs="Arial"/>
          <w:lang w:val="mk-MK"/>
        </w:rPr>
        <w:t xml:space="preserve"> </w:t>
      </w:r>
      <w:proofErr w:type="spellStart"/>
      <w:r w:rsidRPr="006557D5">
        <w:rPr>
          <w:rFonts w:ascii="Arial" w:hAnsi="Arial" w:cs="Arial"/>
          <w:lang w:val="mk-MK"/>
        </w:rPr>
        <w:t>price</w:t>
      </w:r>
      <w:proofErr w:type="spellEnd"/>
      <w:r w:rsidRPr="006557D5">
        <w:rPr>
          <w:rFonts w:ascii="Arial" w:hAnsi="Arial" w:cs="Arial"/>
          <w:lang w:val="mk-MK"/>
        </w:rPr>
        <w:t xml:space="preserve"> </w:t>
      </w:r>
      <w:proofErr w:type="spellStart"/>
      <w:r w:rsidRPr="006557D5">
        <w:rPr>
          <w:rFonts w:ascii="Arial" w:hAnsi="Arial" w:cs="Arial"/>
          <w:lang w:val="mk-MK"/>
        </w:rPr>
        <w:t>or</w:t>
      </w:r>
      <w:proofErr w:type="spellEnd"/>
      <w:r w:rsidRPr="006557D5">
        <w:rPr>
          <w:rFonts w:ascii="Arial" w:hAnsi="Arial" w:cs="Arial"/>
          <w:lang w:val="mk-MK"/>
        </w:rPr>
        <w:t xml:space="preserve"> </w:t>
      </w:r>
      <w:proofErr w:type="spellStart"/>
      <w:r w:rsidRPr="006557D5">
        <w:rPr>
          <w:rFonts w:ascii="Arial" w:hAnsi="Arial" w:cs="Arial"/>
          <w:lang w:val="mk-MK"/>
        </w:rPr>
        <w:t>if</w:t>
      </w:r>
      <w:proofErr w:type="spellEnd"/>
      <w:r w:rsidRPr="006557D5">
        <w:rPr>
          <w:rFonts w:ascii="Arial" w:hAnsi="Arial" w:cs="Arial"/>
          <w:lang w:val="mk-MK"/>
        </w:rPr>
        <w:t xml:space="preserve"> </w:t>
      </w:r>
      <w:proofErr w:type="spellStart"/>
      <w:r w:rsidRPr="006557D5">
        <w:rPr>
          <w:rFonts w:ascii="Arial" w:hAnsi="Arial" w:cs="Arial"/>
          <w:lang w:val="mk-MK"/>
        </w:rPr>
        <w:t>it</w:t>
      </w:r>
      <w:proofErr w:type="spellEnd"/>
      <w:r w:rsidRPr="006557D5">
        <w:rPr>
          <w:rFonts w:ascii="Arial" w:hAnsi="Arial" w:cs="Arial"/>
          <w:lang w:val="mk-MK"/>
        </w:rPr>
        <w:t xml:space="preserve"> </w:t>
      </w:r>
      <w:proofErr w:type="spellStart"/>
      <w:r w:rsidRPr="006557D5">
        <w:rPr>
          <w:rFonts w:ascii="Arial" w:hAnsi="Arial" w:cs="Arial"/>
          <w:lang w:val="mk-MK"/>
        </w:rPr>
        <w:t>is</w:t>
      </w:r>
      <w:proofErr w:type="spellEnd"/>
      <w:r w:rsidRPr="006557D5">
        <w:rPr>
          <w:rFonts w:ascii="Arial" w:hAnsi="Arial" w:cs="Arial"/>
          <w:lang w:val="mk-MK"/>
        </w:rPr>
        <w:t xml:space="preserve"> </w:t>
      </w:r>
      <w:proofErr w:type="spellStart"/>
      <w:r w:rsidRPr="006557D5">
        <w:rPr>
          <w:rFonts w:ascii="Arial" w:hAnsi="Arial" w:cs="Arial"/>
          <w:lang w:val="mk-MK"/>
        </w:rPr>
        <w:t>included</w:t>
      </w:r>
      <w:proofErr w:type="spellEnd"/>
      <w:r w:rsidRPr="006557D5">
        <w:rPr>
          <w:rFonts w:ascii="Arial" w:hAnsi="Arial" w:cs="Arial"/>
          <w:lang w:val="mk-MK"/>
        </w:rPr>
        <w:t xml:space="preserve"> </w:t>
      </w:r>
      <w:proofErr w:type="spellStart"/>
      <w:r w:rsidRPr="006557D5">
        <w:rPr>
          <w:rFonts w:ascii="Arial" w:hAnsi="Arial" w:cs="Arial"/>
          <w:lang w:val="mk-MK"/>
        </w:rPr>
        <w:t>in</w:t>
      </w:r>
      <w:proofErr w:type="spellEnd"/>
      <w:r w:rsidRPr="006557D5">
        <w:rPr>
          <w:rFonts w:ascii="Arial" w:hAnsi="Arial" w:cs="Arial"/>
          <w:lang w:val="mk-MK"/>
        </w:rPr>
        <w:t xml:space="preserve"> </w:t>
      </w:r>
      <w:proofErr w:type="spellStart"/>
      <w:r w:rsidRPr="006557D5">
        <w:rPr>
          <w:rFonts w:ascii="Arial" w:hAnsi="Arial" w:cs="Arial"/>
          <w:lang w:val="mk-MK"/>
        </w:rPr>
        <w:t>the</w:t>
      </w:r>
      <w:proofErr w:type="spellEnd"/>
      <w:r w:rsidRPr="006557D5">
        <w:rPr>
          <w:rFonts w:ascii="Arial" w:hAnsi="Arial" w:cs="Arial"/>
          <w:lang w:val="mk-MK"/>
        </w:rPr>
        <w:t xml:space="preserve"> </w:t>
      </w:r>
      <w:proofErr w:type="spellStart"/>
      <w:r w:rsidRPr="006557D5">
        <w:rPr>
          <w:rFonts w:ascii="Arial" w:hAnsi="Arial" w:cs="Arial"/>
          <w:lang w:val="mk-MK"/>
        </w:rPr>
        <w:t>portfolio</w:t>
      </w:r>
      <w:proofErr w:type="spellEnd"/>
      <w:r w:rsidRPr="006557D5">
        <w:rPr>
          <w:rFonts w:ascii="Arial" w:hAnsi="Arial" w:cs="Arial"/>
          <w:lang w:val="mk-MK"/>
        </w:rPr>
        <w:t xml:space="preserve"> </w:t>
      </w:r>
      <w:proofErr w:type="spellStart"/>
      <w:r w:rsidRPr="006557D5">
        <w:rPr>
          <w:rFonts w:ascii="Arial" w:hAnsi="Arial" w:cs="Arial"/>
          <w:lang w:val="mk-MK"/>
        </w:rPr>
        <w:t>for</w:t>
      </w:r>
      <w:proofErr w:type="spellEnd"/>
      <w:r w:rsidRPr="006557D5">
        <w:rPr>
          <w:rFonts w:ascii="Arial" w:hAnsi="Arial" w:cs="Arial"/>
          <w:lang w:val="mk-MK"/>
        </w:rPr>
        <w:t xml:space="preserve"> </w:t>
      </w:r>
      <w:proofErr w:type="spellStart"/>
      <w:r w:rsidRPr="006557D5">
        <w:rPr>
          <w:rFonts w:ascii="Arial" w:hAnsi="Arial" w:cs="Arial"/>
          <w:lang w:val="mk-MK"/>
        </w:rPr>
        <w:t>which</w:t>
      </w:r>
      <w:proofErr w:type="spellEnd"/>
      <w:r w:rsidRPr="006557D5">
        <w:rPr>
          <w:rFonts w:ascii="Arial" w:hAnsi="Arial" w:cs="Arial"/>
          <w:lang w:val="mk-MK"/>
        </w:rPr>
        <w:t xml:space="preserve"> a </w:t>
      </w:r>
      <w:proofErr w:type="spellStart"/>
      <w:r w:rsidRPr="006557D5">
        <w:rPr>
          <w:rFonts w:ascii="Arial" w:hAnsi="Arial" w:cs="Arial"/>
          <w:lang w:val="mk-MK"/>
        </w:rPr>
        <w:t>short</w:t>
      </w:r>
      <w:proofErr w:type="spellEnd"/>
      <w:r w:rsidRPr="006557D5">
        <w:rPr>
          <w:rFonts w:ascii="Arial" w:hAnsi="Arial" w:cs="Arial"/>
          <w:lang w:val="mk-MK"/>
        </w:rPr>
        <w:t xml:space="preserve"> </w:t>
      </w:r>
      <w:proofErr w:type="spellStart"/>
      <w:r w:rsidRPr="006557D5">
        <w:rPr>
          <w:rFonts w:ascii="Arial" w:hAnsi="Arial" w:cs="Arial"/>
          <w:lang w:val="mk-MK"/>
        </w:rPr>
        <w:t>term</w:t>
      </w:r>
      <w:proofErr w:type="spellEnd"/>
      <w:r w:rsidRPr="006557D5">
        <w:rPr>
          <w:rFonts w:ascii="Arial" w:hAnsi="Arial" w:cs="Arial"/>
          <w:lang w:val="mk-MK"/>
        </w:rPr>
        <w:t xml:space="preserve"> </w:t>
      </w:r>
      <w:proofErr w:type="spellStart"/>
      <w:r w:rsidRPr="006557D5">
        <w:rPr>
          <w:rFonts w:ascii="Arial" w:hAnsi="Arial" w:cs="Arial"/>
          <w:lang w:val="mk-MK"/>
        </w:rPr>
        <w:t>actual</w:t>
      </w:r>
      <w:proofErr w:type="spellEnd"/>
      <w:r w:rsidRPr="006557D5">
        <w:rPr>
          <w:rFonts w:ascii="Arial" w:hAnsi="Arial" w:cs="Arial"/>
          <w:lang w:val="mk-MK"/>
        </w:rPr>
        <w:t xml:space="preserve"> </w:t>
      </w:r>
      <w:proofErr w:type="spellStart"/>
      <w:r w:rsidRPr="006557D5">
        <w:rPr>
          <w:rFonts w:ascii="Arial" w:hAnsi="Arial" w:cs="Arial"/>
          <w:lang w:val="mk-MK"/>
        </w:rPr>
        <w:t>form</w:t>
      </w:r>
      <w:proofErr w:type="spellEnd"/>
      <w:r w:rsidRPr="006557D5">
        <w:rPr>
          <w:rFonts w:ascii="Arial" w:hAnsi="Arial" w:cs="Arial"/>
          <w:lang w:val="mk-MK"/>
        </w:rPr>
        <w:t xml:space="preserve"> </w:t>
      </w:r>
      <w:proofErr w:type="spellStart"/>
      <w:r w:rsidRPr="006557D5">
        <w:rPr>
          <w:rFonts w:ascii="Arial" w:hAnsi="Arial" w:cs="Arial"/>
          <w:lang w:val="mk-MK"/>
        </w:rPr>
        <w:t>of</w:t>
      </w:r>
      <w:proofErr w:type="spellEnd"/>
      <w:r w:rsidRPr="006557D5">
        <w:rPr>
          <w:rFonts w:ascii="Arial" w:hAnsi="Arial" w:cs="Arial"/>
          <w:lang w:val="mk-MK"/>
        </w:rPr>
        <w:t xml:space="preserve"> </w:t>
      </w:r>
      <w:proofErr w:type="spellStart"/>
      <w:r w:rsidRPr="006557D5">
        <w:rPr>
          <w:rFonts w:ascii="Arial" w:hAnsi="Arial" w:cs="Arial"/>
          <w:lang w:val="mk-MK"/>
        </w:rPr>
        <w:t>profit</w:t>
      </w:r>
      <w:proofErr w:type="spellEnd"/>
      <w:r w:rsidRPr="006557D5">
        <w:rPr>
          <w:rFonts w:ascii="Arial" w:hAnsi="Arial" w:cs="Arial"/>
          <w:lang w:val="mk-MK"/>
        </w:rPr>
        <w:t xml:space="preserve"> </w:t>
      </w:r>
      <w:proofErr w:type="spellStart"/>
      <w:r w:rsidRPr="006557D5">
        <w:rPr>
          <w:rFonts w:ascii="Arial" w:hAnsi="Arial" w:cs="Arial"/>
          <w:lang w:val="mk-MK"/>
        </w:rPr>
        <w:t>gain</w:t>
      </w:r>
      <w:proofErr w:type="spellEnd"/>
      <w:r w:rsidRPr="006557D5">
        <w:rPr>
          <w:rFonts w:ascii="Arial" w:hAnsi="Arial" w:cs="Arial"/>
          <w:lang w:val="mk-MK"/>
        </w:rPr>
        <w:t xml:space="preserve"> </w:t>
      </w:r>
      <w:proofErr w:type="spellStart"/>
      <w:r w:rsidRPr="006557D5">
        <w:rPr>
          <w:rFonts w:ascii="Arial" w:hAnsi="Arial" w:cs="Arial"/>
          <w:lang w:val="mk-MK"/>
        </w:rPr>
        <w:t>exists</w:t>
      </w:r>
      <w:proofErr w:type="spellEnd"/>
      <w:r w:rsidRPr="006557D5">
        <w:rPr>
          <w:rFonts w:ascii="Arial" w:hAnsi="Arial" w:cs="Arial"/>
          <w:lang w:val="mk-MK"/>
        </w:rPr>
        <w:t xml:space="preserve">. </w:t>
      </w:r>
      <w:proofErr w:type="spellStart"/>
      <w:r w:rsidRPr="006557D5">
        <w:rPr>
          <w:rFonts w:ascii="Arial" w:hAnsi="Arial" w:cs="Arial"/>
          <w:lang w:val="mk-MK"/>
        </w:rPr>
        <w:t>The</w:t>
      </w:r>
      <w:proofErr w:type="spellEnd"/>
      <w:r w:rsidRPr="006557D5">
        <w:rPr>
          <w:rFonts w:ascii="Arial" w:hAnsi="Arial" w:cs="Arial"/>
          <w:lang w:val="mk-MK"/>
        </w:rPr>
        <w:t xml:space="preserve"> </w:t>
      </w:r>
      <w:proofErr w:type="spellStart"/>
      <w:r w:rsidRPr="006557D5">
        <w:rPr>
          <w:rFonts w:ascii="Arial" w:hAnsi="Arial" w:cs="Arial"/>
          <w:lang w:val="mk-MK"/>
        </w:rPr>
        <w:t>Fund</w:t>
      </w:r>
      <w:proofErr w:type="spellEnd"/>
      <w:r w:rsidRPr="006557D5">
        <w:rPr>
          <w:rFonts w:ascii="Arial" w:hAnsi="Arial" w:cs="Arial"/>
          <w:lang w:val="mk-MK"/>
        </w:rPr>
        <w:t xml:space="preserve"> </w:t>
      </w:r>
      <w:proofErr w:type="spellStart"/>
      <w:r w:rsidRPr="006557D5">
        <w:rPr>
          <w:rFonts w:ascii="Arial" w:hAnsi="Arial" w:cs="Arial"/>
          <w:lang w:val="mk-MK"/>
        </w:rPr>
        <w:t>has</w:t>
      </w:r>
      <w:proofErr w:type="spellEnd"/>
      <w:r w:rsidRPr="006557D5">
        <w:rPr>
          <w:rFonts w:ascii="Arial" w:hAnsi="Arial" w:cs="Arial"/>
          <w:lang w:val="mk-MK"/>
        </w:rPr>
        <w:t xml:space="preserve"> </w:t>
      </w:r>
      <w:proofErr w:type="spellStart"/>
      <w:r w:rsidRPr="006557D5">
        <w:rPr>
          <w:rFonts w:ascii="Arial" w:hAnsi="Arial" w:cs="Arial"/>
          <w:lang w:val="mk-MK"/>
        </w:rPr>
        <w:t>no</w:t>
      </w:r>
      <w:proofErr w:type="spellEnd"/>
      <w:r w:rsidRPr="006557D5">
        <w:rPr>
          <w:rFonts w:ascii="Arial" w:hAnsi="Arial" w:cs="Arial"/>
          <w:lang w:val="mk-MK"/>
        </w:rPr>
        <w:t xml:space="preserve"> </w:t>
      </w:r>
      <w:proofErr w:type="spellStart"/>
      <w:r w:rsidRPr="006557D5">
        <w:rPr>
          <w:rFonts w:ascii="Arial" w:hAnsi="Arial" w:cs="Arial"/>
          <w:lang w:val="mk-MK"/>
        </w:rPr>
        <w:t>assets</w:t>
      </w:r>
      <w:proofErr w:type="spellEnd"/>
      <w:r w:rsidRPr="006557D5">
        <w:rPr>
          <w:rFonts w:ascii="Arial" w:hAnsi="Arial" w:cs="Arial"/>
          <w:lang w:val="mk-MK"/>
        </w:rPr>
        <w:t xml:space="preserve"> </w:t>
      </w:r>
      <w:proofErr w:type="spellStart"/>
      <w:r w:rsidRPr="006557D5">
        <w:rPr>
          <w:rFonts w:ascii="Arial" w:hAnsi="Arial" w:cs="Arial"/>
          <w:lang w:val="mk-MK"/>
        </w:rPr>
        <w:t>classified</w:t>
      </w:r>
      <w:proofErr w:type="spellEnd"/>
      <w:r w:rsidRPr="006557D5">
        <w:rPr>
          <w:rFonts w:ascii="Arial" w:hAnsi="Arial" w:cs="Arial"/>
          <w:lang w:val="mk-MK"/>
        </w:rPr>
        <w:t xml:space="preserve"> </w:t>
      </w:r>
      <w:proofErr w:type="spellStart"/>
      <w:r w:rsidRPr="006557D5">
        <w:rPr>
          <w:rFonts w:ascii="Arial" w:hAnsi="Arial" w:cs="Arial"/>
          <w:lang w:val="mk-MK"/>
        </w:rPr>
        <w:t>in</w:t>
      </w:r>
      <w:proofErr w:type="spellEnd"/>
      <w:r w:rsidRPr="006557D5">
        <w:rPr>
          <w:rFonts w:ascii="Arial" w:hAnsi="Arial" w:cs="Arial"/>
          <w:lang w:val="mk-MK"/>
        </w:rPr>
        <w:t xml:space="preserve"> </w:t>
      </w:r>
      <w:proofErr w:type="spellStart"/>
      <w:r w:rsidRPr="006557D5">
        <w:rPr>
          <w:rFonts w:ascii="Arial" w:hAnsi="Arial" w:cs="Arial"/>
          <w:lang w:val="mk-MK"/>
        </w:rPr>
        <w:t>this</w:t>
      </w:r>
      <w:proofErr w:type="spellEnd"/>
      <w:r w:rsidRPr="006557D5">
        <w:rPr>
          <w:rFonts w:ascii="Arial" w:hAnsi="Arial" w:cs="Arial"/>
          <w:lang w:val="mk-MK"/>
        </w:rPr>
        <w:t xml:space="preserve"> </w:t>
      </w:r>
      <w:proofErr w:type="spellStart"/>
      <w:r w:rsidRPr="006557D5">
        <w:rPr>
          <w:rFonts w:ascii="Arial" w:hAnsi="Arial" w:cs="Arial"/>
          <w:lang w:val="mk-MK"/>
        </w:rPr>
        <w:t>category</w:t>
      </w:r>
      <w:proofErr w:type="spellEnd"/>
      <w:r w:rsidRPr="006557D5">
        <w:rPr>
          <w:rFonts w:ascii="Arial" w:hAnsi="Arial" w:cs="Arial"/>
          <w:lang w:val="mk-MK"/>
        </w:rPr>
        <w:t xml:space="preserve"> </w:t>
      </w:r>
      <w:proofErr w:type="spellStart"/>
      <w:r w:rsidRPr="006557D5">
        <w:rPr>
          <w:rFonts w:ascii="Arial" w:hAnsi="Arial" w:cs="Arial"/>
          <w:lang w:val="mk-MK"/>
        </w:rPr>
        <w:t>at</w:t>
      </w:r>
      <w:proofErr w:type="spellEnd"/>
      <w:r w:rsidRPr="006557D5">
        <w:rPr>
          <w:rFonts w:ascii="Arial" w:hAnsi="Arial" w:cs="Arial"/>
          <w:lang w:val="mk-MK"/>
        </w:rPr>
        <w:t xml:space="preserve"> </w:t>
      </w:r>
      <w:proofErr w:type="spellStart"/>
      <w:r w:rsidRPr="006557D5">
        <w:rPr>
          <w:rFonts w:ascii="Arial" w:hAnsi="Arial" w:cs="Arial"/>
          <w:lang w:val="mk-MK"/>
        </w:rPr>
        <w:t>the</w:t>
      </w:r>
      <w:proofErr w:type="spellEnd"/>
      <w:r w:rsidRPr="006557D5">
        <w:rPr>
          <w:rFonts w:ascii="Arial" w:hAnsi="Arial" w:cs="Arial"/>
          <w:lang w:val="mk-MK"/>
        </w:rPr>
        <w:t xml:space="preserve"> </w:t>
      </w:r>
      <w:proofErr w:type="spellStart"/>
      <w:r w:rsidRPr="006557D5">
        <w:rPr>
          <w:rFonts w:ascii="Arial" w:hAnsi="Arial" w:cs="Arial"/>
          <w:lang w:val="mk-MK"/>
        </w:rPr>
        <w:t>Statement</w:t>
      </w:r>
      <w:proofErr w:type="spellEnd"/>
      <w:r w:rsidRPr="006557D5">
        <w:rPr>
          <w:rFonts w:ascii="Arial" w:hAnsi="Arial" w:cs="Arial"/>
          <w:lang w:val="mk-MK"/>
        </w:rPr>
        <w:t xml:space="preserve"> </w:t>
      </w:r>
      <w:proofErr w:type="spellStart"/>
      <w:r w:rsidRPr="006557D5">
        <w:rPr>
          <w:rFonts w:ascii="Arial" w:hAnsi="Arial" w:cs="Arial"/>
          <w:lang w:val="mk-MK"/>
        </w:rPr>
        <w:t>of</w:t>
      </w:r>
      <w:proofErr w:type="spellEnd"/>
      <w:r w:rsidRPr="006557D5">
        <w:rPr>
          <w:rFonts w:ascii="Arial" w:hAnsi="Arial" w:cs="Arial"/>
          <w:lang w:val="mk-MK"/>
        </w:rPr>
        <w:t xml:space="preserve"> </w:t>
      </w:r>
      <w:proofErr w:type="spellStart"/>
      <w:r w:rsidRPr="006557D5">
        <w:rPr>
          <w:rFonts w:ascii="Arial" w:hAnsi="Arial" w:cs="Arial"/>
          <w:lang w:val="mk-MK"/>
        </w:rPr>
        <w:t>financial</w:t>
      </w:r>
      <w:proofErr w:type="spellEnd"/>
      <w:r w:rsidRPr="006557D5">
        <w:rPr>
          <w:rFonts w:ascii="Arial" w:hAnsi="Arial" w:cs="Arial"/>
          <w:lang w:val="mk-MK"/>
        </w:rPr>
        <w:t xml:space="preserve"> </w:t>
      </w:r>
      <w:proofErr w:type="spellStart"/>
      <w:r w:rsidRPr="006557D5">
        <w:rPr>
          <w:rFonts w:ascii="Arial" w:hAnsi="Arial" w:cs="Arial"/>
          <w:lang w:val="mk-MK"/>
        </w:rPr>
        <w:t>position</w:t>
      </w:r>
      <w:proofErr w:type="spellEnd"/>
      <w:r w:rsidRPr="006557D5">
        <w:rPr>
          <w:rFonts w:ascii="Arial" w:hAnsi="Arial" w:cs="Arial"/>
          <w:lang w:val="mk-MK"/>
        </w:rPr>
        <w:t xml:space="preserve"> </w:t>
      </w:r>
      <w:proofErr w:type="spellStart"/>
      <w:r w:rsidRPr="006557D5">
        <w:rPr>
          <w:rFonts w:ascii="Arial" w:hAnsi="Arial" w:cs="Arial"/>
          <w:lang w:val="mk-MK"/>
        </w:rPr>
        <w:t>date</w:t>
      </w:r>
      <w:proofErr w:type="spellEnd"/>
      <w:r w:rsidRPr="006557D5">
        <w:rPr>
          <w:rFonts w:ascii="Arial" w:hAnsi="Arial" w:cs="Arial"/>
          <w:lang w:val="mk-MK"/>
        </w:rPr>
        <w:t>.</w:t>
      </w:r>
    </w:p>
    <w:p w14:paraId="63026F73" w14:textId="774259A6" w:rsidR="00755C86" w:rsidRDefault="00755C86" w:rsidP="0025712C">
      <w:pPr>
        <w:spacing w:afterLines="100" w:after="240" w:line="280" w:lineRule="atLeast"/>
        <w:jc w:val="both"/>
        <w:rPr>
          <w:rFonts w:ascii="Arial" w:hAnsi="Arial" w:cs="Arial"/>
          <w:i/>
          <w:iCs/>
          <w:kern w:val="32"/>
          <w:lang w:val="mk-MK"/>
        </w:rPr>
      </w:pPr>
      <w:proofErr w:type="spellStart"/>
      <w:r w:rsidRPr="00755C86">
        <w:rPr>
          <w:rFonts w:ascii="Arial" w:hAnsi="Arial" w:cs="Arial"/>
          <w:i/>
          <w:iCs/>
          <w:kern w:val="32"/>
          <w:lang w:val="mk-MK"/>
        </w:rPr>
        <w:t>Financial</w:t>
      </w:r>
      <w:proofErr w:type="spellEnd"/>
      <w:r w:rsidRPr="00755C86">
        <w:rPr>
          <w:rFonts w:ascii="Arial" w:hAnsi="Arial" w:cs="Arial"/>
          <w:i/>
          <w:iCs/>
          <w:kern w:val="32"/>
          <w:lang w:val="mk-MK"/>
        </w:rPr>
        <w:t xml:space="preserve"> </w:t>
      </w:r>
      <w:proofErr w:type="spellStart"/>
      <w:r w:rsidRPr="00755C86">
        <w:rPr>
          <w:rFonts w:ascii="Arial" w:hAnsi="Arial" w:cs="Arial"/>
          <w:i/>
          <w:iCs/>
          <w:kern w:val="32"/>
          <w:lang w:val="mk-MK"/>
        </w:rPr>
        <w:t>assets</w:t>
      </w:r>
      <w:proofErr w:type="spellEnd"/>
      <w:r w:rsidRPr="00755C86">
        <w:rPr>
          <w:rFonts w:ascii="Arial" w:hAnsi="Arial" w:cs="Arial"/>
          <w:i/>
          <w:iCs/>
          <w:kern w:val="32"/>
          <w:lang w:val="mk-MK"/>
        </w:rPr>
        <w:t xml:space="preserve"> </w:t>
      </w:r>
      <w:proofErr w:type="spellStart"/>
      <w:r w:rsidRPr="00755C86">
        <w:rPr>
          <w:rFonts w:ascii="Arial" w:hAnsi="Arial" w:cs="Arial"/>
          <w:i/>
          <w:iCs/>
          <w:kern w:val="32"/>
          <w:lang w:val="mk-MK"/>
        </w:rPr>
        <w:t>available</w:t>
      </w:r>
      <w:proofErr w:type="spellEnd"/>
      <w:r w:rsidRPr="00755C86">
        <w:rPr>
          <w:rFonts w:ascii="Arial" w:hAnsi="Arial" w:cs="Arial"/>
          <w:i/>
          <w:iCs/>
          <w:kern w:val="32"/>
          <w:lang w:val="mk-MK"/>
        </w:rPr>
        <w:t xml:space="preserve"> </w:t>
      </w:r>
      <w:proofErr w:type="spellStart"/>
      <w:r w:rsidRPr="00755C86">
        <w:rPr>
          <w:rFonts w:ascii="Arial" w:hAnsi="Arial" w:cs="Arial"/>
          <w:i/>
          <w:iCs/>
          <w:kern w:val="32"/>
          <w:lang w:val="mk-MK"/>
        </w:rPr>
        <w:t>for</w:t>
      </w:r>
      <w:proofErr w:type="spellEnd"/>
      <w:r w:rsidRPr="00755C86">
        <w:rPr>
          <w:rFonts w:ascii="Arial" w:hAnsi="Arial" w:cs="Arial"/>
          <w:i/>
          <w:iCs/>
          <w:kern w:val="32"/>
          <w:lang w:val="mk-MK"/>
        </w:rPr>
        <w:t xml:space="preserve"> </w:t>
      </w:r>
      <w:proofErr w:type="spellStart"/>
      <w:r w:rsidRPr="00755C86">
        <w:rPr>
          <w:rFonts w:ascii="Arial" w:hAnsi="Arial" w:cs="Arial"/>
          <w:i/>
          <w:iCs/>
          <w:kern w:val="32"/>
          <w:lang w:val="mk-MK"/>
        </w:rPr>
        <w:t>sale</w:t>
      </w:r>
      <w:proofErr w:type="spellEnd"/>
      <w:r w:rsidRPr="00755C86">
        <w:rPr>
          <w:rFonts w:ascii="Arial" w:hAnsi="Arial" w:cs="Arial"/>
          <w:i/>
          <w:iCs/>
          <w:kern w:val="32"/>
          <w:lang w:val="mk-MK"/>
        </w:rPr>
        <w:t xml:space="preserve"> </w:t>
      </w:r>
    </w:p>
    <w:p w14:paraId="10014991" w14:textId="64ADE4F1" w:rsidR="00815E65" w:rsidRPr="00CE3053" w:rsidRDefault="006E599F" w:rsidP="006557D5">
      <w:pPr>
        <w:pStyle w:val="BodyText"/>
        <w:jc w:val="both"/>
        <w:rPr>
          <w:rFonts w:ascii="Arial" w:hAnsi="Arial" w:cs="Arial"/>
          <w:lang w:val="mk-MK"/>
        </w:rPr>
      </w:pPr>
      <w:proofErr w:type="spellStart"/>
      <w:r w:rsidRPr="006E599F">
        <w:rPr>
          <w:rFonts w:ascii="Arial" w:hAnsi="Arial" w:cs="Arial"/>
          <w:lang w:val="mk-MK"/>
        </w:rPr>
        <w:t>Financial</w:t>
      </w:r>
      <w:proofErr w:type="spellEnd"/>
      <w:r w:rsidRPr="006E599F">
        <w:rPr>
          <w:rFonts w:ascii="Arial" w:hAnsi="Arial" w:cs="Arial"/>
          <w:lang w:val="mk-MK"/>
        </w:rPr>
        <w:t xml:space="preserve"> </w:t>
      </w:r>
      <w:proofErr w:type="spellStart"/>
      <w:r w:rsidRPr="006E599F">
        <w:rPr>
          <w:rFonts w:ascii="Arial" w:hAnsi="Arial" w:cs="Arial"/>
          <w:lang w:val="mk-MK"/>
        </w:rPr>
        <w:t>assets</w:t>
      </w:r>
      <w:proofErr w:type="spellEnd"/>
      <w:r w:rsidRPr="006E599F">
        <w:rPr>
          <w:rFonts w:ascii="Arial" w:hAnsi="Arial" w:cs="Arial"/>
          <w:lang w:val="mk-MK"/>
        </w:rPr>
        <w:t xml:space="preserve"> </w:t>
      </w:r>
      <w:proofErr w:type="spellStart"/>
      <w:r w:rsidRPr="006E599F">
        <w:rPr>
          <w:rFonts w:ascii="Arial" w:hAnsi="Arial" w:cs="Arial"/>
          <w:lang w:val="mk-MK"/>
        </w:rPr>
        <w:t>available</w:t>
      </w:r>
      <w:proofErr w:type="spellEnd"/>
      <w:r w:rsidRPr="006E599F">
        <w:rPr>
          <w:rFonts w:ascii="Arial" w:hAnsi="Arial" w:cs="Arial"/>
          <w:lang w:val="mk-MK"/>
        </w:rPr>
        <w:t xml:space="preserve"> </w:t>
      </w:r>
      <w:proofErr w:type="spellStart"/>
      <w:r w:rsidRPr="006E599F">
        <w:rPr>
          <w:rFonts w:ascii="Arial" w:hAnsi="Arial" w:cs="Arial"/>
          <w:lang w:val="mk-MK"/>
        </w:rPr>
        <w:t>for</w:t>
      </w:r>
      <w:proofErr w:type="spellEnd"/>
      <w:r w:rsidRPr="006E599F">
        <w:rPr>
          <w:rFonts w:ascii="Arial" w:hAnsi="Arial" w:cs="Arial"/>
          <w:lang w:val="mk-MK"/>
        </w:rPr>
        <w:t xml:space="preserve"> </w:t>
      </w:r>
      <w:proofErr w:type="spellStart"/>
      <w:r w:rsidRPr="006E599F">
        <w:rPr>
          <w:rFonts w:ascii="Arial" w:hAnsi="Arial" w:cs="Arial"/>
          <w:lang w:val="mk-MK"/>
        </w:rPr>
        <w:t>sale</w:t>
      </w:r>
      <w:proofErr w:type="spellEnd"/>
      <w:r w:rsidRPr="006E599F">
        <w:rPr>
          <w:rFonts w:ascii="Arial" w:hAnsi="Arial" w:cs="Arial"/>
          <w:lang w:val="mk-MK"/>
        </w:rPr>
        <w:t xml:space="preserve"> </w:t>
      </w:r>
      <w:proofErr w:type="spellStart"/>
      <w:r w:rsidRPr="006E599F">
        <w:rPr>
          <w:rFonts w:ascii="Arial" w:hAnsi="Arial" w:cs="Arial"/>
          <w:lang w:val="mk-MK"/>
        </w:rPr>
        <w:t>are</w:t>
      </w:r>
      <w:proofErr w:type="spellEnd"/>
      <w:r w:rsidRPr="006E599F">
        <w:rPr>
          <w:rFonts w:ascii="Arial" w:hAnsi="Arial" w:cs="Arial"/>
          <w:lang w:val="mk-MK"/>
        </w:rPr>
        <w:t xml:space="preserve"> </w:t>
      </w:r>
      <w:proofErr w:type="spellStart"/>
      <w:r w:rsidRPr="006E599F">
        <w:rPr>
          <w:rFonts w:ascii="Arial" w:hAnsi="Arial" w:cs="Arial"/>
          <w:lang w:val="mk-MK"/>
        </w:rPr>
        <w:t>non-derivatives</w:t>
      </w:r>
      <w:proofErr w:type="spellEnd"/>
      <w:r w:rsidRPr="006E599F">
        <w:rPr>
          <w:rFonts w:ascii="Arial" w:hAnsi="Arial" w:cs="Arial"/>
          <w:lang w:val="mk-MK"/>
        </w:rPr>
        <w:t xml:space="preserve"> </w:t>
      </w:r>
      <w:proofErr w:type="spellStart"/>
      <w:r w:rsidRPr="006E599F">
        <w:rPr>
          <w:rFonts w:ascii="Arial" w:hAnsi="Arial" w:cs="Arial"/>
          <w:lang w:val="mk-MK"/>
        </w:rPr>
        <w:t>that</w:t>
      </w:r>
      <w:proofErr w:type="spellEnd"/>
      <w:r w:rsidRPr="006E599F">
        <w:rPr>
          <w:rFonts w:ascii="Arial" w:hAnsi="Arial" w:cs="Arial"/>
          <w:lang w:val="mk-MK"/>
        </w:rPr>
        <w:t xml:space="preserve"> </w:t>
      </w:r>
      <w:proofErr w:type="spellStart"/>
      <w:r w:rsidRPr="006E599F">
        <w:rPr>
          <w:rFonts w:ascii="Arial" w:hAnsi="Arial" w:cs="Arial"/>
          <w:lang w:val="mk-MK"/>
        </w:rPr>
        <w:t>are</w:t>
      </w:r>
      <w:proofErr w:type="spellEnd"/>
      <w:r w:rsidRPr="006E599F">
        <w:rPr>
          <w:rFonts w:ascii="Arial" w:hAnsi="Arial" w:cs="Arial"/>
          <w:lang w:val="mk-MK"/>
        </w:rPr>
        <w:t xml:space="preserve"> </w:t>
      </w:r>
      <w:proofErr w:type="spellStart"/>
      <w:r w:rsidRPr="006E599F">
        <w:rPr>
          <w:rFonts w:ascii="Arial" w:hAnsi="Arial" w:cs="Arial"/>
          <w:lang w:val="mk-MK"/>
        </w:rPr>
        <w:t>either</w:t>
      </w:r>
      <w:proofErr w:type="spellEnd"/>
      <w:r w:rsidRPr="006E599F">
        <w:rPr>
          <w:rFonts w:ascii="Arial" w:hAnsi="Arial" w:cs="Arial"/>
          <w:lang w:val="mk-MK"/>
        </w:rPr>
        <w:t xml:space="preserve"> </w:t>
      </w:r>
      <w:proofErr w:type="spellStart"/>
      <w:r w:rsidRPr="006557D5">
        <w:rPr>
          <w:rFonts w:ascii="Arial" w:hAnsi="Arial" w:cs="Arial"/>
          <w:lang w:val="mk-MK"/>
        </w:rPr>
        <w:t>classified</w:t>
      </w:r>
      <w:proofErr w:type="spellEnd"/>
      <w:r w:rsidRPr="006E599F">
        <w:rPr>
          <w:rFonts w:ascii="Arial" w:hAnsi="Arial" w:cs="Arial"/>
          <w:lang w:val="mk-MK"/>
        </w:rPr>
        <w:t xml:space="preserve"> </w:t>
      </w:r>
      <w:proofErr w:type="spellStart"/>
      <w:r w:rsidRPr="006E599F">
        <w:rPr>
          <w:rFonts w:ascii="Arial" w:hAnsi="Arial" w:cs="Arial"/>
          <w:lang w:val="mk-MK"/>
        </w:rPr>
        <w:t>in</w:t>
      </w:r>
      <w:proofErr w:type="spellEnd"/>
      <w:r w:rsidRPr="006E599F">
        <w:rPr>
          <w:rFonts w:ascii="Arial" w:hAnsi="Arial" w:cs="Arial"/>
          <w:lang w:val="mk-MK"/>
        </w:rPr>
        <w:t xml:space="preserve"> </w:t>
      </w:r>
      <w:proofErr w:type="spellStart"/>
      <w:r w:rsidRPr="006E599F">
        <w:rPr>
          <w:rFonts w:ascii="Arial" w:hAnsi="Arial" w:cs="Arial"/>
          <w:lang w:val="mk-MK"/>
        </w:rPr>
        <w:t>this</w:t>
      </w:r>
      <w:proofErr w:type="spellEnd"/>
      <w:r w:rsidRPr="006E599F">
        <w:rPr>
          <w:rFonts w:ascii="Arial" w:hAnsi="Arial" w:cs="Arial"/>
          <w:lang w:val="mk-MK"/>
        </w:rPr>
        <w:t xml:space="preserve"> </w:t>
      </w:r>
      <w:proofErr w:type="spellStart"/>
      <w:r w:rsidRPr="006E599F">
        <w:rPr>
          <w:rFonts w:ascii="Arial" w:hAnsi="Arial" w:cs="Arial"/>
          <w:lang w:val="mk-MK"/>
        </w:rPr>
        <w:t>category</w:t>
      </w:r>
      <w:proofErr w:type="spellEnd"/>
      <w:r w:rsidRPr="006E599F">
        <w:rPr>
          <w:rFonts w:ascii="Arial" w:hAnsi="Arial" w:cs="Arial"/>
          <w:lang w:val="mk-MK"/>
        </w:rPr>
        <w:t xml:space="preserve"> </w:t>
      </w:r>
      <w:proofErr w:type="spellStart"/>
      <w:r w:rsidRPr="006E599F">
        <w:rPr>
          <w:rFonts w:ascii="Arial" w:hAnsi="Arial" w:cs="Arial"/>
          <w:lang w:val="mk-MK"/>
        </w:rPr>
        <w:t>or</w:t>
      </w:r>
      <w:proofErr w:type="spellEnd"/>
      <w:r w:rsidRPr="006E599F">
        <w:rPr>
          <w:rFonts w:ascii="Arial" w:hAnsi="Arial" w:cs="Arial"/>
          <w:lang w:val="mk-MK"/>
        </w:rPr>
        <w:t xml:space="preserve"> </w:t>
      </w:r>
      <w:proofErr w:type="spellStart"/>
      <w:r w:rsidRPr="006E599F">
        <w:rPr>
          <w:rFonts w:ascii="Arial" w:hAnsi="Arial" w:cs="Arial"/>
          <w:lang w:val="mk-MK"/>
        </w:rPr>
        <w:t>not</w:t>
      </w:r>
      <w:proofErr w:type="spellEnd"/>
      <w:r w:rsidRPr="006E599F">
        <w:rPr>
          <w:rFonts w:ascii="Arial" w:hAnsi="Arial" w:cs="Arial"/>
          <w:lang w:val="mk-MK"/>
        </w:rPr>
        <w:t xml:space="preserve"> </w:t>
      </w:r>
      <w:proofErr w:type="spellStart"/>
      <w:r w:rsidRPr="006E599F">
        <w:rPr>
          <w:rFonts w:ascii="Arial" w:hAnsi="Arial" w:cs="Arial"/>
          <w:lang w:val="mk-MK"/>
        </w:rPr>
        <w:t>classified</w:t>
      </w:r>
      <w:proofErr w:type="spellEnd"/>
      <w:r w:rsidRPr="006E599F">
        <w:rPr>
          <w:rFonts w:ascii="Arial" w:hAnsi="Arial" w:cs="Arial"/>
          <w:lang w:val="mk-MK"/>
        </w:rPr>
        <w:t xml:space="preserve"> </w:t>
      </w:r>
      <w:proofErr w:type="spellStart"/>
      <w:r w:rsidRPr="006E599F">
        <w:rPr>
          <w:rFonts w:ascii="Arial" w:hAnsi="Arial" w:cs="Arial"/>
          <w:lang w:val="mk-MK"/>
        </w:rPr>
        <w:t>in</w:t>
      </w:r>
      <w:proofErr w:type="spellEnd"/>
      <w:r w:rsidRPr="006E599F">
        <w:rPr>
          <w:rFonts w:ascii="Arial" w:hAnsi="Arial" w:cs="Arial"/>
          <w:lang w:val="mk-MK"/>
        </w:rPr>
        <w:t xml:space="preserve"> </w:t>
      </w:r>
      <w:proofErr w:type="spellStart"/>
      <w:r w:rsidRPr="006E599F">
        <w:rPr>
          <w:rFonts w:ascii="Arial" w:hAnsi="Arial" w:cs="Arial"/>
          <w:lang w:val="mk-MK"/>
        </w:rPr>
        <w:t>any</w:t>
      </w:r>
      <w:proofErr w:type="spellEnd"/>
      <w:r w:rsidRPr="006E599F">
        <w:rPr>
          <w:rFonts w:ascii="Arial" w:hAnsi="Arial" w:cs="Arial"/>
          <w:lang w:val="mk-MK"/>
        </w:rPr>
        <w:t xml:space="preserve"> </w:t>
      </w:r>
      <w:proofErr w:type="spellStart"/>
      <w:r w:rsidRPr="006E599F">
        <w:rPr>
          <w:rFonts w:ascii="Arial" w:hAnsi="Arial" w:cs="Arial"/>
          <w:lang w:val="mk-MK"/>
        </w:rPr>
        <w:t>of</w:t>
      </w:r>
      <w:proofErr w:type="spellEnd"/>
      <w:r w:rsidRPr="006E599F">
        <w:rPr>
          <w:rFonts w:ascii="Arial" w:hAnsi="Arial" w:cs="Arial"/>
          <w:lang w:val="mk-MK"/>
        </w:rPr>
        <w:t xml:space="preserve"> </w:t>
      </w:r>
      <w:proofErr w:type="spellStart"/>
      <w:r w:rsidRPr="006E599F">
        <w:rPr>
          <w:rFonts w:ascii="Arial" w:hAnsi="Arial" w:cs="Arial"/>
          <w:lang w:val="mk-MK"/>
        </w:rPr>
        <w:t>the</w:t>
      </w:r>
      <w:proofErr w:type="spellEnd"/>
      <w:r w:rsidRPr="006E599F">
        <w:rPr>
          <w:rFonts w:ascii="Arial" w:hAnsi="Arial" w:cs="Arial"/>
          <w:lang w:val="mk-MK"/>
        </w:rPr>
        <w:t xml:space="preserve"> </w:t>
      </w:r>
      <w:proofErr w:type="spellStart"/>
      <w:r w:rsidRPr="006E599F">
        <w:rPr>
          <w:rFonts w:ascii="Arial" w:hAnsi="Arial" w:cs="Arial"/>
          <w:lang w:val="mk-MK"/>
        </w:rPr>
        <w:t>other</w:t>
      </w:r>
      <w:proofErr w:type="spellEnd"/>
      <w:r w:rsidRPr="006E599F">
        <w:rPr>
          <w:rFonts w:ascii="Arial" w:hAnsi="Arial" w:cs="Arial"/>
          <w:lang w:val="mk-MK"/>
        </w:rPr>
        <w:t xml:space="preserve"> </w:t>
      </w:r>
      <w:proofErr w:type="spellStart"/>
      <w:r w:rsidRPr="006E599F">
        <w:rPr>
          <w:rFonts w:ascii="Arial" w:hAnsi="Arial" w:cs="Arial"/>
          <w:lang w:val="mk-MK"/>
        </w:rPr>
        <w:t>categories</w:t>
      </w:r>
      <w:proofErr w:type="spellEnd"/>
      <w:r w:rsidRPr="006E599F">
        <w:rPr>
          <w:rFonts w:ascii="Arial" w:hAnsi="Arial" w:cs="Arial"/>
          <w:lang w:val="mk-MK"/>
        </w:rPr>
        <w:t xml:space="preserve">. </w:t>
      </w:r>
      <w:proofErr w:type="spellStart"/>
      <w:r w:rsidRPr="006E599F">
        <w:rPr>
          <w:rFonts w:ascii="Arial" w:hAnsi="Arial" w:cs="Arial"/>
          <w:lang w:val="mk-MK"/>
        </w:rPr>
        <w:t>Financial</w:t>
      </w:r>
      <w:proofErr w:type="spellEnd"/>
      <w:r w:rsidRPr="006E599F">
        <w:rPr>
          <w:rFonts w:ascii="Arial" w:hAnsi="Arial" w:cs="Arial"/>
          <w:lang w:val="mk-MK"/>
        </w:rPr>
        <w:t xml:space="preserve"> </w:t>
      </w:r>
      <w:proofErr w:type="spellStart"/>
      <w:r w:rsidRPr="006E599F">
        <w:rPr>
          <w:rFonts w:ascii="Arial" w:hAnsi="Arial" w:cs="Arial"/>
          <w:lang w:val="mk-MK"/>
        </w:rPr>
        <w:t>assets</w:t>
      </w:r>
      <w:proofErr w:type="spellEnd"/>
      <w:r w:rsidRPr="006E599F">
        <w:rPr>
          <w:rFonts w:ascii="Arial" w:hAnsi="Arial" w:cs="Arial"/>
          <w:lang w:val="mk-MK"/>
        </w:rPr>
        <w:t xml:space="preserve"> </w:t>
      </w:r>
      <w:proofErr w:type="spellStart"/>
      <w:r w:rsidRPr="006E599F">
        <w:rPr>
          <w:rFonts w:ascii="Arial" w:hAnsi="Arial" w:cs="Arial"/>
          <w:lang w:val="mk-MK"/>
        </w:rPr>
        <w:t>available</w:t>
      </w:r>
      <w:proofErr w:type="spellEnd"/>
      <w:r w:rsidRPr="006E599F">
        <w:rPr>
          <w:rFonts w:ascii="Arial" w:hAnsi="Arial" w:cs="Arial"/>
          <w:lang w:val="mk-MK"/>
        </w:rPr>
        <w:t xml:space="preserve"> </w:t>
      </w:r>
      <w:proofErr w:type="spellStart"/>
      <w:r w:rsidRPr="006E599F">
        <w:rPr>
          <w:rFonts w:ascii="Arial" w:hAnsi="Arial" w:cs="Arial"/>
          <w:lang w:val="mk-MK"/>
        </w:rPr>
        <w:t>for</w:t>
      </w:r>
      <w:proofErr w:type="spellEnd"/>
      <w:r w:rsidRPr="006E599F">
        <w:rPr>
          <w:rFonts w:ascii="Arial" w:hAnsi="Arial" w:cs="Arial"/>
          <w:lang w:val="mk-MK"/>
        </w:rPr>
        <w:t xml:space="preserve"> </w:t>
      </w:r>
      <w:proofErr w:type="spellStart"/>
      <w:r w:rsidRPr="006E599F">
        <w:rPr>
          <w:rFonts w:ascii="Arial" w:hAnsi="Arial" w:cs="Arial"/>
          <w:lang w:val="mk-MK"/>
        </w:rPr>
        <w:t>sale</w:t>
      </w:r>
      <w:proofErr w:type="spellEnd"/>
      <w:r w:rsidRPr="006E599F">
        <w:rPr>
          <w:rFonts w:ascii="Arial" w:hAnsi="Arial" w:cs="Arial"/>
          <w:lang w:val="mk-MK"/>
        </w:rPr>
        <w:t xml:space="preserve"> </w:t>
      </w:r>
      <w:proofErr w:type="spellStart"/>
      <w:r w:rsidRPr="006E599F">
        <w:rPr>
          <w:rFonts w:ascii="Arial" w:hAnsi="Arial" w:cs="Arial"/>
          <w:lang w:val="mk-MK"/>
        </w:rPr>
        <w:t>are</w:t>
      </w:r>
      <w:proofErr w:type="spellEnd"/>
      <w:r w:rsidRPr="006E599F">
        <w:rPr>
          <w:rFonts w:ascii="Arial" w:hAnsi="Arial" w:cs="Arial"/>
          <w:lang w:val="mk-MK"/>
        </w:rPr>
        <w:t xml:space="preserve"> </w:t>
      </w:r>
      <w:proofErr w:type="spellStart"/>
      <w:r w:rsidRPr="006E599F">
        <w:rPr>
          <w:rFonts w:ascii="Arial" w:hAnsi="Arial" w:cs="Arial"/>
          <w:lang w:val="mk-MK"/>
        </w:rPr>
        <w:t>intended</w:t>
      </w:r>
      <w:proofErr w:type="spellEnd"/>
      <w:r w:rsidRPr="006E599F">
        <w:rPr>
          <w:rFonts w:ascii="Arial" w:hAnsi="Arial" w:cs="Arial"/>
          <w:lang w:val="mk-MK"/>
        </w:rPr>
        <w:t xml:space="preserve"> </w:t>
      </w:r>
      <w:proofErr w:type="spellStart"/>
      <w:r w:rsidRPr="006E599F">
        <w:rPr>
          <w:rFonts w:ascii="Arial" w:hAnsi="Arial" w:cs="Arial"/>
          <w:lang w:val="mk-MK"/>
        </w:rPr>
        <w:t>to</w:t>
      </w:r>
      <w:proofErr w:type="spellEnd"/>
      <w:r w:rsidRPr="006E599F">
        <w:rPr>
          <w:rFonts w:ascii="Arial" w:hAnsi="Arial" w:cs="Arial"/>
          <w:lang w:val="mk-MK"/>
        </w:rPr>
        <w:t xml:space="preserve"> </w:t>
      </w:r>
      <w:proofErr w:type="spellStart"/>
      <w:r w:rsidRPr="006E599F">
        <w:rPr>
          <w:rFonts w:ascii="Arial" w:hAnsi="Arial" w:cs="Arial"/>
          <w:lang w:val="mk-MK"/>
        </w:rPr>
        <w:t>be</w:t>
      </w:r>
      <w:proofErr w:type="spellEnd"/>
      <w:r w:rsidRPr="006E599F">
        <w:rPr>
          <w:rFonts w:ascii="Arial" w:hAnsi="Arial" w:cs="Arial"/>
          <w:lang w:val="mk-MK"/>
        </w:rPr>
        <w:t xml:space="preserve"> </w:t>
      </w:r>
      <w:proofErr w:type="spellStart"/>
      <w:r w:rsidRPr="006E599F">
        <w:rPr>
          <w:rFonts w:ascii="Arial" w:hAnsi="Arial" w:cs="Arial"/>
          <w:lang w:val="mk-MK"/>
        </w:rPr>
        <w:t>held</w:t>
      </w:r>
      <w:proofErr w:type="spellEnd"/>
      <w:r w:rsidRPr="006E599F">
        <w:rPr>
          <w:rFonts w:ascii="Arial" w:hAnsi="Arial" w:cs="Arial"/>
          <w:lang w:val="mk-MK"/>
        </w:rPr>
        <w:t xml:space="preserve"> </w:t>
      </w:r>
      <w:proofErr w:type="spellStart"/>
      <w:r w:rsidRPr="006E599F">
        <w:rPr>
          <w:rFonts w:ascii="Arial" w:hAnsi="Arial" w:cs="Arial"/>
          <w:lang w:val="mk-MK"/>
        </w:rPr>
        <w:t>for</w:t>
      </w:r>
      <w:proofErr w:type="spellEnd"/>
      <w:r w:rsidRPr="006E599F">
        <w:rPr>
          <w:rFonts w:ascii="Arial" w:hAnsi="Arial" w:cs="Arial"/>
          <w:lang w:val="mk-MK"/>
        </w:rPr>
        <w:t xml:space="preserve"> </w:t>
      </w:r>
      <w:proofErr w:type="spellStart"/>
      <w:r w:rsidRPr="006E599F">
        <w:rPr>
          <w:rFonts w:ascii="Arial" w:hAnsi="Arial" w:cs="Arial"/>
          <w:lang w:val="mk-MK"/>
        </w:rPr>
        <w:t>an</w:t>
      </w:r>
      <w:proofErr w:type="spellEnd"/>
      <w:r w:rsidRPr="006E599F">
        <w:rPr>
          <w:rFonts w:ascii="Arial" w:hAnsi="Arial" w:cs="Arial"/>
          <w:lang w:val="mk-MK"/>
        </w:rPr>
        <w:t xml:space="preserve"> </w:t>
      </w:r>
      <w:proofErr w:type="spellStart"/>
      <w:r w:rsidRPr="006E599F">
        <w:rPr>
          <w:rFonts w:ascii="Arial" w:hAnsi="Arial" w:cs="Arial"/>
          <w:lang w:val="mk-MK"/>
        </w:rPr>
        <w:t>indefinite</w:t>
      </w:r>
      <w:proofErr w:type="spellEnd"/>
      <w:r w:rsidRPr="006E599F">
        <w:rPr>
          <w:rFonts w:ascii="Arial" w:hAnsi="Arial" w:cs="Arial"/>
          <w:lang w:val="mk-MK"/>
        </w:rPr>
        <w:t xml:space="preserve"> </w:t>
      </w:r>
      <w:proofErr w:type="spellStart"/>
      <w:r w:rsidRPr="006E599F">
        <w:rPr>
          <w:rFonts w:ascii="Arial" w:hAnsi="Arial" w:cs="Arial"/>
          <w:lang w:val="mk-MK"/>
        </w:rPr>
        <w:t>period</w:t>
      </w:r>
      <w:proofErr w:type="spellEnd"/>
      <w:r w:rsidRPr="006E599F">
        <w:rPr>
          <w:rFonts w:ascii="Arial" w:hAnsi="Arial" w:cs="Arial"/>
          <w:lang w:val="mk-MK"/>
        </w:rPr>
        <w:t xml:space="preserve"> </w:t>
      </w:r>
      <w:proofErr w:type="spellStart"/>
      <w:r w:rsidRPr="006E599F">
        <w:rPr>
          <w:rFonts w:ascii="Arial" w:hAnsi="Arial" w:cs="Arial"/>
          <w:lang w:val="mk-MK"/>
        </w:rPr>
        <w:t>of</w:t>
      </w:r>
      <w:proofErr w:type="spellEnd"/>
      <w:r w:rsidRPr="006E599F">
        <w:rPr>
          <w:rFonts w:ascii="Arial" w:hAnsi="Arial" w:cs="Arial"/>
          <w:lang w:val="mk-MK"/>
        </w:rPr>
        <w:t xml:space="preserve"> </w:t>
      </w:r>
      <w:proofErr w:type="spellStart"/>
      <w:r w:rsidRPr="006E599F">
        <w:rPr>
          <w:rFonts w:ascii="Arial" w:hAnsi="Arial" w:cs="Arial"/>
          <w:lang w:val="mk-MK"/>
        </w:rPr>
        <w:t>time</w:t>
      </w:r>
      <w:proofErr w:type="spellEnd"/>
      <w:r w:rsidRPr="006E599F">
        <w:rPr>
          <w:rFonts w:ascii="Arial" w:hAnsi="Arial" w:cs="Arial"/>
          <w:lang w:val="mk-MK"/>
        </w:rPr>
        <w:t xml:space="preserve">, </w:t>
      </w:r>
      <w:proofErr w:type="spellStart"/>
      <w:r w:rsidRPr="006E599F">
        <w:rPr>
          <w:rFonts w:ascii="Arial" w:hAnsi="Arial" w:cs="Arial"/>
          <w:lang w:val="mk-MK"/>
        </w:rPr>
        <w:t>which</w:t>
      </w:r>
      <w:proofErr w:type="spellEnd"/>
      <w:r w:rsidRPr="006E599F">
        <w:rPr>
          <w:rFonts w:ascii="Arial" w:hAnsi="Arial" w:cs="Arial"/>
          <w:lang w:val="mk-MK"/>
        </w:rPr>
        <w:t xml:space="preserve"> </w:t>
      </w:r>
      <w:proofErr w:type="spellStart"/>
      <w:r w:rsidRPr="006E599F">
        <w:rPr>
          <w:rFonts w:ascii="Arial" w:hAnsi="Arial" w:cs="Arial"/>
          <w:lang w:val="mk-MK"/>
        </w:rPr>
        <w:t>may</w:t>
      </w:r>
      <w:proofErr w:type="spellEnd"/>
      <w:r w:rsidRPr="006E599F">
        <w:rPr>
          <w:rFonts w:ascii="Arial" w:hAnsi="Arial" w:cs="Arial"/>
          <w:lang w:val="mk-MK"/>
        </w:rPr>
        <w:t xml:space="preserve"> </w:t>
      </w:r>
      <w:proofErr w:type="spellStart"/>
      <w:r w:rsidRPr="006E599F">
        <w:rPr>
          <w:rFonts w:ascii="Arial" w:hAnsi="Arial" w:cs="Arial"/>
          <w:lang w:val="mk-MK"/>
        </w:rPr>
        <w:t>be</w:t>
      </w:r>
      <w:proofErr w:type="spellEnd"/>
      <w:r w:rsidRPr="006E599F">
        <w:rPr>
          <w:rFonts w:ascii="Arial" w:hAnsi="Arial" w:cs="Arial"/>
          <w:lang w:val="mk-MK"/>
        </w:rPr>
        <w:t xml:space="preserve"> </w:t>
      </w:r>
      <w:proofErr w:type="spellStart"/>
      <w:r w:rsidRPr="006E599F">
        <w:rPr>
          <w:rFonts w:ascii="Arial" w:hAnsi="Arial" w:cs="Arial"/>
          <w:lang w:val="mk-MK"/>
        </w:rPr>
        <w:t>sold</w:t>
      </w:r>
      <w:proofErr w:type="spellEnd"/>
      <w:r w:rsidRPr="006E599F">
        <w:rPr>
          <w:rFonts w:ascii="Arial" w:hAnsi="Arial" w:cs="Arial"/>
          <w:lang w:val="mk-MK"/>
        </w:rPr>
        <w:t xml:space="preserve"> </w:t>
      </w:r>
      <w:proofErr w:type="spellStart"/>
      <w:r w:rsidRPr="006E599F">
        <w:rPr>
          <w:rFonts w:ascii="Arial" w:hAnsi="Arial" w:cs="Arial"/>
          <w:lang w:val="mk-MK"/>
        </w:rPr>
        <w:t>in</w:t>
      </w:r>
      <w:proofErr w:type="spellEnd"/>
      <w:r w:rsidRPr="006E599F">
        <w:rPr>
          <w:rFonts w:ascii="Arial" w:hAnsi="Arial" w:cs="Arial"/>
          <w:lang w:val="mk-MK"/>
        </w:rPr>
        <w:t xml:space="preserve"> </w:t>
      </w:r>
      <w:proofErr w:type="spellStart"/>
      <w:r w:rsidRPr="006E599F">
        <w:rPr>
          <w:rFonts w:ascii="Arial" w:hAnsi="Arial" w:cs="Arial"/>
          <w:lang w:val="mk-MK"/>
        </w:rPr>
        <w:t>response</w:t>
      </w:r>
      <w:proofErr w:type="spellEnd"/>
      <w:r w:rsidRPr="006E599F">
        <w:rPr>
          <w:rFonts w:ascii="Arial" w:hAnsi="Arial" w:cs="Arial"/>
          <w:lang w:val="mk-MK"/>
        </w:rPr>
        <w:t xml:space="preserve"> </w:t>
      </w:r>
      <w:proofErr w:type="spellStart"/>
      <w:r w:rsidRPr="006E599F">
        <w:rPr>
          <w:rFonts w:ascii="Arial" w:hAnsi="Arial" w:cs="Arial"/>
          <w:lang w:val="mk-MK"/>
        </w:rPr>
        <w:t>to</w:t>
      </w:r>
      <w:proofErr w:type="spellEnd"/>
      <w:r w:rsidRPr="006E599F">
        <w:rPr>
          <w:rFonts w:ascii="Arial" w:hAnsi="Arial" w:cs="Arial"/>
          <w:lang w:val="mk-MK"/>
        </w:rPr>
        <w:t xml:space="preserve"> </w:t>
      </w:r>
      <w:proofErr w:type="spellStart"/>
      <w:r w:rsidRPr="006E599F">
        <w:rPr>
          <w:rFonts w:ascii="Arial" w:hAnsi="Arial" w:cs="Arial"/>
          <w:lang w:val="mk-MK"/>
        </w:rPr>
        <w:t>needs</w:t>
      </w:r>
      <w:proofErr w:type="spellEnd"/>
      <w:r w:rsidRPr="006E599F">
        <w:rPr>
          <w:rFonts w:ascii="Arial" w:hAnsi="Arial" w:cs="Arial"/>
          <w:lang w:val="mk-MK"/>
        </w:rPr>
        <w:t xml:space="preserve"> </w:t>
      </w:r>
      <w:proofErr w:type="spellStart"/>
      <w:r w:rsidRPr="006E599F">
        <w:rPr>
          <w:rFonts w:ascii="Arial" w:hAnsi="Arial" w:cs="Arial"/>
          <w:lang w:val="mk-MK"/>
        </w:rPr>
        <w:t>for</w:t>
      </w:r>
      <w:proofErr w:type="spellEnd"/>
      <w:r w:rsidRPr="006E599F">
        <w:rPr>
          <w:rFonts w:ascii="Arial" w:hAnsi="Arial" w:cs="Arial"/>
          <w:lang w:val="mk-MK"/>
        </w:rPr>
        <w:t xml:space="preserve"> </w:t>
      </w:r>
      <w:proofErr w:type="spellStart"/>
      <w:r w:rsidRPr="006E599F">
        <w:rPr>
          <w:rFonts w:ascii="Arial" w:hAnsi="Arial" w:cs="Arial"/>
          <w:lang w:val="mk-MK"/>
        </w:rPr>
        <w:t>liquidity</w:t>
      </w:r>
      <w:proofErr w:type="spellEnd"/>
      <w:r w:rsidRPr="006E599F">
        <w:rPr>
          <w:rFonts w:ascii="Arial" w:hAnsi="Arial" w:cs="Arial"/>
          <w:lang w:val="mk-MK"/>
        </w:rPr>
        <w:t xml:space="preserve"> </w:t>
      </w:r>
      <w:proofErr w:type="spellStart"/>
      <w:r w:rsidRPr="006E599F">
        <w:rPr>
          <w:rFonts w:ascii="Arial" w:hAnsi="Arial" w:cs="Arial"/>
          <w:lang w:val="mk-MK"/>
        </w:rPr>
        <w:t>or</w:t>
      </w:r>
      <w:proofErr w:type="spellEnd"/>
      <w:r w:rsidRPr="006E599F">
        <w:rPr>
          <w:rFonts w:ascii="Arial" w:hAnsi="Arial" w:cs="Arial"/>
          <w:lang w:val="mk-MK"/>
        </w:rPr>
        <w:t xml:space="preserve"> </w:t>
      </w:r>
      <w:proofErr w:type="spellStart"/>
      <w:r w:rsidRPr="006E599F">
        <w:rPr>
          <w:rFonts w:ascii="Arial" w:hAnsi="Arial" w:cs="Arial"/>
          <w:lang w:val="mk-MK"/>
        </w:rPr>
        <w:t>changes</w:t>
      </w:r>
      <w:proofErr w:type="spellEnd"/>
      <w:r w:rsidRPr="006E599F">
        <w:rPr>
          <w:rFonts w:ascii="Arial" w:hAnsi="Arial" w:cs="Arial"/>
          <w:lang w:val="mk-MK"/>
        </w:rPr>
        <w:t xml:space="preserve"> </w:t>
      </w:r>
      <w:proofErr w:type="spellStart"/>
      <w:r w:rsidRPr="006E599F">
        <w:rPr>
          <w:rFonts w:ascii="Arial" w:hAnsi="Arial" w:cs="Arial"/>
          <w:lang w:val="mk-MK"/>
        </w:rPr>
        <w:t>in</w:t>
      </w:r>
      <w:proofErr w:type="spellEnd"/>
      <w:r w:rsidRPr="006E599F">
        <w:rPr>
          <w:rFonts w:ascii="Arial" w:hAnsi="Arial" w:cs="Arial"/>
          <w:lang w:val="mk-MK"/>
        </w:rPr>
        <w:t xml:space="preserve"> </w:t>
      </w:r>
      <w:proofErr w:type="spellStart"/>
      <w:r w:rsidRPr="006E599F">
        <w:rPr>
          <w:rFonts w:ascii="Arial" w:hAnsi="Arial" w:cs="Arial"/>
          <w:lang w:val="mk-MK"/>
        </w:rPr>
        <w:t>interest</w:t>
      </w:r>
      <w:proofErr w:type="spellEnd"/>
      <w:r w:rsidRPr="006E599F">
        <w:rPr>
          <w:rFonts w:ascii="Arial" w:hAnsi="Arial" w:cs="Arial"/>
          <w:lang w:val="mk-MK"/>
        </w:rPr>
        <w:t xml:space="preserve"> </w:t>
      </w:r>
      <w:proofErr w:type="spellStart"/>
      <w:r w:rsidRPr="006E599F">
        <w:rPr>
          <w:rFonts w:ascii="Arial" w:hAnsi="Arial" w:cs="Arial"/>
          <w:lang w:val="mk-MK"/>
        </w:rPr>
        <w:t>rates</w:t>
      </w:r>
      <w:proofErr w:type="spellEnd"/>
      <w:r w:rsidRPr="006E599F">
        <w:rPr>
          <w:rFonts w:ascii="Arial" w:hAnsi="Arial" w:cs="Arial"/>
          <w:lang w:val="mk-MK"/>
        </w:rPr>
        <w:t xml:space="preserve">, </w:t>
      </w:r>
      <w:proofErr w:type="spellStart"/>
      <w:r w:rsidRPr="006E599F">
        <w:rPr>
          <w:rFonts w:ascii="Arial" w:hAnsi="Arial" w:cs="Arial"/>
          <w:lang w:val="mk-MK"/>
        </w:rPr>
        <w:t>exchange</w:t>
      </w:r>
      <w:proofErr w:type="spellEnd"/>
      <w:r w:rsidRPr="006E599F">
        <w:rPr>
          <w:rFonts w:ascii="Arial" w:hAnsi="Arial" w:cs="Arial"/>
          <w:lang w:val="mk-MK"/>
        </w:rPr>
        <w:t xml:space="preserve"> </w:t>
      </w:r>
      <w:proofErr w:type="spellStart"/>
      <w:r w:rsidRPr="006E599F">
        <w:rPr>
          <w:rFonts w:ascii="Arial" w:hAnsi="Arial" w:cs="Arial"/>
          <w:lang w:val="mk-MK"/>
        </w:rPr>
        <w:t>rates</w:t>
      </w:r>
      <w:proofErr w:type="spellEnd"/>
      <w:r w:rsidRPr="006E599F">
        <w:rPr>
          <w:rFonts w:ascii="Arial" w:hAnsi="Arial" w:cs="Arial"/>
          <w:lang w:val="mk-MK"/>
        </w:rPr>
        <w:t xml:space="preserve"> </w:t>
      </w:r>
      <w:proofErr w:type="spellStart"/>
      <w:r w:rsidRPr="006E599F">
        <w:rPr>
          <w:rFonts w:ascii="Arial" w:hAnsi="Arial" w:cs="Arial"/>
          <w:lang w:val="mk-MK"/>
        </w:rPr>
        <w:t>or</w:t>
      </w:r>
      <w:proofErr w:type="spellEnd"/>
      <w:r w:rsidRPr="006E599F">
        <w:rPr>
          <w:rFonts w:ascii="Arial" w:hAnsi="Arial" w:cs="Arial"/>
          <w:lang w:val="mk-MK"/>
        </w:rPr>
        <w:t xml:space="preserve"> </w:t>
      </w:r>
      <w:proofErr w:type="spellStart"/>
      <w:r w:rsidRPr="006E599F">
        <w:rPr>
          <w:rFonts w:ascii="Arial" w:hAnsi="Arial" w:cs="Arial"/>
          <w:lang w:val="mk-MK"/>
        </w:rPr>
        <w:t>share</w:t>
      </w:r>
      <w:proofErr w:type="spellEnd"/>
      <w:r w:rsidRPr="006E599F">
        <w:rPr>
          <w:rFonts w:ascii="Arial" w:hAnsi="Arial" w:cs="Arial"/>
          <w:lang w:val="mk-MK"/>
        </w:rPr>
        <w:t xml:space="preserve"> </w:t>
      </w:r>
      <w:proofErr w:type="spellStart"/>
      <w:r w:rsidRPr="006E599F">
        <w:rPr>
          <w:rFonts w:ascii="Arial" w:hAnsi="Arial" w:cs="Arial"/>
          <w:lang w:val="mk-MK"/>
        </w:rPr>
        <w:t>prices</w:t>
      </w:r>
      <w:proofErr w:type="spellEnd"/>
      <w:r w:rsidRPr="006E599F">
        <w:rPr>
          <w:rFonts w:ascii="Arial" w:hAnsi="Arial" w:cs="Arial"/>
          <w:lang w:val="mk-MK"/>
        </w:rPr>
        <w:t xml:space="preserve">. </w:t>
      </w:r>
      <w:proofErr w:type="spellStart"/>
      <w:r w:rsidRPr="006E599F">
        <w:rPr>
          <w:rFonts w:ascii="Arial" w:hAnsi="Arial" w:cs="Arial"/>
          <w:lang w:val="mk-MK"/>
        </w:rPr>
        <w:t>The</w:t>
      </w:r>
      <w:proofErr w:type="spellEnd"/>
      <w:r w:rsidRPr="006E599F">
        <w:rPr>
          <w:rFonts w:ascii="Arial" w:hAnsi="Arial" w:cs="Arial"/>
          <w:lang w:val="mk-MK"/>
        </w:rPr>
        <w:t xml:space="preserve"> </w:t>
      </w:r>
      <w:proofErr w:type="spellStart"/>
      <w:r w:rsidRPr="006E599F">
        <w:rPr>
          <w:rFonts w:ascii="Arial" w:hAnsi="Arial" w:cs="Arial"/>
          <w:lang w:val="mk-MK"/>
        </w:rPr>
        <w:t>Fund</w:t>
      </w:r>
      <w:proofErr w:type="spellEnd"/>
      <w:r w:rsidRPr="006E599F">
        <w:rPr>
          <w:rFonts w:ascii="Arial" w:hAnsi="Arial" w:cs="Arial"/>
          <w:lang w:val="mk-MK"/>
        </w:rPr>
        <w:t xml:space="preserve"> </w:t>
      </w:r>
      <w:proofErr w:type="spellStart"/>
      <w:r w:rsidRPr="006E599F">
        <w:rPr>
          <w:rFonts w:ascii="Arial" w:hAnsi="Arial" w:cs="Arial"/>
          <w:lang w:val="mk-MK"/>
        </w:rPr>
        <w:t>has</w:t>
      </w:r>
      <w:proofErr w:type="spellEnd"/>
      <w:r w:rsidRPr="006E599F">
        <w:rPr>
          <w:rFonts w:ascii="Arial" w:hAnsi="Arial" w:cs="Arial"/>
          <w:lang w:val="mk-MK"/>
        </w:rPr>
        <w:t xml:space="preserve"> </w:t>
      </w:r>
      <w:proofErr w:type="spellStart"/>
      <w:r w:rsidRPr="006E599F">
        <w:rPr>
          <w:rFonts w:ascii="Arial" w:hAnsi="Arial" w:cs="Arial"/>
          <w:lang w:val="mk-MK"/>
        </w:rPr>
        <w:t>no</w:t>
      </w:r>
      <w:proofErr w:type="spellEnd"/>
      <w:r w:rsidRPr="006E599F">
        <w:rPr>
          <w:rFonts w:ascii="Arial" w:hAnsi="Arial" w:cs="Arial"/>
          <w:lang w:val="mk-MK"/>
        </w:rPr>
        <w:t xml:space="preserve"> </w:t>
      </w:r>
      <w:proofErr w:type="spellStart"/>
      <w:r w:rsidRPr="006E599F">
        <w:rPr>
          <w:rFonts w:ascii="Arial" w:hAnsi="Arial" w:cs="Arial"/>
          <w:lang w:val="mk-MK"/>
        </w:rPr>
        <w:t>assets</w:t>
      </w:r>
      <w:proofErr w:type="spellEnd"/>
      <w:r w:rsidRPr="006E599F">
        <w:rPr>
          <w:rFonts w:ascii="Arial" w:hAnsi="Arial" w:cs="Arial"/>
          <w:lang w:val="mk-MK"/>
        </w:rPr>
        <w:t xml:space="preserve"> </w:t>
      </w:r>
      <w:proofErr w:type="spellStart"/>
      <w:r w:rsidRPr="006E599F">
        <w:rPr>
          <w:rFonts w:ascii="Arial" w:hAnsi="Arial" w:cs="Arial"/>
          <w:lang w:val="mk-MK"/>
        </w:rPr>
        <w:t>classified</w:t>
      </w:r>
      <w:proofErr w:type="spellEnd"/>
      <w:r w:rsidRPr="006E599F">
        <w:rPr>
          <w:rFonts w:ascii="Arial" w:hAnsi="Arial" w:cs="Arial"/>
          <w:lang w:val="mk-MK"/>
        </w:rPr>
        <w:t xml:space="preserve"> </w:t>
      </w:r>
      <w:proofErr w:type="spellStart"/>
      <w:r w:rsidRPr="006E599F">
        <w:rPr>
          <w:rFonts w:ascii="Arial" w:hAnsi="Arial" w:cs="Arial"/>
          <w:lang w:val="mk-MK"/>
        </w:rPr>
        <w:t>in</w:t>
      </w:r>
      <w:proofErr w:type="spellEnd"/>
      <w:r w:rsidRPr="006E599F">
        <w:rPr>
          <w:rFonts w:ascii="Arial" w:hAnsi="Arial" w:cs="Arial"/>
          <w:lang w:val="mk-MK"/>
        </w:rPr>
        <w:t xml:space="preserve"> </w:t>
      </w:r>
      <w:proofErr w:type="spellStart"/>
      <w:r w:rsidRPr="006E599F">
        <w:rPr>
          <w:rFonts w:ascii="Arial" w:hAnsi="Arial" w:cs="Arial"/>
          <w:lang w:val="mk-MK"/>
        </w:rPr>
        <w:t>this</w:t>
      </w:r>
      <w:proofErr w:type="spellEnd"/>
      <w:r w:rsidRPr="006E599F">
        <w:rPr>
          <w:rFonts w:ascii="Arial" w:hAnsi="Arial" w:cs="Arial"/>
          <w:lang w:val="mk-MK"/>
        </w:rPr>
        <w:t xml:space="preserve"> </w:t>
      </w:r>
      <w:proofErr w:type="spellStart"/>
      <w:r w:rsidRPr="006E599F">
        <w:rPr>
          <w:rFonts w:ascii="Arial" w:hAnsi="Arial" w:cs="Arial"/>
          <w:lang w:val="mk-MK"/>
        </w:rPr>
        <w:t>category</w:t>
      </w:r>
      <w:proofErr w:type="spellEnd"/>
      <w:r w:rsidRPr="006E599F">
        <w:rPr>
          <w:rFonts w:ascii="Arial" w:hAnsi="Arial" w:cs="Arial"/>
          <w:lang w:val="mk-MK"/>
        </w:rPr>
        <w:t xml:space="preserve"> </w:t>
      </w:r>
      <w:proofErr w:type="spellStart"/>
      <w:r w:rsidRPr="006E599F">
        <w:rPr>
          <w:rFonts w:ascii="Arial" w:hAnsi="Arial" w:cs="Arial"/>
          <w:lang w:val="mk-MK"/>
        </w:rPr>
        <w:t>at</w:t>
      </w:r>
      <w:proofErr w:type="spellEnd"/>
      <w:r w:rsidRPr="006E599F">
        <w:rPr>
          <w:rFonts w:ascii="Arial" w:hAnsi="Arial" w:cs="Arial"/>
          <w:lang w:val="mk-MK"/>
        </w:rPr>
        <w:t xml:space="preserve"> </w:t>
      </w:r>
      <w:proofErr w:type="spellStart"/>
      <w:r w:rsidRPr="006E599F">
        <w:rPr>
          <w:rFonts w:ascii="Arial" w:hAnsi="Arial" w:cs="Arial"/>
          <w:lang w:val="mk-MK"/>
        </w:rPr>
        <w:t>the</w:t>
      </w:r>
      <w:proofErr w:type="spellEnd"/>
      <w:r w:rsidRPr="006E599F">
        <w:rPr>
          <w:rFonts w:ascii="Arial" w:hAnsi="Arial" w:cs="Arial"/>
          <w:lang w:val="mk-MK"/>
        </w:rPr>
        <w:t xml:space="preserve"> </w:t>
      </w:r>
      <w:proofErr w:type="spellStart"/>
      <w:r w:rsidRPr="006E599F">
        <w:rPr>
          <w:rFonts w:ascii="Arial" w:hAnsi="Arial" w:cs="Arial"/>
          <w:lang w:val="mk-MK"/>
        </w:rPr>
        <w:t>Statement</w:t>
      </w:r>
      <w:proofErr w:type="spellEnd"/>
      <w:r w:rsidRPr="006E599F">
        <w:rPr>
          <w:rFonts w:ascii="Arial" w:hAnsi="Arial" w:cs="Arial"/>
          <w:lang w:val="mk-MK"/>
        </w:rPr>
        <w:t xml:space="preserve"> </w:t>
      </w:r>
      <w:proofErr w:type="spellStart"/>
      <w:r w:rsidRPr="006E599F">
        <w:rPr>
          <w:rFonts w:ascii="Arial" w:hAnsi="Arial" w:cs="Arial"/>
          <w:lang w:val="mk-MK"/>
        </w:rPr>
        <w:t>of</w:t>
      </w:r>
      <w:proofErr w:type="spellEnd"/>
      <w:r w:rsidRPr="006E599F">
        <w:rPr>
          <w:rFonts w:ascii="Arial" w:hAnsi="Arial" w:cs="Arial"/>
          <w:lang w:val="mk-MK"/>
        </w:rPr>
        <w:t xml:space="preserve"> </w:t>
      </w:r>
      <w:proofErr w:type="spellStart"/>
      <w:r w:rsidRPr="006E599F">
        <w:rPr>
          <w:rFonts w:ascii="Arial" w:hAnsi="Arial" w:cs="Arial"/>
          <w:lang w:val="mk-MK"/>
        </w:rPr>
        <w:t>financial</w:t>
      </w:r>
      <w:proofErr w:type="spellEnd"/>
      <w:r w:rsidRPr="006E599F">
        <w:rPr>
          <w:rFonts w:ascii="Arial" w:hAnsi="Arial" w:cs="Arial"/>
          <w:lang w:val="mk-MK"/>
        </w:rPr>
        <w:t xml:space="preserve"> </w:t>
      </w:r>
      <w:proofErr w:type="spellStart"/>
      <w:r w:rsidRPr="006E599F">
        <w:rPr>
          <w:rFonts w:ascii="Arial" w:hAnsi="Arial" w:cs="Arial"/>
          <w:lang w:val="mk-MK"/>
        </w:rPr>
        <w:t>position</w:t>
      </w:r>
      <w:proofErr w:type="spellEnd"/>
      <w:r w:rsidRPr="006E599F">
        <w:rPr>
          <w:rFonts w:ascii="Arial" w:hAnsi="Arial" w:cs="Arial"/>
          <w:lang w:val="mk-MK"/>
        </w:rPr>
        <w:t xml:space="preserve"> </w:t>
      </w:r>
      <w:proofErr w:type="spellStart"/>
      <w:r w:rsidRPr="006E599F">
        <w:rPr>
          <w:rFonts w:ascii="Arial" w:hAnsi="Arial" w:cs="Arial"/>
          <w:lang w:val="mk-MK"/>
        </w:rPr>
        <w:t>date</w:t>
      </w:r>
      <w:proofErr w:type="spellEnd"/>
      <w:r w:rsidRPr="006E599F">
        <w:rPr>
          <w:rFonts w:ascii="Arial" w:hAnsi="Arial" w:cs="Arial"/>
          <w:lang w:val="mk-MK"/>
        </w:rPr>
        <w:t>.</w:t>
      </w:r>
    </w:p>
    <w:p w14:paraId="627DE2A3" w14:textId="77777777" w:rsidR="00D115F0" w:rsidRDefault="00D115F0" w:rsidP="00815E65">
      <w:pPr>
        <w:pStyle w:val="BodyText"/>
        <w:jc w:val="both"/>
        <w:rPr>
          <w:rFonts w:ascii="Arial" w:hAnsi="Arial" w:cs="Arial"/>
          <w:i/>
          <w:iCs/>
          <w:kern w:val="32"/>
          <w:lang w:val="mk-MK"/>
        </w:rPr>
      </w:pPr>
      <w:proofErr w:type="spellStart"/>
      <w:r w:rsidRPr="00D115F0">
        <w:rPr>
          <w:rFonts w:ascii="Arial" w:hAnsi="Arial" w:cs="Arial"/>
          <w:i/>
          <w:iCs/>
          <w:kern w:val="32"/>
          <w:lang w:val="mk-MK"/>
        </w:rPr>
        <w:t>Financial</w:t>
      </w:r>
      <w:proofErr w:type="spellEnd"/>
      <w:r w:rsidRPr="00D115F0">
        <w:rPr>
          <w:rFonts w:ascii="Arial" w:hAnsi="Arial" w:cs="Arial"/>
          <w:i/>
          <w:iCs/>
          <w:kern w:val="32"/>
          <w:lang w:val="mk-MK"/>
        </w:rPr>
        <w:t xml:space="preserve"> </w:t>
      </w:r>
      <w:proofErr w:type="spellStart"/>
      <w:r w:rsidRPr="00D115F0">
        <w:rPr>
          <w:rFonts w:ascii="Arial" w:hAnsi="Arial" w:cs="Arial"/>
          <w:i/>
          <w:iCs/>
          <w:kern w:val="32"/>
          <w:lang w:val="mk-MK"/>
        </w:rPr>
        <w:t>assets</w:t>
      </w:r>
      <w:proofErr w:type="spellEnd"/>
      <w:r w:rsidRPr="00D115F0">
        <w:rPr>
          <w:rFonts w:ascii="Arial" w:hAnsi="Arial" w:cs="Arial"/>
          <w:i/>
          <w:iCs/>
          <w:kern w:val="32"/>
          <w:lang w:val="mk-MK"/>
        </w:rPr>
        <w:t xml:space="preserve"> </w:t>
      </w:r>
      <w:proofErr w:type="spellStart"/>
      <w:r w:rsidRPr="00D115F0">
        <w:rPr>
          <w:rFonts w:ascii="Arial" w:hAnsi="Arial" w:cs="Arial"/>
          <w:i/>
          <w:iCs/>
          <w:kern w:val="32"/>
          <w:lang w:val="mk-MK"/>
        </w:rPr>
        <w:t>held</w:t>
      </w:r>
      <w:proofErr w:type="spellEnd"/>
      <w:r w:rsidRPr="00D115F0">
        <w:rPr>
          <w:rFonts w:ascii="Arial" w:hAnsi="Arial" w:cs="Arial"/>
          <w:i/>
          <w:iCs/>
          <w:kern w:val="32"/>
          <w:lang w:val="mk-MK"/>
        </w:rPr>
        <w:t xml:space="preserve"> </w:t>
      </w:r>
      <w:proofErr w:type="spellStart"/>
      <w:r w:rsidRPr="00D115F0">
        <w:rPr>
          <w:rFonts w:ascii="Arial" w:hAnsi="Arial" w:cs="Arial"/>
          <w:i/>
          <w:iCs/>
          <w:kern w:val="32"/>
          <w:lang w:val="mk-MK"/>
        </w:rPr>
        <w:t>to</w:t>
      </w:r>
      <w:proofErr w:type="spellEnd"/>
      <w:r w:rsidRPr="00D115F0">
        <w:rPr>
          <w:rFonts w:ascii="Arial" w:hAnsi="Arial" w:cs="Arial"/>
          <w:i/>
          <w:iCs/>
          <w:kern w:val="32"/>
          <w:lang w:val="mk-MK"/>
        </w:rPr>
        <w:t xml:space="preserve"> </w:t>
      </w:r>
      <w:proofErr w:type="spellStart"/>
      <w:r w:rsidRPr="00D115F0">
        <w:rPr>
          <w:rFonts w:ascii="Arial" w:hAnsi="Arial" w:cs="Arial"/>
          <w:i/>
          <w:iCs/>
          <w:kern w:val="32"/>
          <w:lang w:val="mk-MK"/>
        </w:rPr>
        <w:t>maturity</w:t>
      </w:r>
      <w:proofErr w:type="spellEnd"/>
      <w:r w:rsidRPr="00D115F0">
        <w:rPr>
          <w:rFonts w:ascii="Arial" w:hAnsi="Arial" w:cs="Arial"/>
          <w:i/>
          <w:iCs/>
          <w:kern w:val="32"/>
          <w:lang w:val="mk-MK"/>
        </w:rPr>
        <w:t xml:space="preserve">                                                                                                  </w:t>
      </w:r>
    </w:p>
    <w:p w14:paraId="1EFEECB4" w14:textId="34CB7CE0" w:rsidR="00126FCB" w:rsidRDefault="00D115F0" w:rsidP="00815E65">
      <w:pPr>
        <w:autoSpaceDE w:val="0"/>
        <w:autoSpaceDN w:val="0"/>
        <w:adjustRightInd w:val="0"/>
        <w:jc w:val="both"/>
        <w:rPr>
          <w:rFonts w:ascii="Arial" w:hAnsi="Arial" w:cs="Arial"/>
          <w:lang w:val="mk-MK"/>
        </w:rPr>
      </w:pPr>
      <w:proofErr w:type="spellStart"/>
      <w:r w:rsidRPr="00D115F0">
        <w:rPr>
          <w:rFonts w:ascii="Arial" w:hAnsi="Arial" w:cs="Arial"/>
          <w:lang w:val="mk-MK"/>
        </w:rPr>
        <w:t>Financial</w:t>
      </w:r>
      <w:proofErr w:type="spellEnd"/>
      <w:r w:rsidRPr="00D115F0">
        <w:rPr>
          <w:rFonts w:ascii="Arial" w:hAnsi="Arial" w:cs="Arial"/>
          <w:lang w:val="mk-MK"/>
        </w:rPr>
        <w:t xml:space="preserve"> </w:t>
      </w:r>
      <w:proofErr w:type="spellStart"/>
      <w:r w:rsidRPr="00D115F0">
        <w:rPr>
          <w:rFonts w:ascii="Arial" w:hAnsi="Arial" w:cs="Arial"/>
          <w:lang w:val="mk-MK"/>
        </w:rPr>
        <w:t>assets</w:t>
      </w:r>
      <w:proofErr w:type="spellEnd"/>
      <w:r w:rsidRPr="00D115F0">
        <w:rPr>
          <w:rFonts w:ascii="Arial" w:hAnsi="Arial" w:cs="Arial"/>
          <w:lang w:val="mk-MK"/>
        </w:rPr>
        <w:t xml:space="preserve"> </w:t>
      </w:r>
      <w:proofErr w:type="spellStart"/>
      <w:r w:rsidRPr="00D115F0">
        <w:rPr>
          <w:rFonts w:ascii="Arial" w:hAnsi="Arial" w:cs="Arial"/>
          <w:lang w:val="mk-MK"/>
        </w:rPr>
        <w:t>held</w:t>
      </w:r>
      <w:proofErr w:type="spellEnd"/>
      <w:r w:rsidRPr="00D115F0">
        <w:rPr>
          <w:rFonts w:ascii="Arial" w:hAnsi="Arial" w:cs="Arial"/>
          <w:lang w:val="mk-MK"/>
        </w:rPr>
        <w:t xml:space="preserve"> </w:t>
      </w:r>
      <w:proofErr w:type="spellStart"/>
      <w:r w:rsidRPr="00D115F0">
        <w:rPr>
          <w:rFonts w:ascii="Arial" w:hAnsi="Arial" w:cs="Arial"/>
          <w:lang w:val="mk-MK"/>
        </w:rPr>
        <w:t>to</w:t>
      </w:r>
      <w:proofErr w:type="spellEnd"/>
      <w:r w:rsidRPr="00D115F0">
        <w:rPr>
          <w:rFonts w:ascii="Arial" w:hAnsi="Arial" w:cs="Arial"/>
          <w:lang w:val="mk-MK"/>
        </w:rPr>
        <w:t xml:space="preserve"> </w:t>
      </w:r>
      <w:proofErr w:type="spellStart"/>
      <w:r w:rsidRPr="00D115F0">
        <w:rPr>
          <w:rFonts w:ascii="Arial" w:hAnsi="Arial" w:cs="Arial"/>
          <w:lang w:val="mk-MK"/>
        </w:rPr>
        <w:t>maturity</w:t>
      </w:r>
      <w:proofErr w:type="spellEnd"/>
      <w:r w:rsidRPr="00D115F0">
        <w:rPr>
          <w:rFonts w:ascii="Arial" w:hAnsi="Arial" w:cs="Arial"/>
          <w:lang w:val="mk-MK"/>
        </w:rPr>
        <w:t xml:space="preserve"> </w:t>
      </w:r>
      <w:proofErr w:type="spellStart"/>
      <w:r w:rsidRPr="00D115F0">
        <w:rPr>
          <w:rFonts w:ascii="Arial" w:hAnsi="Arial" w:cs="Arial"/>
          <w:lang w:val="mk-MK"/>
        </w:rPr>
        <w:t>are</w:t>
      </w:r>
      <w:proofErr w:type="spellEnd"/>
      <w:r w:rsidRPr="00D115F0">
        <w:rPr>
          <w:rFonts w:ascii="Arial" w:hAnsi="Arial" w:cs="Arial"/>
          <w:lang w:val="mk-MK"/>
        </w:rPr>
        <w:t xml:space="preserve"> </w:t>
      </w:r>
      <w:proofErr w:type="spellStart"/>
      <w:r w:rsidRPr="00D115F0">
        <w:rPr>
          <w:rFonts w:ascii="Arial" w:hAnsi="Arial" w:cs="Arial"/>
          <w:lang w:val="mk-MK"/>
        </w:rPr>
        <w:t>non-derivative</w:t>
      </w:r>
      <w:proofErr w:type="spellEnd"/>
      <w:r w:rsidRPr="00D115F0">
        <w:rPr>
          <w:rFonts w:ascii="Arial" w:hAnsi="Arial" w:cs="Arial"/>
          <w:lang w:val="mk-MK"/>
        </w:rPr>
        <w:t xml:space="preserve"> </w:t>
      </w:r>
      <w:proofErr w:type="spellStart"/>
      <w:r w:rsidRPr="00D115F0">
        <w:rPr>
          <w:rFonts w:ascii="Arial" w:hAnsi="Arial" w:cs="Arial"/>
          <w:lang w:val="mk-MK"/>
        </w:rPr>
        <w:t>financial</w:t>
      </w:r>
      <w:proofErr w:type="spellEnd"/>
      <w:r w:rsidRPr="00D115F0">
        <w:rPr>
          <w:rFonts w:ascii="Arial" w:hAnsi="Arial" w:cs="Arial"/>
          <w:lang w:val="mk-MK"/>
        </w:rPr>
        <w:t xml:space="preserve"> </w:t>
      </w:r>
      <w:proofErr w:type="spellStart"/>
      <w:r w:rsidRPr="00D115F0">
        <w:rPr>
          <w:rFonts w:ascii="Arial" w:hAnsi="Arial" w:cs="Arial"/>
          <w:lang w:val="mk-MK"/>
        </w:rPr>
        <w:t>assets</w:t>
      </w:r>
      <w:proofErr w:type="spellEnd"/>
      <w:r w:rsidRPr="00D115F0">
        <w:rPr>
          <w:rFonts w:ascii="Arial" w:hAnsi="Arial" w:cs="Arial"/>
          <w:lang w:val="mk-MK"/>
        </w:rPr>
        <w:t xml:space="preserve"> </w:t>
      </w:r>
      <w:proofErr w:type="spellStart"/>
      <w:r w:rsidRPr="00D115F0">
        <w:rPr>
          <w:rFonts w:ascii="Arial" w:hAnsi="Arial" w:cs="Arial"/>
          <w:lang w:val="mk-MK"/>
        </w:rPr>
        <w:t>with</w:t>
      </w:r>
      <w:proofErr w:type="spellEnd"/>
      <w:r w:rsidRPr="00D115F0">
        <w:rPr>
          <w:rFonts w:ascii="Arial" w:hAnsi="Arial" w:cs="Arial"/>
          <w:lang w:val="mk-MK"/>
        </w:rPr>
        <w:t xml:space="preserve"> </w:t>
      </w:r>
      <w:proofErr w:type="spellStart"/>
      <w:r w:rsidRPr="00D115F0">
        <w:rPr>
          <w:rFonts w:ascii="Arial" w:hAnsi="Arial" w:cs="Arial"/>
          <w:lang w:val="mk-MK"/>
        </w:rPr>
        <w:t>fixed</w:t>
      </w:r>
      <w:proofErr w:type="spellEnd"/>
      <w:r w:rsidRPr="00D115F0">
        <w:rPr>
          <w:rFonts w:ascii="Arial" w:hAnsi="Arial" w:cs="Arial"/>
          <w:lang w:val="mk-MK"/>
        </w:rPr>
        <w:t xml:space="preserve"> </w:t>
      </w:r>
      <w:proofErr w:type="spellStart"/>
      <w:r w:rsidRPr="00D115F0">
        <w:rPr>
          <w:rFonts w:ascii="Arial" w:hAnsi="Arial" w:cs="Arial"/>
          <w:lang w:val="mk-MK"/>
        </w:rPr>
        <w:t>or</w:t>
      </w:r>
      <w:proofErr w:type="spellEnd"/>
      <w:r w:rsidRPr="00D115F0">
        <w:rPr>
          <w:rFonts w:ascii="Arial" w:hAnsi="Arial" w:cs="Arial"/>
          <w:lang w:val="mk-MK"/>
        </w:rPr>
        <w:t xml:space="preserve"> </w:t>
      </w:r>
      <w:proofErr w:type="spellStart"/>
      <w:r w:rsidRPr="00D115F0">
        <w:rPr>
          <w:rFonts w:ascii="Arial" w:hAnsi="Arial" w:cs="Arial"/>
          <w:lang w:val="mk-MK"/>
        </w:rPr>
        <w:t>determinable</w:t>
      </w:r>
      <w:proofErr w:type="spellEnd"/>
      <w:r w:rsidRPr="00D115F0">
        <w:rPr>
          <w:rFonts w:ascii="Arial" w:hAnsi="Arial" w:cs="Arial"/>
          <w:lang w:val="mk-MK"/>
        </w:rPr>
        <w:t xml:space="preserve"> </w:t>
      </w:r>
      <w:proofErr w:type="spellStart"/>
      <w:r w:rsidRPr="00D115F0">
        <w:rPr>
          <w:rFonts w:ascii="Arial" w:hAnsi="Arial" w:cs="Arial"/>
          <w:lang w:val="mk-MK"/>
        </w:rPr>
        <w:t>payments</w:t>
      </w:r>
      <w:proofErr w:type="spellEnd"/>
      <w:r w:rsidRPr="00D115F0">
        <w:rPr>
          <w:rFonts w:ascii="Arial" w:hAnsi="Arial" w:cs="Arial"/>
          <w:lang w:val="mk-MK"/>
        </w:rPr>
        <w:t xml:space="preserve"> </w:t>
      </w:r>
      <w:proofErr w:type="spellStart"/>
      <w:r w:rsidRPr="00D115F0">
        <w:rPr>
          <w:rFonts w:ascii="Arial" w:hAnsi="Arial" w:cs="Arial"/>
          <w:lang w:val="mk-MK"/>
        </w:rPr>
        <w:t>and</w:t>
      </w:r>
      <w:proofErr w:type="spellEnd"/>
      <w:r w:rsidRPr="00D115F0">
        <w:rPr>
          <w:rFonts w:ascii="Arial" w:hAnsi="Arial" w:cs="Arial"/>
          <w:lang w:val="mk-MK"/>
        </w:rPr>
        <w:t xml:space="preserve"> </w:t>
      </w:r>
      <w:proofErr w:type="spellStart"/>
      <w:r w:rsidRPr="00D115F0">
        <w:rPr>
          <w:rFonts w:ascii="Arial" w:hAnsi="Arial" w:cs="Arial"/>
          <w:lang w:val="mk-MK"/>
        </w:rPr>
        <w:t>fixed</w:t>
      </w:r>
      <w:proofErr w:type="spellEnd"/>
      <w:r w:rsidRPr="00D115F0">
        <w:rPr>
          <w:rFonts w:ascii="Arial" w:hAnsi="Arial" w:cs="Arial"/>
          <w:lang w:val="mk-MK"/>
        </w:rPr>
        <w:t xml:space="preserve"> </w:t>
      </w:r>
      <w:proofErr w:type="spellStart"/>
      <w:r w:rsidRPr="00D115F0">
        <w:rPr>
          <w:rFonts w:ascii="Arial" w:hAnsi="Arial" w:cs="Arial"/>
          <w:lang w:val="mk-MK"/>
        </w:rPr>
        <w:t>maturities</w:t>
      </w:r>
      <w:proofErr w:type="spellEnd"/>
      <w:r w:rsidRPr="00D115F0">
        <w:rPr>
          <w:rFonts w:ascii="Arial" w:hAnsi="Arial" w:cs="Arial"/>
          <w:lang w:val="mk-MK"/>
        </w:rPr>
        <w:t xml:space="preserve"> </w:t>
      </w:r>
      <w:proofErr w:type="spellStart"/>
      <w:r w:rsidRPr="00D115F0">
        <w:rPr>
          <w:rFonts w:ascii="Arial" w:hAnsi="Arial" w:cs="Arial"/>
          <w:lang w:val="mk-MK"/>
        </w:rPr>
        <w:t>that</w:t>
      </w:r>
      <w:proofErr w:type="spellEnd"/>
      <w:r w:rsidRPr="00D115F0">
        <w:rPr>
          <w:rFonts w:ascii="Arial" w:hAnsi="Arial" w:cs="Arial"/>
          <w:lang w:val="mk-MK"/>
        </w:rPr>
        <w:t xml:space="preserve"> </w:t>
      </w:r>
      <w:proofErr w:type="spellStart"/>
      <w:r w:rsidRPr="00D115F0">
        <w:rPr>
          <w:rFonts w:ascii="Arial" w:hAnsi="Arial" w:cs="Arial"/>
          <w:lang w:val="mk-MK"/>
        </w:rPr>
        <w:t>the</w:t>
      </w:r>
      <w:proofErr w:type="spellEnd"/>
      <w:r w:rsidRPr="00D115F0">
        <w:rPr>
          <w:rFonts w:ascii="Arial" w:hAnsi="Arial" w:cs="Arial"/>
          <w:lang w:val="mk-MK"/>
        </w:rPr>
        <w:t xml:space="preserve"> </w:t>
      </w:r>
      <w:proofErr w:type="spellStart"/>
      <w:r w:rsidRPr="00D115F0">
        <w:rPr>
          <w:rFonts w:ascii="Arial" w:hAnsi="Arial" w:cs="Arial"/>
          <w:lang w:val="mk-MK"/>
        </w:rPr>
        <w:t>Fund’s</w:t>
      </w:r>
      <w:proofErr w:type="spellEnd"/>
      <w:r w:rsidRPr="00D115F0">
        <w:rPr>
          <w:rFonts w:ascii="Arial" w:hAnsi="Arial" w:cs="Arial"/>
          <w:lang w:val="mk-MK"/>
        </w:rPr>
        <w:t xml:space="preserve"> </w:t>
      </w:r>
      <w:proofErr w:type="spellStart"/>
      <w:r w:rsidRPr="00D115F0">
        <w:rPr>
          <w:rFonts w:ascii="Arial" w:hAnsi="Arial" w:cs="Arial"/>
          <w:lang w:val="mk-MK"/>
        </w:rPr>
        <w:t>Management</w:t>
      </w:r>
      <w:proofErr w:type="spellEnd"/>
      <w:r w:rsidRPr="00D115F0">
        <w:rPr>
          <w:rFonts w:ascii="Arial" w:hAnsi="Arial" w:cs="Arial"/>
          <w:lang w:val="mk-MK"/>
        </w:rPr>
        <w:t xml:space="preserve"> </w:t>
      </w:r>
      <w:proofErr w:type="spellStart"/>
      <w:r w:rsidRPr="00D115F0">
        <w:rPr>
          <w:rFonts w:ascii="Arial" w:hAnsi="Arial" w:cs="Arial"/>
          <w:lang w:val="mk-MK"/>
        </w:rPr>
        <w:t>has</w:t>
      </w:r>
      <w:proofErr w:type="spellEnd"/>
      <w:r w:rsidRPr="00D115F0">
        <w:rPr>
          <w:rFonts w:ascii="Arial" w:hAnsi="Arial" w:cs="Arial"/>
          <w:lang w:val="mk-MK"/>
        </w:rPr>
        <w:t xml:space="preserve"> </w:t>
      </w:r>
      <w:proofErr w:type="spellStart"/>
      <w:r w:rsidRPr="00D115F0">
        <w:rPr>
          <w:rFonts w:ascii="Arial" w:hAnsi="Arial" w:cs="Arial"/>
          <w:lang w:val="mk-MK"/>
        </w:rPr>
        <w:t>the</w:t>
      </w:r>
      <w:proofErr w:type="spellEnd"/>
      <w:r w:rsidRPr="00D115F0">
        <w:rPr>
          <w:rFonts w:ascii="Arial" w:hAnsi="Arial" w:cs="Arial"/>
          <w:lang w:val="mk-MK"/>
        </w:rPr>
        <w:t xml:space="preserve"> </w:t>
      </w:r>
      <w:proofErr w:type="spellStart"/>
      <w:r w:rsidRPr="00D115F0">
        <w:rPr>
          <w:rFonts w:ascii="Arial" w:hAnsi="Arial" w:cs="Arial"/>
          <w:lang w:val="mk-MK"/>
        </w:rPr>
        <w:t>positive</w:t>
      </w:r>
      <w:proofErr w:type="spellEnd"/>
      <w:r w:rsidRPr="00D115F0">
        <w:rPr>
          <w:rFonts w:ascii="Arial" w:hAnsi="Arial" w:cs="Arial"/>
          <w:lang w:val="mk-MK"/>
        </w:rPr>
        <w:t xml:space="preserve"> </w:t>
      </w:r>
      <w:proofErr w:type="spellStart"/>
      <w:r w:rsidRPr="00D115F0">
        <w:rPr>
          <w:rFonts w:ascii="Arial" w:hAnsi="Arial" w:cs="Arial"/>
          <w:lang w:val="mk-MK"/>
        </w:rPr>
        <w:t>intention</w:t>
      </w:r>
      <w:proofErr w:type="spellEnd"/>
      <w:r w:rsidRPr="00D115F0">
        <w:rPr>
          <w:rFonts w:ascii="Arial" w:hAnsi="Arial" w:cs="Arial"/>
          <w:lang w:val="mk-MK"/>
        </w:rPr>
        <w:t xml:space="preserve"> </w:t>
      </w:r>
      <w:proofErr w:type="spellStart"/>
      <w:r w:rsidRPr="00D115F0">
        <w:rPr>
          <w:rFonts w:ascii="Arial" w:hAnsi="Arial" w:cs="Arial"/>
          <w:lang w:val="mk-MK"/>
        </w:rPr>
        <w:t>and</w:t>
      </w:r>
      <w:proofErr w:type="spellEnd"/>
      <w:r w:rsidRPr="00D115F0">
        <w:rPr>
          <w:rFonts w:ascii="Arial" w:hAnsi="Arial" w:cs="Arial"/>
          <w:lang w:val="mk-MK"/>
        </w:rPr>
        <w:t xml:space="preserve"> </w:t>
      </w:r>
      <w:proofErr w:type="spellStart"/>
      <w:r w:rsidRPr="00D115F0">
        <w:rPr>
          <w:rFonts w:ascii="Arial" w:hAnsi="Arial" w:cs="Arial"/>
          <w:lang w:val="mk-MK"/>
        </w:rPr>
        <w:t>ability</w:t>
      </w:r>
      <w:proofErr w:type="spellEnd"/>
      <w:r w:rsidRPr="00D115F0">
        <w:rPr>
          <w:rFonts w:ascii="Arial" w:hAnsi="Arial" w:cs="Arial"/>
          <w:lang w:val="mk-MK"/>
        </w:rPr>
        <w:t xml:space="preserve"> </w:t>
      </w:r>
      <w:proofErr w:type="spellStart"/>
      <w:r w:rsidRPr="00D115F0">
        <w:rPr>
          <w:rFonts w:ascii="Arial" w:hAnsi="Arial" w:cs="Arial"/>
          <w:lang w:val="mk-MK"/>
        </w:rPr>
        <w:t>to</w:t>
      </w:r>
      <w:proofErr w:type="spellEnd"/>
      <w:r w:rsidRPr="00D115F0">
        <w:rPr>
          <w:rFonts w:ascii="Arial" w:hAnsi="Arial" w:cs="Arial"/>
          <w:lang w:val="mk-MK"/>
        </w:rPr>
        <w:t xml:space="preserve"> </w:t>
      </w:r>
      <w:proofErr w:type="spellStart"/>
      <w:r w:rsidRPr="00D115F0">
        <w:rPr>
          <w:rFonts w:ascii="Arial" w:hAnsi="Arial" w:cs="Arial"/>
          <w:lang w:val="mk-MK"/>
        </w:rPr>
        <w:t>hold</w:t>
      </w:r>
      <w:proofErr w:type="spellEnd"/>
      <w:r w:rsidRPr="00D115F0">
        <w:rPr>
          <w:rFonts w:ascii="Arial" w:hAnsi="Arial" w:cs="Arial"/>
          <w:lang w:val="mk-MK"/>
        </w:rPr>
        <w:t xml:space="preserve"> </w:t>
      </w:r>
      <w:proofErr w:type="spellStart"/>
      <w:r w:rsidRPr="00D115F0">
        <w:rPr>
          <w:rFonts w:ascii="Arial" w:hAnsi="Arial" w:cs="Arial"/>
          <w:lang w:val="mk-MK"/>
        </w:rPr>
        <w:t>to</w:t>
      </w:r>
      <w:proofErr w:type="spellEnd"/>
      <w:r w:rsidRPr="00D115F0">
        <w:rPr>
          <w:rFonts w:ascii="Arial" w:hAnsi="Arial" w:cs="Arial"/>
          <w:lang w:val="mk-MK"/>
        </w:rPr>
        <w:t xml:space="preserve"> </w:t>
      </w:r>
      <w:proofErr w:type="spellStart"/>
      <w:r w:rsidRPr="00D115F0">
        <w:rPr>
          <w:rFonts w:ascii="Arial" w:hAnsi="Arial" w:cs="Arial"/>
          <w:lang w:val="mk-MK"/>
        </w:rPr>
        <w:t>maturity</w:t>
      </w:r>
      <w:proofErr w:type="spellEnd"/>
      <w:r w:rsidRPr="00D115F0">
        <w:rPr>
          <w:rFonts w:ascii="Arial" w:hAnsi="Arial" w:cs="Arial"/>
          <w:lang w:val="mk-MK"/>
        </w:rPr>
        <w:t xml:space="preserve">. </w:t>
      </w:r>
      <w:proofErr w:type="spellStart"/>
      <w:r w:rsidRPr="00D115F0">
        <w:rPr>
          <w:rFonts w:ascii="Arial" w:hAnsi="Arial" w:cs="Arial"/>
          <w:lang w:val="mk-MK"/>
        </w:rPr>
        <w:t>If</w:t>
      </w:r>
      <w:proofErr w:type="spellEnd"/>
      <w:r w:rsidRPr="00D115F0">
        <w:rPr>
          <w:rFonts w:ascii="Arial" w:hAnsi="Arial" w:cs="Arial"/>
          <w:lang w:val="mk-MK"/>
        </w:rPr>
        <w:t xml:space="preserve"> </w:t>
      </w:r>
      <w:proofErr w:type="spellStart"/>
      <w:r w:rsidRPr="00D115F0">
        <w:rPr>
          <w:rFonts w:ascii="Arial" w:hAnsi="Arial" w:cs="Arial"/>
          <w:lang w:val="mk-MK"/>
        </w:rPr>
        <w:t>the</w:t>
      </w:r>
      <w:proofErr w:type="spellEnd"/>
      <w:r w:rsidRPr="00D115F0">
        <w:rPr>
          <w:rFonts w:ascii="Arial" w:hAnsi="Arial" w:cs="Arial"/>
          <w:lang w:val="mk-MK"/>
        </w:rPr>
        <w:t xml:space="preserve"> </w:t>
      </w:r>
      <w:proofErr w:type="spellStart"/>
      <w:r w:rsidRPr="00D115F0">
        <w:rPr>
          <w:rFonts w:ascii="Arial" w:hAnsi="Arial" w:cs="Arial"/>
          <w:lang w:val="mk-MK"/>
        </w:rPr>
        <w:t>Fund</w:t>
      </w:r>
      <w:proofErr w:type="spellEnd"/>
      <w:r w:rsidRPr="00D115F0">
        <w:rPr>
          <w:rFonts w:ascii="Arial" w:hAnsi="Arial" w:cs="Arial"/>
          <w:lang w:val="mk-MK"/>
        </w:rPr>
        <w:t xml:space="preserve"> </w:t>
      </w:r>
      <w:proofErr w:type="spellStart"/>
      <w:r w:rsidRPr="00D115F0">
        <w:rPr>
          <w:rFonts w:ascii="Arial" w:hAnsi="Arial" w:cs="Arial"/>
          <w:lang w:val="mk-MK"/>
        </w:rPr>
        <w:t>sells</w:t>
      </w:r>
      <w:proofErr w:type="spellEnd"/>
      <w:r w:rsidRPr="00D115F0">
        <w:rPr>
          <w:rFonts w:ascii="Arial" w:hAnsi="Arial" w:cs="Arial"/>
          <w:lang w:val="mk-MK"/>
        </w:rPr>
        <w:t xml:space="preserve"> a </w:t>
      </w:r>
      <w:proofErr w:type="spellStart"/>
      <w:r w:rsidRPr="00D115F0">
        <w:rPr>
          <w:rFonts w:ascii="Arial" w:hAnsi="Arial" w:cs="Arial"/>
          <w:lang w:val="mk-MK"/>
        </w:rPr>
        <w:t>significant</w:t>
      </w:r>
      <w:proofErr w:type="spellEnd"/>
      <w:r w:rsidRPr="00D115F0">
        <w:rPr>
          <w:rFonts w:ascii="Arial" w:hAnsi="Arial" w:cs="Arial"/>
          <w:lang w:val="mk-MK"/>
        </w:rPr>
        <w:t xml:space="preserve"> </w:t>
      </w:r>
      <w:proofErr w:type="spellStart"/>
      <w:r w:rsidRPr="00D115F0">
        <w:rPr>
          <w:rFonts w:ascii="Arial" w:hAnsi="Arial" w:cs="Arial"/>
          <w:lang w:val="mk-MK"/>
        </w:rPr>
        <w:t>amount</w:t>
      </w:r>
      <w:proofErr w:type="spellEnd"/>
      <w:r w:rsidRPr="00D115F0">
        <w:rPr>
          <w:rFonts w:ascii="Arial" w:hAnsi="Arial" w:cs="Arial"/>
          <w:lang w:val="mk-MK"/>
        </w:rPr>
        <w:t xml:space="preserve"> </w:t>
      </w:r>
      <w:proofErr w:type="spellStart"/>
      <w:r w:rsidRPr="00D115F0">
        <w:rPr>
          <w:rFonts w:ascii="Arial" w:hAnsi="Arial" w:cs="Arial"/>
          <w:lang w:val="mk-MK"/>
        </w:rPr>
        <w:t>of</w:t>
      </w:r>
      <w:proofErr w:type="spellEnd"/>
      <w:r w:rsidRPr="00D115F0">
        <w:rPr>
          <w:rFonts w:ascii="Arial" w:hAnsi="Arial" w:cs="Arial"/>
          <w:lang w:val="mk-MK"/>
        </w:rPr>
        <w:t xml:space="preserve"> </w:t>
      </w:r>
      <w:proofErr w:type="spellStart"/>
      <w:r w:rsidRPr="00D115F0">
        <w:rPr>
          <w:rFonts w:ascii="Arial" w:hAnsi="Arial" w:cs="Arial"/>
          <w:lang w:val="mk-MK"/>
        </w:rPr>
        <w:t>the</w:t>
      </w:r>
      <w:proofErr w:type="spellEnd"/>
      <w:r w:rsidRPr="00D115F0">
        <w:rPr>
          <w:rFonts w:ascii="Arial" w:hAnsi="Arial" w:cs="Arial"/>
          <w:lang w:val="mk-MK"/>
        </w:rPr>
        <w:t xml:space="preserve"> </w:t>
      </w:r>
      <w:proofErr w:type="spellStart"/>
      <w:r w:rsidRPr="00D115F0">
        <w:rPr>
          <w:rFonts w:ascii="Arial" w:hAnsi="Arial" w:cs="Arial"/>
          <w:lang w:val="mk-MK"/>
        </w:rPr>
        <w:t>financial</w:t>
      </w:r>
      <w:proofErr w:type="spellEnd"/>
      <w:r w:rsidRPr="00D115F0">
        <w:rPr>
          <w:rFonts w:ascii="Arial" w:hAnsi="Arial" w:cs="Arial"/>
          <w:lang w:val="mk-MK"/>
        </w:rPr>
        <w:t xml:space="preserve"> </w:t>
      </w:r>
      <w:proofErr w:type="spellStart"/>
      <w:r w:rsidRPr="00D115F0">
        <w:rPr>
          <w:rFonts w:ascii="Arial" w:hAnsi="Arial" w:cs="Arial"/>
          <w:lang w:val="mk-MK"/>
        </w:rPr>
        <w:t>assets</w:t>
      </w:r>
      <w:proofErr w:type="spellEnd"/>
      <w:r w:rsidRPr="00D115F0">
        <w:rPr>
          <w:rFonts w:ascii="Arial" w:hAnsi="Arial" w:cs="Arial"/>
          <w:lang w:val="mk-MK"/>
        </w:rPr>
        <w:t xml:space="preserve"> </w:t>
      </w:r>
      <w:proofErr w:type="spellStart"/>
      <w:r w:rsidRPr="00D115F0">
        <w:rPr>
          <w:rFonts w:ascii="Arial" w:hAnsi="Arial" w:cs="Arial"/>
          <w:lang w:val="mk-MK"/>
        </w:rPr>
        <w:t>held</w:t>
      </w:r>
      <w:proofErr w:type="spellEnd"/>
      <w:r w:rsidRPr="00D115F0">
        <w:rPr>
          <w:rFonts w:ascii="Arial" w:hAnsi="Arial" w:cs="Arial"/>
          <w:lang w:val="mk-MK"/>
        </w:rPr>
        <w:t xml:space="preserve"> </w:t>
      </w:r>
      <w:proofErr w:type="spellStart"/>
      <w:r w:rsidRPr="00D115F0">
        <w:rPr>
          <w:rFonts w:ascii="Arial" w:hAnsi="Arial" w:cs="Arial"/>
          <w:lang w:val="mk-MK"/>
        </w:rPr>
        <w:t>to</w:t>
      </w:r>
      <w:proofErr w:type="spellEnd"/>
      <w:r w:rsidRPr="00D115F0">
        <w:rPr>
          <w:rFonts w:ascii="Arial" w:hAnsi="Arial" w:cs="Arial"/>
          <w:lang w:val="mk-MK"/>
        </w:rPr>
        <w:t xml:space="preserve"> </w:t>
      </w:r>
      <w:proofErr w:type="spellStart"/>
      <w:r w:rsidRPr="00D115F0">
        <w:rPr>
          <w:rFonts w:ascii="Arial" w:hAnsi="Arial" w:cs="Arial"/>
          <w:lang w:val="mk-MK"/>
        </w:rPr>
        <w:t>maturity</w:t>
      </w:r>
      <w:proofErr w:type="spellEnd"/>
      <w:r w:rsidRPr="00D115F0">
        <w:rPr>
          <w:rFonts w:ascii="Arial" w:hAnsi="Arial" w:cs="Arial"/>
          <w:lang w:val="mk-MK"/>
        </w:rPr>
        <w:t xml:space="preserve"> </w:t>
      </w:r>
      <w:proofErr w:type="spellStart"/>
      <w:r w:rsidRPr="00D115F0">
        <w:rPr>
          <w:rFonts w:ascii="Arial" w:hAnsi="Arial" w:cs="Arial"/>
          <w:lang w:val="mk-MK"/>
        </w:rPr>
        <w:t>before</w:t>
      </w:r>
      <w:proofErr w:type="spellEnd"/>
      <w:r w:rsidRPr="00D115F0">
        <w:rPr>
          <w:rFonts w:ascii="Arial" w:hAnsi="Arial" w:cs="Arial"/>
          <w:lang w:val="mk-MK"/>
        </w:rPr>
        <w:t xml:space="preserve"> </w:t>
      </w:r>
      <w:proofErr w:type="spellStart"/>
      <w:r w:rsidRPr="00D115F0">
        <w:rPr>
          <w:rFonts w:ascii="Arial" w:hAnsi="Arial" w:cs="Arial"/>
          <w:lang w:val="mk-MK"/>
        </w:rPr>
        <w:t>they</w:t>
      </w:r>
      <w:proofErr w:type="spellEnd"/>
      <w:r w:rsidRPr="00D115F0">
        <w:rPr>
          <w:rFonts w:ascii="Arial" w:hAnsi="Arial" w:cs="Arial"/>
          <w:lang w:val="mk-MK"/>
        </w:rPr>
        <w:t xml:space="preserve"> </w:t>
      </w:r>
      <w:proofErr w:type="spellStart"/>
      <w:r w:rsidRPr="00D115F0">
        <w:rPr>
          <w:rFonts w:ascii="Arial" w:hAnsi="Arial" w:cs="Arial"/>
          <w:lang w:val="mk-MK"/>
        </w:rPr>
        <w:t>reach</w:t>
      </w:r>
      <w:proofErr w:type="spellEnd"/>
      <w:r w:rsidRPr="00D115F0">
        <w:rPr>
          <w:rFonts w:ascii="Arial" w:hAnsi="Arial" w:cs="Arial"/>
          <w:lang w:val="mk-MK"/>
        </w:rPr>
        <w:t xml:space="preserve"> </w:t>
      </w:r>
      <w:proofErr w:type="spellStart"/>
      <w:r w:rsidRPr="00D115F0">
        <w:rPr>
          <w:rFonts w:ascii="Arial" w:hAnsi="Arial" w:cs="Arial"/>
          <w:lang w:val="mk-MK"/>
        </w:rPr>
        <w:t>the</w:t>
      </w:r>
      <w:proofErr w:type="spellEnd"/>
      <w:r w:rsidRPr="00D115F0">
        <w:rPr>
          <w:rFonts w:ascii="Arial" w:hAnsi="Arial" w:cs="Arial"/>
          <w:lang w:val="mk-MK"/>
        </w:rPr>
        <w:t xml:space="preserve"> </w:t>
      </w:r>
      <w:proofErr w:type="spellStart"/>
      <w:r w:rsidRPr="00D115F0">
        <w:rPr>
          <w:rFonts w:ascii="Arial" w:hAnsi="Arial" w:cs="Arial"/>
          <w:lang w:val="mk-MK"/>
        </w:rPr>
        <w:t>maturity</w:t>
      </w:r>
      <w:proofErr w:type="spellEnd"/>
      <w:r w:rsidRPr="00D115F0">
        <w:rPr>
          <w:rFonts w:ascii="Arial" w:hAnsi="Arial" w:cs="Arial"/>
          <w:lang w:val="mk-MK"/>
        </w:rPr>
        <w:t xml:space="preserve"> </w:t>
      </w:r>
      <w:proofErr w:type="spellStart"/>
      <w:r w:rsidRPr="00D115F0">
        <w:rPr>
          <w:rFonts w:ascii="Arial" w:hAnsi="Arial" w:cs="Arial"/>
          <w:lang w:val="mk-MK"/>
        </w:rPr>
        <w:t>date</w:t>
      </w:r>
      <w:proofErr w:type="spellEnd"/>
      <w:r w:rsidRPr="00D115F0">
        <w:rPr>
          <w:rFonts w:ascii="Arial" w:hAnsi="Arial" w:cs="Arial"/>
          <w:lang w:val="mk-MK"/>
        </w:rPr>
        <w:t xml:space="preserve">, </w:t>
      </w:r>
      <w:proofErr w:type="spellStart"/>
      <w:r w:rsidRPr="00D115F0">
        <w:rPr>
          <w:rFonts w:ascii="Arial" w:hAnsi="Arial" w:cs="Arial"/>
          <w:lang w:val="mk-MK"/>
        </w:rPr>
        <w:t>then</w:t>
      </w:r>
      <w:proofErr w:type="spellEnd"/>
      <w:r w:rsidRPr="00D115F0">
        <w:rPr>
          <w:rFonts w:ascii="Arial" w:hAnsi="Arial" w:cs="Arial"/>
          <w:lang w:val="mk-MK"/>
        </w:rPr>
        <w:t xml:space="preserve"> </w:t>
      </w:r>
      <w:proofErr w:type="spellStart"/>
      <w:r w:rsidRPr="00D115F0">
        <w:rPr>
          <w:rFonts w:ascii="Arial" w:hAnsi="Arial" w:cs="Arial"/>
          <w:lang w:val="mk-MK"/>
        </w:rPr>
        <w:t>the</w:t>
      </w:r>
      <w:proofErr w:type="spellEnd"/>
      <w:r w:rsidRPr="00D115F0">
        <w:rPr>
          <w:rFonts w:ascii="Arial" w:hAnsi="Arial" w:cs="Arial"/>
          <w:lang w:val="mk-MK"/>
        </w:rPr>
        <w:t xml:space="preserve"> </w:t>
      </w:r>
      <w:proofErr w:type="spellStart"/>
      <w:r w:rsidRPr="00D115F0">
        <w:rPr>
          <w:rFonts w:ascii="Arial" w:hAnsi="Arial" w:cs="Arial"/>
          <w:lang w:val="mk-MK"/>
        </w:rPr>
        <w:t>entire</w:t>
      </w:r>
      <w:proofErr w:type="spellEnd"/>
      <w:r w:rsidRPr="00D115F0">
        <w:rPr>
          <w:rFonts w:ascii="Arial" w:hAnsi="Arial" w:cs="Arial"/>
          <w:lang w:val="mk-MK"/>
        </w:rPr>
        <w:t xml:space="preserve"> </w:t>
      </w:r>
      <w:proofErr w:type="spellStart"/>
      <w:r w:rsidRPr="00D115F0">
        <w:rPr>
          <w:rFonts w:ascii="Arial" w:hAnsi="Arial" w:cs="Arial"/>
          <w:lang w:val="mk-MK"/>
        </w:rPr>
        <w:t>category</w:t>
      </w:r>
      <w:proofErr w:type="spellEnd"/>
      <w:r w:rsidRPr="00D115F0">
        <w:rPr>
          <w:rFonts w:ascii="Arial" w:hAnsi="Arial" w:cs="Arial"/>
          <w:lang w:val="mk-MK"/>
        </w:rPr>
        <w:t xml:space="preserve"> </w:t>
      </w:r>
      <w:proofErr w:type="spellStart"/>
      <w:r w:rsidRPr="00D115F0">
        <w:rPr>
          <w:rFonts w:ascii="Arial" w:hAnsi="Arial" w:cs="Arial"/>
          <w:lang w:val="mk-MK"/>
        </w:rPr>
        <w:t>of</w:t>
      </w:r>
      <w:proofErr w:type="spellEnd"/>
      <w:r w:rsidRPr="00D115F0">
        <w:rPr>
          <w:rFonts w:ascii="Arial" w:hAnsi="Arial" w:cs="Arial"/>
          <w:lang w:val="mk-MK"/>
        </w:rPr>
        <w:t xml:space="preserve"> </w:t>
      </w:r>
      <w:proofErr w:type="spellStart"/>
      <w:r w:rsidRPr="00D115F0">
        <w:rPr>
          <w:rFonts w:ascii="Arial" w:hAnsi="Arial" w:cs="Arial"/>
          <w:lang w:val="mk-MK"/>
        </w:rPr>
        <w:t>these</w:t>
      </w:r>
      <w:proofErr w:type="spellEnd"/>
      <w:r w:rsidRPr="00D115F0">
        <w:rPr>
          <w:rFonts w:ascii="Arial" w:hAnsi="Arial" w:cs="Arial"/>
          <w:lang w:val="mk-MK"/>
        </w:rPr>
        <w:t xml:space="preserve"> </w:t>
      </w:r>
      <w:proofErr w:type="spellStart"/>
      <w:r w:rsidRPr="00D115F0">
        <w:rPr>
          <w:rFonts w:ascii="Arial" w:hAnsi="Arial" w:cs="Arial"/>
          <w:lang w:val="mk-MK"/>
        </w:rPr>
        <w:t>assets</w:t>
      </w:r>
      <w:proofErr w:type="spellEnd"/>
      <w:r w:rsidRPr="00D115F0">
        <w:rPr>
          <w:rFonts w:ascii="Arial" w:hAnsi="Arial" w:cs="Arial"/>
          <w:lang w:val="mk-MK"/>
        </w:rPr>
        <w:t xml:space="preserve"> </w:t>
      </w:r>
      <w:proofErr w:type="spellStart"/>
      <w:r w:rsidRPr="00D115F0">
        <w:rPr>
          <w:rFonts w:ascii="Arial" w:hAnsi="Arial" w:cs="Arial"/>
          <w:lang w:val="mk-MK"/>
        </w:rPr>
        <w:t>will</w:t>
      </w:r>
      <w:proofErr w:type="spellEnd"/>
      <w:r w:rsidRPr="00D115F0">
        <w:rPr>
          <w:rFonts w:ascii="Arial" w:hAnsi="Arial" w:cs="Arial"/>
          <w:lang w:val="mk-MK"/>
        </w:rPr>
        <w:t xml:space="preserve"> </w:t>
      </w:r>
      <w:proofErr w:type="spellStart"/>
      <w:r w:rsidRPr="00D115F0">
        <w:rPr>
          <w:rFonts w:ascii="Arial" w:hAnsi="Arial" w:cs="Arial"/>
          <w:lang w:val="mk-MK"/>
        </w:rPr>
        <w:t>be</w:t>
      </w:r>
      <w:proofErr w:type="spellEnd"/>
      <w:r w:rsidRPr="00D115F0">
        <w:rPr>
          <w:rFonts w:ascii="Arial" w:hAnsi="Arial" w:cs="Arial"/>
          <w:lang w:val="mk-MK"/>
        </w:rPr>
        <w:t xml:space="preserve"> </w:t>
      </w:r>
      <w:proofErr w:type="spellStart"/>
      <w:r w:rsidRPr="00D115F0">
        <w:rPr>
          <w:rFonts w:ascii="Arial" w:hAnsi="Arial" w:cs="Arial"/>
          <w:lang w:val="mk-MK"/>
        </w:rPr>
        <w:t>reclassified</w:t>
      </w:r>
      <w:proofErr w:type="spellEnd"/>
      <w:r w:rsidRPr="00D115F0">
        <w:rPr>
          <w:rFonts w:ascii="Arial" w:hAnsi="Arial" w:cs="Arial"/>
          <w:lang w:val="mk-MK"/>
        </w:rPr>
        <w:t xml:space="preserve"> </w:t>
      </w:r>
      <w:proofErr w:type="spellStart"/>
      <w:r w:rsidRPr="00D115F0">
        <w:rPr>
          <w:rFonts w:ascii="Arial" w:hAnsi="Arial" w:cs="Arial"/>
          <w:lang w:val="mk-MK"/>
        </w:rPr>
        <w:t>in</w:t>
      </w:r>
      <w:proofErr w:type="spellEnd"/>
      <w:r w:rsidRPr="00D115F0">
        <w:rPr>
          <w:rFonts w:ascii="Arial" w:hAnsi="Arial" w:cs="Arial"/>
          <w:lang w:val="mk-MK"/>
        </w:rPr>
        <w:t xml:space="preserve"> </w:t>
      </w:r>
      <w:proofErr w:type="spellStart"/>
      <w:r w:rsidRPr="00D115F0">
        <w:rPr>
          <w:rFonts w:ascii="Arial" w:hAnsi="Arial" w:cs="Arial"/>
          <w:lang w:val="mk-MK"/>
        </w:rPr>
        <w:t>financial</w:t>
      </w:r>
      <w:proofErr w:type="spellEnd"/>
      <w:r w:rsidRPr="00D115F0">
        <w:rPr>
          <w:rFonts w:ascii="Arial" w:hAnsi="Arial" w:cs="Arial"/>
          <w:lang w:val="mk-MK"/>
        </w:rPr>
        <w:t xml:space="preserve"> </w:t>
      </w:r>
      <w:proofErr w:type="spellStart"/>
      <w:r w:rsidRPr="00D115F0">
        <w:rPr>
          <w:rFonts w:ascii="Arial" w:hAnsi="Arial" w:cs="Arial"/>
          <w:lang w:val="mk-MK"/>
        </w:rPr>
        <w:t>assets</w:t>
      </w:r>
      <w:proofErr w:type="spellEnd"/>
      <w:r w:rsidRPr="00D115F0">
        <w:rPr>
          <w:rFonts w:ascii="Arial" w:hAnsi="Arial" w:cs="Arial"/>
          <w:lang w:val="mk-MK"/>
        </w:rPr>
        <w:t xml:space="preserve"> </w:t>
      </w:r>
      <w:proofErr w:type="spellStart"/>
      <w:r w:rsidRPr="00D115F0">
        <w:rPr>
          <w:rFonts w:ascii="Arial" w:hAnsi="Arial" w:cs="Arial"/>
          <w:lang w:val="mk-MK"/>
        </w:rPr>
        <w:t>available</w:t>
      </w:r>
      <w:proofErr w:type="spellEnd"/>
      <w:r w:rsidRPr="00D115F0">
        <w:rPr>
          <w:rFonts w:ascii="Arial" w:hAnsi="Arial" w:cs="Arial"/>
          <w:lang w:val="mk-MK"/>
        </w:rPr>
        <w:t xml:space="preserve"> </w:t>
      </w:r>
      <w:proofErr w:type="spellStart"/>
      <w:r w:rsidRPr="00D115F0">
        <w:rPr>
          <w:rFonts w:ascii="Arial" w:hAnsi="Arial" w:cs="Arial"/>
          <w:lang w:val="mk-MK"/>
        </w:rPr>
        <w:t>for</w:t>
      </w:r>
      <w:proofErr w:type="spellEnd"/>
      <w:r w:rsidRPr="00D115F0">
        <w:rPr>
          <w:rFonts w:ascii="Arial" w:hAnsi="Arial" w:cs="Arial"/>
          <w:lang w:val="mk-MK"/>
        </w:rPr>
        <w:t xml:space="preserve"> </w:t>
      </w:r>
      <w:proofErr w:type="spellStart"/>
      <w:r w:rsidRPr="00D115F0">
        <w:rPr>
          <w:rFonts w:ascii="Arial" w:hAnsi="Arial" w:cs="Arial"/>
          <w:lang w:val="mk-MK"/>
        </w:rPr>
        <w:t>sale</w:t>
      </w:r>
      <w:proofErr w:type="spellEnd"/>
      <w:r w:rsidRPr="00D115F0">
        <w:rPr>
          <w:rFonts w:ascii="Arial" w:hAnsi="Arial" w:cs="Arial"/>
          <w:lang w:val="mk-MK"/>
        </w:rPr>
        <w:t xml:space="preserve">. </w:t>
      </w:r>
      <w:proofErr w:type="spellStart"/>
      <w:r w:rsidRPr="00D115F0">
        <w:rPr>
          <w:rFonts w:ascii="Arial" w:hAnsi="Arial" w:cs="Arial"/>
          <w:lang w:val="mk-MK"/>
        </w:rPr>
        <w:t>The</w:t>
      </w:r>
      <w:proofErr w:type="spellEnd"/>
      <w:r w:rsidRPr="00D115F0">
        <w:rPr>
          <w:rFonts w:ascii="Arial" w:hAnsi="Arial" w:cs="Arial"/>
          <w:lang w:val="mk-MK"/>
        </w:rPr>
        <w:t xml:space="preserve"> </w:t>
      </w:r>
      <w:proofErr w:type="spellStart"/>
      <w:r w:rsidRPr="00D115F0">
        <w:rPr>
          <w:rFonts w:ascii="Arial" w:hAnsi="Arial" w:cs="Arial"/>
          <w:lang w:val="mk-MK"/>
        </w:rPr>
        <w:t>Fund</w:t>
      </w:r>
      <w:proofErr w:type="spellEnd"/>
      <w:r w:rsidRPr="00D115F0">
        <w:rPr>
          <w:rFonts w:ascii="Arial" w:hAnsi="Arial" w:cs="Arial"/>
          <w:lang w:val="mk-MK"/>
        </w:rPr>
        <w:t xml:space="preserve"> </w:t>
      </w:r>
      <w:proofErr w:type="spellStart"/>
      <w:r w:rsidRPr="00D115F0">
        <w:rPr>
          <w:rFonts w:ascii="Arial" w:hAnsi="Arial" w:cs="Arial"/>
          <w:lang w:val="mk-MK"/>
        </w:rPr>
        <w:t>classifies</w:t>
      </w:r>
      <w:proofErr w:type="spellEnd"/>
      <w:r w:rsidRPr="00D115F0">
        <w:rPr>
          <w:rFonts w:ascii="Arial" w:hAnsi="Arial" w:cs="Arial"/>
          <w:lang w:val="mk-MK"/>
        </w:rPr>
        <w:t xml:space="preserve"> </w:t>
      </w:r>
      <w:proofErr w:type="spellStart"/>
      <w:r w:rsidRPr="00D115F0">
        <w:rPr>
          <w:rFonts w:ascii="Arial" w:hAnsi="Arial" w:cs="Arial"/>
          <w:lang w:val="mk-MK"/>
        </w:rPr>
        <w:t>in</w:t>
      </w:r>
      <w:proofErr w:type="spellEnd"/>
      <w:r w:rsidRPr="00D115F0">
        <w:rPr>
          <w:rFonts w:ascii="Arial" w:hAnsi="Arial" w:cs="Arial"/>
          <w:lang w:val="mk-MK"/>
        </w:rPr>
        <w:t xml:space="preserve"> </w:t>
      </w:r>
      <w:proofErr w:type="spellStart"/>
      <w:r w:rsidRPr="00D115F0">
        <w:rPr>
          <w:rFonts w:ascii="Arial" w:hAnsi="Arial" w:cs="Arial"/>
          <w:lang w:val="mk-MK"/>
        </w:rPr>
        <w:t>this</w:t>
      </w:r>
      <w:proofErr w:type="spellEnd"/>
      <w:r w:rsidRPr="00D115F0">
        <w:rPr>
          <w:rFonts w:ascii="Arial" w:hAnsi="Arial" w:cs="Arial"/>
          <w:lang w:val="mk-MK"/>
        </w:rPr>
        <w:t xml:space="preserve"> </w:t>
      </w:r>
      <w:proofErr w:type="spellStart"/>
      <w:r w:rsidRPr="00D115F0">
        <w:rPr>
          <w:rFonts w:ascii="Arial" w:hAnsi="Arial" w:cs="Arial"/>
          <w:lang w:val="mk-MK"/>
        </w:rPr>
        <w:t>category</w:t>
      </w:r>
      <w:proofErr w:type="spellEnd"/>
      <w:r w:rsidRPr="00D115F0">
        <w:rPr>
          <w:rFonts w:ascii="Arial" w:hAnsi="Arial" w:cs="Arial"/>
          <w:lang w:val="mk-MK"/>
        </w:rPr>
        <w:t xml:space="preserve"> </w:t>
      </w:r>
      <w:proofErr w:type="spellStart"/>
      <w:r w:rsidRPr="00D115F0">
        <w:rPr>
          <w:rFonts w:ascii="Arial" w:hAnsi="Arial" w:cs="Arial"/>
          <w:lang w:val="mk-MK"/>
        </w:rPr>
        <w:t>the</w:t>
      </w:r>
      <w:proofErr w:type="spellEnd"/>
      <w:r w:rsidRPr="00D115F0">
        <w:rPr>
          <w:rFonts w:ascii="Arial" w:hAnsi="Arial" w:cs="Arial"/>
          <w:lang w:val="mk-MK"/>
        </w:rPr>
        <w:t xml:space="preserve"> </w:t>
      </w:r>
      <w:proofErr w:type="spellStart"/>
      <w:r w:rsidRPr="00D115F0">
        <w:rPr>
          <w:rFonts w:ascii="Arial" w:hAnsi="Arial" w:cs="Arial"/>
          <w:lang w:val="mk-MK"/>
        </w:rPr>
        <w:t>short</w:t>
      </w:r>
      <w:proofErr w:type="spellEnd"/>
      <w:r w:rsidR="003F17F1">
        <w:rPr>
          <w:rFonts w:ascii="Arial" w:hAnsi="Arial" w:cs="Arial"/>
        </w:rPr>
        <w:t xml:space="preserve"> </w:t>
      </w:r>
      <w:proofErr w:type="spellStart"/>
      <w:r w:rsidRPr="00D115F0">
        <w:rPr>
          <w:rFonts w:ascii="Arial" w:hAnsi="Arial" w:cs="Arial"/>
          <w:lang w:val="mk-MK"/>
        </w:rPr>
        <w:t>term</w:t>
      </w:r>
      <w:proofErr w:type="spellEnd"/>
      <w:r w:rsidRPr="00D115F0">
        <w:rPr>
          <w:rFonts w:ascii="Arial" w:hAnsi="Arial" w:cs="Arial"/>
          <w:lang w:val="mk-MK"/>
        </w:rPr>
        <w:t xml:space="preserve"> </w:t>
      </w:r>
      <w:proofErr w:type="spellStart"/>
      <w:r w:rsidRPr="00D115F0">
        <w:rPr>
          <w:rFonts w:ascii="Arial" w:hAnsi="Arial" w:cs="Arial"/>
          <w:lang w:val="mk-MK"/>
        </w:rPr>
        <w:t>securities</w:t>
      </w:r>
      <w:proofErr w:type="spellEnd"/>
      <w:r w:rsidRPr="00D115F0">
        <w:rPr>
          <w:rFonts w:ascii="Arial" w:hAnsi="Arial" w:cs="Arial"/>
          <w:lang w:val="mk-MK"/>
        </w:rPr>
        <w:t xml:space="preserve"> – </w:t>
      </w:r>
      <w:proofErr w:type="spellStart"/>
      <w:r w:rsidRPr="00D115F0">
        <w:rPr>
          <w:rFonts w:ascii="Arial" w:hAnsi="Arial" w:cs="Arial"/>
          <w:lang w:val="mk-MK"/>
        </w:rPr>
        <w:t>government</w:t>
      </w:r>
      <w:proofErr w:type="spellEnd"/>
      <w:r w:rsidRPr="00D115F0">
        <w:rPr>
          <w:rFonts w:ascii="Arial" w:hAnsi="Arial" w:cs="Arial"/>
          <w:lang w:val="mk-MK"/>
        </w:rPr>
        <w:t xml:space="preserve"> </w:t>
      </w:r>
      <w:proofErr w:type="spellStart"/>
      <w:r w:rsidRPr="00D115F0">
        <w:rPr>
          <w:rFonts w:ascii="Arial" w:hAnsi="Arial" w:cs="Arial"/>
          <w:lang w:val="mk-MK"/>
        </w:rPr>
        <w:t>bills</w:t>
      </w:r>
      <w:proofErr w:type="spellEnd"/>
      <w:r w:rsidRPr="00D115F0">
        <w:rPr>
          <w:rFonts w:ascii="Arial" w:hAnsi="Arial" w:cs="Arial"/>
          <w:lang w:val="mk-MK"/>
        </w:rPr>
        <w:t xml:space="preserve"> </w:t>
      </w:r>
      <w:proofErr w:type="spellStart"/>
      <w:r w:rsidRPr="00D115F0">
        <w:rPr>
          <w:rFonts w:ascii="Arial" w:hAnsi="Arial" w:cs="Arial"/>
          <w:lang w:val="mk-MK"/>
        </w:rPr>
        <w:t>with</w:t>
      </w:r>
      <w:proofErr w:type="spellEnd"/>
      <w:r w:rsidRPr="00D115F0">
        <w:rPr>
          <w:rFonts w:ascii="Arial" w:hAnsi="Arial" w:cs="Arial"/>
          <w:lang w:val="mk-MK"/>
        </w:rPr>
        <w:t xml:space="preserve"> </w:t>
      </w:r>
      <w:proofErr w:type="spellStart"/>
      <w:r w:rsidRPr="00D115F0">
        <w:rPr>
          <w:rFonts w:ascii="Arial" w:hAnsi="Arial" w:cs="Arial"/>
          <w:lang w:val="mk-MK"/>
        </w:rPr>
        <w:t>maturity</w:t>
      </w:r>
      <w:proofErr w:type="spellEnd"/>
      <w:r w:rsidRPr="00D115F0">
        <w:rPr>
          <w:rFonts w:ascii="Arial" w:hAnsi="Arial" w:cs="Arial"/>
          <w:lang w:val="mk-MK"/>
        </w:rPr>
        <w:t xml:space="preserve"> </w:t>
      </w:r>
      <w:proofErr w:type="spellStart"/>
      <w:r w:rsidRPr="00D115F0">
        <w:rPr>
          <w:rFonts w:ascii="Arial" w:hAnsi="Arial" w:cs="Arial"/>
          <w:lang w:val="mk-MK"/>
        </w:rPr>
        <w:t>period</w:t>
      </w:r>
      <w:proofErr w:type="spellEnd"/>
      <w:r w:rsidRPr="00D115F0">
        <w:rPr>
          <w:rFonts w:ascii="Arial" w:hAnsi="Arial" w:cs="Arial"/>
          <w:lang w:val="mk-MK"/>
        </w:rPr>
        <w:t xml:space="preserve"> </w:t>
      </w:r>
      <w:proofErr w:type="spellStart"/>
      <w:r w:rsidRPr="00D115F0">
        <w:rPr>
          <w:rFonts w:ascii="Arial" w:hAnsi="Arial" w:cs="Arial"/>
          <w:lang w:val="mk-MK"/>
        </w:rPr>
        <w:t>of</w:t>
      </w:r>
      <w:proofErr w:type="spellEnd"/>
      <w:r w:rsidRPr="00D115F0">
        <w:rPr>
          <w:rFonts w:ascii="Arial" w:hAnsi="Arial" w:cs="Arial"/>
          <w:lang w:val="mk-MK"/>
        </w:rPr>
        <w:t xml:space="preserve"> 12 </w:t>
      </w:r>
      <w:proofErr w:type="spellStart"/>
      <w:r w:rsidRPr="00D115F0">
        <w:rPr>
          <w:rFonts w:ascii="Arial" w:hAnsi="Arial" w:cs="Arial"/>
          <w:lang w:val="mk-MK"/>
        </w:rPr>
        <w:t>months</w:t>
      </w:r>
      <w:proofErr w:type="spellEnd"/>
      <w:r w:rsidRPr="00D115F0">
        <w:rPr>
          <w:rFonts w:ascii="Arial" w:hAnsi="Arial" w:cs="Arial"/>
          <w:lang w:val="mk-MK"/>
        </w:rPr>
        <w:t>.</w:t>
      </w:r>
    </w:p>
    <w:p w14:paraId="0D0839FD" w14:textId="77777777" w:rsidR="00126FCB" w:rsidRDefault="00126FCB" w:rsidP="00126FCB">
      <w:pPr>
        <w:pStyle w:val="BodyText"/>
        <w:jc w:val="both"/>
        <w:rPr>
          <w:rFonts w:ascii="Arial" w:hAnsi="Arial" w:cs="Arial"/>
          <w:i/>
          <w:iCs/>
          <w:kern w:val="32"/>
          <w:lang w:val="mk-MK"/>
        </w:rPr>
      </w:pPr>
      <w:proofErr w:type="spellStart"/>
      <w:r w:rsidRPr="00C636E8">
        <w:rPr>
          <w:rFonts w:ascii="Arial" w:hAnsi="Arial" w:cs="Arial"/>
          <w:i/>
          <w:iCs/>
          <w:kern w:val="32"/>
          <w:lang w:val="mk-MK"/>
        </w:rPr>
        <w:t>Initial</w:t>
      </w:r>
      <w:proofErr w:type="spellEnd"/>
      <w:r w:rsidRPr="00C636E8">
        <w:rPr>
          <w:rFonts w:ascii="Arial" w:hAnsi="Arial" w:cs="Arial"/>
          <w:i/>
          <w:iCs/>
          <w:kern w:val="32"/>
          <w:lang w:val="mk-MK"/>
        </w:rPr>
        <w:t xml:space="preserve"> </w:t>
      </w:r>
      <w:proofErr w:type="spellStart"/>
      <w:r w:rsidRPr="00C636E8">
        <w:rPr>
          <w:rFonts w:ascii="Arial" w:hAnsi="Arial" w:cs="Arial"/>
          <w:i/>
          <w:iCs/>
          <w:kern w:val="32"/>
          <w:lang w:val="mk-MK"/>
        </w:rPr>
        <w:t>recognition</w:t>
      </w:r>
      <w:proofErr w:type="spellEnd"/>
      <w:r w:rsidRPr="00C636E8">
        <w:rPr>
          <w:rFonts w:ascii="Arial" w:hAnsi="Arial" w:cs="Arial"/>
          <w:i/>
          <w:iCs/>
          <w:kern w:val="32"/>
          <w:lang w:val="mk-MK"/>
        </w:rPr>
        <w:t xml:space="preserve"> </w:t>
      </w:r>
      <w:proofErr w:type="spellStart"/>
      <w:r w:rsidRPr="00C636E8">
        <w:rPr>
          <w:rFonts w:ascii="Arial" w:hAnsi="Arial" w:cs="Arial"/>
          <w:i/>
          <w:iCs/>
          <w:kern w:val="32"/>
          <w:lang w:val="mk-MK"/>
        </w:rPr>
        <w:t>and</w:t>
      </w:r>
      <w:proofErr w:type="spellEnd"/>
      <w:r w:rsidRPr="00C636E8">
        <w:rPr>
          <w:rFonts w:ascii="Arial" w:hAnsi="Arial" w:cs="Arial"/>
          <w:i/>
          <w:iCs/>
          <w:kern w:val="32"/>
          <w:lang w:val="mk-MK"/>
        </w:rPr>
        <w:t xml:space="preserve"> </w:t>
      </w:r>
      <w:proofErr w:type="spellStart"/>
      <w:r w:rsidRPr="00C636E8">
        <w:rPr>
          <w:rFonts w:ascii="Arial" w:hAnsi="Arial" w:cs="Arial"/>
          <w:i/>
          <w:iCs/>
          <w:kern w:val="32"/>
          <w:lang w:val="mk-MK"/>
        </w:rPr>
        <w:t>derecognition</w:t>
      </w:r>
      <w:proofErr w:type="spellEnd"/>
    </w:p>
    <w:p w14:paraId="0FA55E14" w14:textId="77777777" w:rsidR="00126FCB" w:rsidRPr="001E6526" w:rsidRDefault="00126FCB" w:rsidP="00126FCB">
      <w:pPr>
        <w:pStyle w:val="BodyText"/>
        <w:jc w:val="both"/>
        <w:rPr>
          <w:rFonts w:ascii="Arial" w:hAnsi="Arial" w:cs="Arial"/>
          <w:lang w:val="mk-MK"/>
        </w:rPr>
      </w:pPr>
      <w:proofErr w:type="spellStart"/>
      <w:r w:rsidRPr="00C636E8">
        <w:rPr>
          <w:rFonts w:ascii="Arial" w:hAnsi="Arial" w:cs="Arial"/>
          <w:lang w:val="mk-MK"/>
        </w:rPr>
        <w:t>Purchases</w:t>
      </w:r>
      <w:proofErr w:type="spellEnd"/>
      <w:r w:rsidRPr="00C636E8">
        <w:rPr>
          <w:rFonts w:ascii="Arial" w:hAnsi="Arial" w:cs="Arial"/>
          <w:lang w:val="mk-MK"/>
        </w:rPr>
        <w:t xml:space="preserve"> </w:t>
      </w:r>
      <w:proofErr w:type="spellStart"/>
      <w:r w:rsidRPr="00C636E8">
        <w:rPr>
          <w:rFonts w:ascii="Arial" w:hAnsi="Arial" w:cs="Arial"/>
          <w:lang w:val="mk-MK"/>
        </w:rPr>
        <w:t>and</w:t>
      </w:r>
      <w:proofErr w:type="spellEnd"/>
      <w:r w:rsidRPr="00C636E8">
        <w:rPr>
          <w:rFonts w:ascii="Arial" w:hAnsi="Arial" w:cs="Arial"/>
          <w:lang w:val="mk-MK"/>
        </w:rPr>
        <w:t xml:space="preserve"> </w:t>
      </w:r>
      <w:proofErr w:type="spellStart"/>
      <w:r w:rsidRPr="00C636E8">
        <w:rPr>
          <w:rFonts w:ascii="Arial" w:hAnsi="Arial" w:cs="Arial"/>
          <w:lang w:val="mk-MK"/>
        </w:rPr>
        <w:t>sales</w:t>
      </w:r>
      <w:proofErr w:type="spellEnd"/>
      <w:r w:rsidRPr="00C636E8">
        <w:rPr>
          <w:rFonts w:ascii="Arial" w:hAnsi="Arial" w:cs="Arial"/>
          <w:lang w:val="mk-MK"/>
        </w:rPr>
        <w:t xml:space="preserve"> </w:t>
      </w:r>
      <w:proofErr w:type="spellStart"/>
      <w:r w:rsidRPr="00C636E8">
        <w:rPr>
          <w:rFonts w:ascii="Arial" w:hAnsi="Arial" w:cs="Arial"/>
          <w:lang w:val="mk-MK"/>
        </w:rPr>
        <w:t>of</w:t>
      </w:r>
      <w:proofErr w:type="spellEnd"/>
      <w:r w:rsidRPr="00C636E8">
        <w:rPr>
          <w:rFonts w:ascii="Arial" w:hAnsi="Arial" w:cs="Arial"/>
          <w:lang w:val="mk-MK"/>
        </w:rPr>
        <w:t xml:space="preserve"> </w:t>
      </w:r>
      <w:proofErr w:type="spellStart"/>
      <w:r w:rsidRPr="00C636E8">
        <w:rPr>
          <w:rFonts w:ascii="Arial" w:hAnsi="Arial" w:cs="Arial"/>
          <w:lang w:val="mk-MK"/>
        </w:rPr>
        <w:t>financial</w:t>
      </w:r>
      <w:proofErr w:type="spellEnd"/>
      <w:r w:rsidRPr="00C636E8">
        <w:rPr>
          <w:rFonts w:ascii="Arial" w:hAnsi="Arial" w:cs="Arial"/>
          <w:lang w:val="mk-MK"/>
        </w:rPr>
        <w:t xml:space="preserve"> </w:t>
      </w:r>
      <w:proofErr w:type="spellStart"/>
      <w:r w:rsidRPr="00C636E8">
        <w:rPr>
          <w:rFonts w:ascii="Arial" w:hAnsi="Arial" w:cs="Arial"/>
          <w:lang w:val="mk-MK"/>
        </w:rPr>
        <w:t>assets</w:t>
      </w:r>
      <w:proofErr w:type="spellEnd"/>
      <w:r w:rsidRPr="00C636E8">
        <w:rPr>
          <w:rFonts w:ascii="Arial" w:hAnsi="Arial" w:cs="Arial"/>
          <w:lang w:val="mk-MK"/>
        </w:rPr>
        <w:t xml:space="preserve"> </w:t>
      </w:r>
      <w:proofErr w:type="spellStart"/>
      <w:r w:rsidRPr="00C636E8">
        <w:rPr>
          <w:rFonts w:ascii="Arial" w:hAnsi="Arial" w:cs="Arial"/>
          <w:lang w:val="mk-MK"/>
        </w:rPr>
        <w:t>available</w:t>
      </w:r>
      <w:proofErr w:type="spellEnd"/>
      <w:r w:rsidRPr="00C636E8">
        <w:rPr>
          <w:rFonts w:ascii="Arial" w:hAnsi="Arial" w:cs="Arial"/>
          <w:lang w:val="mk-MK"/>
        </w:rPr>
        <w:t xml:space="preserve"> </w:t>
      </w:r>
      <w:proofErr w:type="spellStart"/>
      <w:r w:rsidRPr="00C636E8">
        <w:rPr>
          <w:rFonts w:ascii="Arial" w:hAnsi="Arial" w:cs="Arial"/>
          <w:lang w:val="mk-MK"/>
        </w:rPr>
        <w:t>for</w:t>
      </w:r>
      <w:proofErr w:type="spellEnd"/>
      <w:r w:rsidRPr="00C636E8">
        <w:rPr>
          <w:rFonts w:ascii="Arial" w:hAnsi="Arial" w:cs="Arial"/>
          <w:lang w:val="mk-MK"/>
        </w:rPr>
        <w:t xml:space="preserve"> </w:t>
      </w:r>
      <w:proofErr w:type="spellStart"/>
      <w:r w:rsidRPr="00C636E8">
        <w:rPr>
          <w:rFonts w:ascii="Arial" w:hAnsi="Arial" w:cs="Arial"/>
          <w:lang w:val="mk-MK"/>
        </w:rPr>
        <w:t>sale</w:t>
      </w:r>
      <w:proofErr w:type="spellEnd"/>
      <w:r w:rsidRPr="00C636E8">
        <w:rPr>
          <w:rFonts w:ascii="Arial" w:hAnsi="Arial" w:cs="Arial"/>
          <w:lang w:val="mk-MK"/>
        </w:rPr>
        <w:t xml:space="preserve"> </w:t>
      </w:r>
      <w:proofErr w:type="spellStart"/>
      <w:r w:rsidRPr="00C636E8">
        <w:rPr>
          <w:rFonts w:ascii="Arial" w:hAnsi="Arial" w:cs="Arial"/>
          <w:lang w:val="mk-MK"/>
        </w:rPr>
        <w:t>and</w:t>
      </w:r>
      <w:proofErr w:type="spellEnd"/>
      <w:r w:rsidRPr="00C636E8">
        <w:rPr>
          <w:rFonts w:ascii="Arial" w:hAnsi="Arial" w:cs="Arial"/>
          <w:lang w:val="mk-MK"/>
        </w:rPr>
        <w:t xml:space="preserve"> </w:t>
      </w:r>
      <w:proofErr w:type="spellStart"/>
      <w:r w:rsidRPr="00C636E8">
        <w:rPr>
          <w:rFonts w:ascii="Arial" w:hAnsi="Arial" w:cs="Arial"/>
          <w:lang w:val="mk-MK"/>
        </w:rPr>
        <w:t>financial</w:t>
      </w:r>
      <w:proofErr w:type="spellEnd"/>
      <w:r w:rsidRPr="00C636E8">
        <w:rPr>
          <w:rFonts w:ascii="Arial" w:hAnsi="Arial" w:cs="Arial"/>
          <w:lang w:val="mk-MK"/>
        </w:rPr>
        <w:t xml:space="preserve"> </w:t>
      </w:r>
      <w:proofErr w:type="spellStart"/>
      <w:r w:rsidRPr="00C636E8">
        <w:rPr>
          <w:rFonts w:ascii="Arial" w:hAnsi="Arial" w:cs="Arial"/>
          <w:lang w:val="mk-MK"/>
        </w:rPr>
        <w:t>assets</w:t>
      </w:r>
      <w:proofErr w:type="spellEnd"/>
      <w:r w:rsidRPr="00C636E8">
        <w:rPr>
          <w:rFonts w:ascii="Arial" w:hAnsi="Arial" w:cs="Arial"/>
          <w:lang w:val="mk-MK"/>
        </w:rPr>
        <w:t xml:space="preserve"> </w:t>
      </w:r>
      <w:proofErr w:type="spellStart"/>
      <w:r w:rsidRPr="00C636E8">
        <w:rPr>
          <w:rFonts w:ascii="Arial" w:hAnsi="Arial" w:cs="Arial"/>
          <w:lang w:val="mk-MK"/>
        </w:rPr>
        <w:t>held</w:t>
      </w:r>
      <w:proofErr w:type="spellEnd"/>
      <w:r>
        <w:rPr>
          <w:rFonts w:ascii="Arial" w:hAnsi="Arial" w:cs="Arial"/>
          <w:lang w:val="en-US"/>
        </w:rPr>
        <w:t xml:space="preserve"> </w:t>
      </w:r>
      <w:proofErr w:type="spellStart"/>
      <w:r w:rsidRPr="00C636E8">
        <w:rPr>
          <w:rFonts w:ascii="Arial" w:hAnsi="Arial" w:cs="Arial"/>
          <w:lang w:val="mk-MK"/>
        </w:rPr>
        <w:t>to</w:t>
      </w:r>
      <w:proofErr w:type="spellEnd"/>
      <w:r>
        <w:rPr>
          <w:rFonts w:ascii="Arial" w:hAnsi="Arial" w:cs="Arial"/>
          <w:lang w:val="en-US"/>
        </w:rPr>
        <w:t xml:space="preserve"> </w:t>
      </w:r>
      <w:proofErr w:type="spellStart"/>
      <w:r w:rsidRPr="00C636E8">
        <w:rPr>
          <w:rFonts w:ascii="Arial" w:hAnsi="Arial" w:cs="Arial"/>
          <w:lang w:val="mk-MK"/>
        </w:rPr>
        <w:t>maturity</w:t>
      </w:r>
      <w:proofErr w:type="spellEnd"/>
      <w:r w:rsidRPr="00C636E8">
        <w:rPr>
          <w:rFonts w:ascii="Arial" w:hAnsi="Arial" w:cs="Arial"/>
          <w:lang w:val="mk-MK"/>
        </w:rPr>
        <w:t xml:space="preserve"> </w:t>
      </w:r>
      <w:proofErr w:type="spellStart"/>
      <w:r w:rsidRPr="00C636E8">
        <w:rPr>
          <w:rFonts w:ascii="Arial" w:hAnsi="Arial" w:cs="Arial"/>
          <w:lang w:val="mk-MK"/>
        </w:rPr>
        <w:t>are</w:t>
      </w:r>
      <w:proofErr w:type="spellEnd"/>
      <w:r w:rsidRPr="00C636E8">
        <w:rPr>
          <w:rFonts w:ascii="Arial" w:hAnsi="Arial" w:cs="Arial"/>
          <w:lang w:val="mk-MK"/>
        </w:rPr>
        <w:t xml:space="preserve"> </w:t>
      </w:r>
      <w:proofErr w:type="spellStart"/>
      <w:r w:rsidRPr="00C636E8">
        <w:rPr>
          <w:rFonts w:ascii="Arial" w:hAnsi="Arial" w:cs="Arial"/>
          <w:lang w:val="mk-MK"/>
        </w:rPr>
        <w:t>recognised</w:t>
      </w:r>
      <w:proofErr w:type="spellEnd"/>
      <w:r w:rsidRPr="00C636E8">
        <w:rPr>
          <w:rFonts w:ascii="Arial" w:hAnsi="Arial" w:cs="Arial"/>
          <w:lang w:val="mk-MK"/>
        </w:rPr>
        <w:t xml:space="preserve"> </w:t>
      </w:r>
      <w:proofErr w:type="spellStart"/>
      <w:r w:rsidRPr="00C636E8">
        <w:rPr>
          <w:rFonts w:ascii="Arial" w:hAnsi="Arial" w:cs="Arial"/>
          <w:lang w:val="mk-MK"/>
        </w:rPr>
        <w:t>on</w:t>
      </w:r>
      <w:proofErr w:type="spellEnd"/>
      <w:r w:rsidRPr="00C636E8">
        <w:rPr>
          <w:rFonts w:ascii="Arial" w:hAnsi="Arial" w:cs="Arial"/>
          <w:lang w:val="mk-MK"/>
        </w:rPr>
        <w:t xml:space="preserve"> </w:t>
      </w:r>
      <w:proofErr w:type="spellStart"/>
      <w:r w:rsidRPr="00C636E8">
        <w:rPr>
          <w:rFonts w:ascii="Arial" w:hAnsi="Arial" w:cs="Arial"/>
          <w:lang w:val="mk-MK"/>
        </w:rPr>
        <w:t>trade</w:t>
      </w:r>
      <w:proofErr w:type="spellEnd"/>
      <w:r w:rsidRPr="00C636E8">
        <w:rPr>
          <w:rFonts w:ascii="Arial" w:hAnsi="Arial" w:cs="Arial"/>
          <w:lang w:val="mk-MK"/>
        </w:rPr>
        <w:t xml:space="preserve"> </w:t>
      </w:r>
      <w:proofErr w:type="spellStart"/>
      <w:r w:rsidRPr="00C636E8">
        <w:rPr>
          <w:rFonts w:ascii="Arial" w:hAnsi="Arial" w:cs="Arial"/>
          <w:lang w:val="mk-MK"/>
        </w:rPr>
        <w:t>date</w:t>
      </w:r>
      <w:proofErr w:type="spellEnd"/>
      <w:r w:rsidRPr="00C636E8">
        <w:rPr>
          <w:rFonts w:ascii="Arial" w:hAnsi="Arial" w:cs="Arial"/>
          <w:lang w:val="mk-MK"/>
        </w:rPr>
        <w:t xml:space="preserve"> – </w:t>
      </w:r>
      <w:proofErr w:type="spellStart"/>
      <w:r w:rsidRPr="00C636E8">
        <w:rPr>
          <w:rFonts w:ascii="Arial" w:hAnsi="Arial" w:cs="Arial"/>
          <w:lang w:val="mk-MK"/>
        </w:rPr>
        <w:t>the</w:t>
      </w:r>
      <w:proofErr w:type="spellEnd"/>
      <w:r w:rsidRPr="00C636E8">
        <w:rPr>
          <w:rFonts w:ascii="Arial" w:hAnsi="Arial" w:cs="Arial"/>
          <w:lang w:val="mk-MK"/>
        </w:rPr>
        <w:t xml:space="preserve"> </w:t>
      </w:r>
      <w:proofErr w:type="spellStart"/>
      <w:r w:rsidRPr="00C636E8">
        <w:rPr>
          <w:rFonts w:ascii="Arial" w:hAnsi="Arial" w:cs="Arial"/>
          <w:lang w:val="mk-MK"/>
        </w:rPr>
        <w:t>date</w:t>
      </w:r>
      <w:proofErr w:type="spellEnd"/>
      <w:r w:rsidRPr="00C636E8">
        <w:rPr>
          <w:rFonts w:ascii="Arial" w:hAnsi="Arial" w:cs="Arial"/>
          <w:lang w:val="mk-MK"/>
        </w:rPr>
        <w:t xml:space="preserve"> </w:t>
      </w:r>
      <w:proofErr w:type="spellStart"/>
      <w:r w:rsidRPr="00C636E8">
        <w:rPr>
          <w:rFonts w:ascii="Arial" w:hAnsi="Arial" w:cs="Arial"/>
          <w:lang w:val="mk-MK"/>
        </w:rPr>
        <w:t>on</w:t>
      </w:r>
      <w:proofErr w:type="spellEnd"/>
      <w:r w:rsidRPr="00C636E8">
        <w:rPr>
          <w:rFonts w:ascii="Arial" w:hAnsi="Arial" w:cs="Arial"/>
          <w:lang w:val="mk-MK"/>
        </w:rPr>
        <w:t xml:space="preserve"> </w:t>
      </w:r>
      <w:proofErr w:type="spellStart"/>
      <w:r w:rsidRPr="00C636E8">
        <w:rPr>
          <w:rFonts w:ascii="Arial" w:hAnsi="Arial" w:cs="Arial"/>
          <w:lang w:val="mk-MK"/>
        </w:rPr>
        <w:t>which</w:t>
      </w:r>
      <w:proofErr w:type="spellEnd"/>
      <w:r w:rsidRPr="00C636E8">
        <w:rPr>
          <w:rFonts w:ascii="Arial" w:hAnsi="Arial" w:cs="Arial"/>
          <w:lang w:val="mk-MK"/>
        </w:rPr>
        <w:t xml:space="preserve"> </w:t>
      </w:r>
      <w:proofErr w:type="spellStart"/>
      <w:r w:rsidRPr="00C636E8">
        <w:rPr>
          <w:rFonts w:ascii="Arial" w:hAnsi="Arial" w:cs="Arial"/>
          <w:lang w:val="mk-MK"/>
        </w:rPr>
        <w:t>the</w:t>
      </w:r>
      <w:proofErr w:type="spellEnd"/>
      <w:r w:rsidRPr="00C636E8">
        <w:rPr>
          <w:rFonts w:ascii="Arial" w:hAnsi="Arial" w:cs="Arial"/>
          <w:lang w:val="mk-MK"/>
        </w:rPr>
        <w:t xml:space="preserve"> </w:t>
      </w:r>
      <w:proofErr w:type="spellStart"/>
      <w:r w:rsidRPr="00C636E8">
        <w:rPr>
          <w:rFonts w:ascii="Arial" w:hAnsi="Arial" w:cs="Arial"/>
          <w:lang w:val="mk-MK"/>
        </w:rPr>
        <w:t>Fund</w:t>
      </w:r>
      <w:proofErr w:type="spellEnd"/>
      <w:r w:rsidRPr="00C636E8">
        <w:rPr>
          <w:rFonts w:ascii="Arial" w:hAnsi="Arial" w:cs="Arial"/>
          <w:lang w:val="mk-MK"/>
        </w:rPr>
        <w:t xml:space="preserve"> </w:t>
      </w:r>
      <w:proofErr w:type="spellStart"/>
      <w:r w:rsidRPr="00C636E8">
        <w:rPr>
          <w:rFonts w:ascii="Arial" w:hAnsi="Arial" w:cs="Arial"/>
          <w:lang w:val="mk-MK"/>
        </w:rPr>
        <w:t>commits</w:t>
      </w:r>
      <w:proofErr w:type="spellEnd"/>
      <w:r w:rsidRPr="00C636E8">
        <w:rPr>
          <w:rFonts w:ascii="Arial" w:hAnsi="Arial" w:cs="Arial"/>
          <w:lang w:val="mk-MK"/>
        </w:rPr>
        <w:t xml:space="preserve"> </w:t>
      </w:r>
      <w:proofErr w:type="spellStart"/>
      <w:r w:rsidRPr="00C636E8">
        <w:rPr>
          <w:rFonts w:ascii="Arial" w:hAnsi="Arial" w:cs="Arial"/>
          <w:lang w:val="mk-MK"/>
        </w:rPr>
        <w:t>to</w:t>
      </w:r>
      <w:proofErr w:type="spellEnd"/>
      <w:r w:rsidRPr="00C636E8">
        <w:rPr>
          <w:rFonts w:ascii="Arial" w:hAnsi="Arial" w:cs="Arial"/>
          <w:lang w:val="mk-MK"/>
        </w:rPr>
        <w:t xml:space="preserve"> </w:t>
      </w:r>
      <w:proofErr w:type="spellStart"/>
      <w:r w:rsidRPr="00C636E8">
        <w:rPr>
          <w:rFonts w:ascii="Arial" w:hAnsi="Arial" w:cs="Arial"/>
          <w:lang w:val="mk-MK"/>
        </w:rPr>
        <w:t>purchase</w:t>
      </w:r>
      <w:proofErr w:type="spellEnd"/>
      <w:r w:rsidRPr="00C636E8">
        <w:rPr>
          <w:rFonts w:ascii="Arial" w:hAnsi="Arial" w:cs="Arial"/>
          <w:lang w:val="mk-MK"/>
        </w:rPr>
        <w:t xml:space="preserve"> </w:t>
      </w:r>
      <w:proofErr w:type="spellStart"/>
      <w:r w:rsidRPr="00C636E8">
        <w:rPr>
          <w:rFonts w:ascii="Arial" w:hAnsi="Arial" w:cs="Arial"/>
          <w:lang w:val="mk-MK"/>
        </w:rPr>
        <w:t>or</w:t>
      </w:r>
      <w:proofErr w:type="spellEnd"/>
      <w:r w:rsidRPr="00C636E8">
        <w:rPr>
          <w:rFonts w:ascii="Arial" w:hAnsi="Arial" w:cs="Arial"/>
          <w:lang w:val="mk-MK"/>
        </w:rPr>
        <w:t xml:space="preserve"> </w:t>
      </w:r>
      <w:proofErr w:type="spellStart"/>
      <w:r w:rsidRPr="00C636E8">
        <w:rPr>
          <w:rFonts w:ascii="Arial" w:hAnsi="Arial" w:cs="Arial"/>
          <w:lang w:val="mk-MK"/>
        </w:rPr>
        <w:t>sell</w:t>
      </w:r>
      <w:proofErr w:type="spellEnd"/>
      <w:r w:rsidRPr="00C636E8">
        <w:rPr>
          <w:rFonts w:ascii="Arial" w:hAnsi="Arial" w:cs="Arial"/>
          <w:lang w:val="mk-MK"/>
        </w:rPr>
        <w:t xml:space="preserve"> </w:t>
      </w:r>
      <w:proofErr w:type="spellStart"/>
      <w:r w:rsidRPr="00C636E8">
        <w:rPr>
          <w:rFonts w:ascii="Arial" w:hAnsi="Arial" w:cs="Arial"/>
          <w:lang w:val="mk-MK"/>
        </w:rPr>
        <w:t>the</w:t>
      </w:r>
      <w:proofErr w:type="spellEnd"/>
      <w:r w:rsidRPr="00C636E8">
        <w:rPr>
          <w:rFonts w:ascii="Arial" w:hAnsi="Arial" w:cs="Arial"/>
          <w:lang w:val="mk-MK"/>
        </w:rPr>
        <w:t xml:space="preserve"> </w:t>
      </w:r>
      <w:proofErr w:type="spellStart"/>
      <w:r w:rsidRPr="00C636E8">
        <w:rPr>
          <w:rFonts w:ascii="Arial" w:hAnsi="Arial" w:cs="Arial"/>
          <w:lang w:val="mk-MK"/>
        </w:rPr>
        <w:t>asset</w:t>
      </w:r>
      <w:proofErr w:type="spellEnd"/>
      <w:r w:rsidRPr="00C636E8">
        <w:rPr>
          <w:rFonts w:ascii="Arial" w:hAnsi="Arial" w:cs="Arial"/>
          <w:lang w:val="mk-MK"/>
        </w:rPr>
        <w:t xml:space="preserve">. </w:t>
      </w:r>
      <w:proofErr w:type="spellStart"/>
      <w:r w:rsidRPr="00C636E8">
        <w:rPr>
          <w:rFonts w:ascii="Arial" w:hAnsi="Arial" w:cs="Arial"/>
          <w:lang w:val="mk-MK"/>
        </w:rPr>
        <w:t>Loans</w:t>
      </w:r>
      <w:proofErr w:type="spellEnd"/>
      <w:r w:rsidRPr="00C636E8">
        <w:rPr>
          <w:rFonts w:ascii="Arial" w:hAnsi="Arial" w:cs="Arial"/>
          <w:lang w:val="mk-MK"/>
        </w:rPr>
        <w:t xml:space="preserve"> </w:t>
      </w:r>
      <w:proofErr w:type="spellStart"/>
      <w:r w:rsidRPr="00C636E8">
        <w:rPr>
          <w:rFonts w:ascii="Arial" w:hAnsi="Arial" w:cs="Arial"/>
          <w:lang w:val="mk-MK"/>
        </w:rPr>
        <w:t>are</w:t>
      </w:r>
      <w:proofErr w:type="spellEnd"/>
      <w:r w:rsidRPr="00C636E8">
        <w:rPr>
          <w:rFonts w:ascii="Arial" w:hAnsi="Arial" w:cs="Arial"/>
          <w:lang w:val="mk-MK"/>
        </w:rPr>
        <w:t xml:space="preserve"> </w:t>
      </w:r>
      <w:proofErr w:type="spellStart"/>
      <w:r w:rsidRPr="00C636E8">
        <w:rPr>
          <w:rFonts w:ascii="Arial" w:hAnsi="Arial" w:cs="Arial"/>
          <w:lang w:val="mk-MK"/>
        </w:rPr>
        <w:t>recognized</w:t>
      </w:r>
      <w:proofErr w:type="spellEnd"/>
      <w:r w:rsidRPr="00C636E8">
        <w:rPr>
          <w:rFonts w:ascii="Arial" w:hAnsi="Arial" w:cs="Arial"/>
          <w:lang w:val="mk-MK"/>
        </w:rPr>
        <w:t xml:space="preserve"> </w:t>
      </w:r>
      <w:proofErr w:type="spellStart"/>
      <w:r w:rsidRPr="00C636E8">
        <w:rPr>
          <w:rFonts w:ascii="Arial" w:hAnsi="Arial" w:cs="Arial"/>
          <w:lang w:val="mk-MK"/>
        </w:rPr>
        <w:t>when</w:t>
      </w:r>
      <w:proofErr w:type="spellEnd"/>
      <w:r w:rsidRPr="00C636E8">
        <w:rPr>
          <w:rFonts w:ascii="Arial" w:hAnsi="Arial" w:cs="Arial"/>
          <w:lang w:val="mk-MK"/>
        </w:rPr>
        <w:t xml:space="preserve"> </w:t>
      </w:r>
      <w:proofErr w:type="spellStart"/>
      <w:r w:rsidRPr="00C636E8">
        <w:rPr>
          <w:rFonts w:ascii="Arial" w:hAnsi="Arial" w:cs="Arial"/>
          <w:lang w:val="mk-MK"/>
        </w:rPr>
        <w:t>cash</w:t>
      </w:r>
      <w:proofErr w:type="spellEnd"/>
      <w:r w:rsidRPr="00C636E8">
        <w:rPr>
          <w:rFonts w:ascii="Arial" w:hAnsi="Arial" w:cs="Arial"/>
          <w:lang w:val="mk-MK"/>
        </w:rPr>
        <w:t xml:space="preserve"> </w:t>
      </w:r>
      <w:proofErr w:type="spellStart"/>
      <w:r w:rsidRPr="00C636E8">
        <w:rPr>
          <w:rFonts w:ascii="Arial" w:hAnsi="Arial" w:cs="Arial"/>
          <w:lang w:val="mk-MK"/>
        </w:rPr>
        <w:t>is</w:t>
      </w:r>
      <w:proofErr w:type="spellEnd"/>
      <w:r w:rsidRPr="00C636E8">
        <w:rPr>
          <w:rFonts w:ascii="Arial" w:hAnsi="Arial" w:cs="Arial"/>
          <w:lang w:val="mk-MK"/>
        </w:rPr>
        <w:t xml:space="preserve"> </w:t>
      </w:r>
      <w:proofErr w:type="spellStart"/>
      <w:r w:rsidRPr="00C636E8">
        <w:rPr>
          <w:rFonts w:ascii="Arial" w:hAnsi="Arial" w:cs="Arial"/>
          <w:lang w:val="mk-MK"/>
        </w:rPr>
        <w:t>advanced</w:t>
      </w:r>
      <w:proofErr w:type="spellEnd"/>
      <w:r w:rsidRPr="00C636E8">
        <w:rPr>
          <w:rFonts w:ascii="Arial" w:hAnsi="Arial" w:cs="Arial"/>
          <w:lang w:val="mk-MK"/>
        </w:rPr>
        <w:t xml:space="preserve"> </w:t>
      </w:r>
      <w:proofErr w:type="spellStart"/>
      <w:r w:rsidRPr="00C636E8">
        <w:rPr>
          <w:rFonts w:ascii="Arial" w:hAnsi="Arial" w:cs="Arial"/>
          <w:lang w:val="mk-MK"/>
        </w:rPr>
        <w:t>to</w:t>
      </w:r>
      <w:proofErr w:type="spellEnd"/>
      <w:r w:rsidRPr="00C636E8">
        <w:rPr>
          <w:rFonts w:ascii="Arial" w:hAnsi="Arial" w:cs="Arial"/>
          <w:lang w:val="mk-MK"/>
        </w:rPr>
        <w:t xml:space="preserve"> </w:t>
      </w:r>
      <w:proofErr w:type="spellStart"/>
      <w:r w:rsidRPr="00C636E8">
        <w:rPr>
          <w:rFonts w:ascii="Arial" w:hAnsi="Arial" w:cs="Arial"/>
          <w:lang w:val="mk-MK"/>
        </w:rPr>
        <w:t>borrowers</w:t>
      </w:r>
      <w:proofErr w:type="spellEnd"/>
      <w:r w:rsidRPr="00C636E8">
        <w:rPr>
          <w:rFonts w:ascii="Arial" w:hAnsi="Arial" w:cs="Arial"/>
          <w:lang w:val="mk-MK"/>
        </w:rPr>
        <w:t xml:space="preserve">. </w:t>
      </w:r>
      <w:proofErr w:type="spellStart"/>
      <w:r w:rsidRPr="00C636E8">
        <w:rPr>
          <w:rFonts w:ascii="Arial" w:hAnsi="Arial" w:cs="Arial"/>
          <w:lang w:val="mk-MK"/>
        </w:rPr>
        <w:t>All</w:t>
      </w:r>
      <w:proofErr w:type="spellEnd"/>
      <w:r w:rsidRPr="00C636E8">
        <w:rPr>
          <w:rFonts w:ascii="Arial" w:hAnsi="Arial" w:cs="Arial"/>
          <w:lang w:val="mk-MK"/>
        </w:rPr>
        <w:t xml:space="preserve"> </w:t>
      </w:r>
      <w:proofErr w:type="spellStart"/>
      <w:r w:rsidRPr="00C636E8">
        <w:rPr>
          <w:rFonts w:ascii="Arial" w:hAnsi="Arial" w:cs="Arial"/>
          <w:lang w:val="mk-MK"/>
        </w:rPr>
        <w:t>financial</w:t>
      </w:r>
      <w:proofErr w:type="spellEnd"/>
      <w:r w:rsidRPr="00C636E8">
        <w:rPr>
          <w:rFonts w:ascii="Arial" w:hAnsi="Arial" w:cs="Arial"/>
          <w:lang w:val="mk-MK"/>
        </w:rPr>
        <w:t xml:space="preserve"> </w:t>
      </w:r>
      <w:proofErr w:type="spellStart"/>
      <w:r w:rsidRPr="00C636E8">
        <w:rPr>
          <w:rFonts w:ascii="Arial" w:hAnsi="Arial" w:cs="Arial"/>
          <w:lang w:val="mk-MK"/>
        </w:rPr>
        <w:t>assets</w:t>
      </w:r>
      <w:proofErr w:type="spellEnd"/>
      <w:r w:rsidRPr="00C636E8">
        <w:rPr>
          <w:rFonts w:ascii="Arial" w:hAnsi="Arial" w:cs="Arial"/>
          <w:lang w:val="mk-MK"/>
        </w:rPr>
        <w:t xml:space="preserve"> </w:t>
      </w:r>
      <w:proofErr w:type="spellStart"/>
      <w:r w:rsidRPr="00C636E8">
        <w:rPr>
          <w:rFonts w:ascii="Arial" w:hAnsi="Arial" w:cs="Arial"/>
          <w:lang w:val="mk-MK"/>
        </w:rPr>
        <w:t>other</w:t>
      </w:r>
      <w:proofErr w:type="spellEnd"/>
      <w:r w:rsidRPr="00C636E8">
        <w:rPr>
          <w:rFonts w:ascii="Arial" w:hAnsi="Arial" w:cs="Arial"/>
          <w:lang w:val="mk-MK"/>
        </w:rPr>
        <w:t xml:space="preserve"> </w:t>
      </w:r>
      <w:proofErr w:type="spellStart"/>
      <w:r w:rsidRPr="00C636E8">
        <w:rPr>
          <w:rFonts w:ascii="Arial" w:hAnsi="Arial" w:cs="Arial"/>
          <w:lang w:val="mk-MK"/>
        </w:rPr>
        <w:t>than</w:t>
      </w:r>
      <w:proofErr w:type="spellEnd"/>
      <w:r w:rsidRPr="00C636E8">
        <w:rPr>
          <w:rFonts w:ascii="Arial" w:hAnsi="Arial" w:cs="Arial"/>
          <w:lang w:val="mk-MK"/>
        </w:rPr>
        <w:t xml:space="preserve"> </w:t>
      </w:r>
      <w:proofErr w:type="spellStart"/>
      <w:r w:rsidRPr="00C636E8">
        <w:rPr>
          <w:rFonts w:ascii="Arial" w:hAnsi="Arial" w:cs="Arial"/>
          <w:lang w:val="mk-MK"/>
        </w:rPr>
        <w:t>assets</w:t>
      </w:r>
      <w:proofErr w:type="spellEnd"/>
      <w:r w:rsidRPr="00C636E8">
        <w:rPr>
          <w:rFonts w:ascii="Arial" w:hAnsi="Arial" w:cs="Arial"/>
          <w:lang w:val="mk-MK"/>
        </w:rPr>
        <w:t xml:space="preserve"> </w:t>
      </w:r>
      <w:proofErr w:type="spellStart"/>
      <w:r w:rsidRPr="00C636E8">
        <w:rPr>
          <w:rFonts w:ascii="Arial" w:hAnsi="Arial" w:cs="Arial"/>
          <w:lang w:val="mk-MK"/>
        </w:rPr>
        <w:t>at</w:t>
      </w:r>
      <w:proofErr w:type="spellEnd"/>
      <w:r w:rsidRPr="00C636E8">
        <w:rPr>
          <w:rFonts w:ascii="Arial" w:hAnsi="Arial" w:cs="Arial"/>
          <w:lang w:val="mk-MK"/>
        </w:rPr>
        <w:t xml:space="preserve"> </w:t>
      </w:r>
      <w:proofErr w:type="spellStart"/>
      <w:r w:rsidRPr="00C636E8">
        <w:rPr>
          <w:rFonts w:ascii="Arial" w:hAnsi="Arial" w:cs="Arial"/>
          <w:lang w:val="mk-MK"/>
        </w:rPr>
        <w:t>fair</w:t>
      </w:r>
      <w:proofErr w:type="spellEnd"/>
      <w:r w:rsidRPr="00C636E8">
        <w:rPr>
          <w:rFonts w:ascii="Arial" w:hAnsi="Arial" w:cs="Arial"/>
          <w:lang w:val="mk-MK"/>
        </w:rPr>
        <w:t xml:space="preserve"> </w:t>
      </w:r>
      <w:proofErr w:type="spellStart"/>
      <w:r w:rsidRPr="00C636E8">
        <w:rPr>
          <w:rFonts w:ascii="Arial" w:hAnsi="Arial" w:cs="Arial"/>
          <w:lang w:val="mk-MK"/>
        </w:rPr>
        <w:t>value</w:t>
      </w:r>
      <w:proofErr w:type="spellEnd"/>
      <w:r w:rsidRPr="00C636E8">
        <w:rPr>
          <w:rFonts w:ascii="Arial" w:hAnsi="Arial" w:cs="Arial"/>
          <w:lang w:val="mk-MK"/>
        </w:rPr>
        <w:t xml:space="preserve"> </w:t>
      </w:r>
      <w:proofErr w:type="spellStart"/>
      <w:r w:rsidRPr="00C636E8">
        <w:rPr>
          <w:rFonts w:ascii="Arial" w:hAnsi="Arial" w:cs="Arial"/>
          <w:lang w:val="mk-MK"/>
        </w:rPr>
        <w:t>through</w:t>
      </w:r>
      <w:proofErr w:type="spellEnd"/>
      <w:r w:rsidRPr="00C636E8">
        <w:rPr>
          <w:rFonts w:ascii="Arial" w:hAnsi="Arial" w:cs="Arial"/>
          <w:lang w:val="mk-MK"/>
        </w:rPr>
        <w:t xml:space="preserve"> </w:t>
      </w:r>
      <w:proofErr w:type="spellStart"/>
      <w:r w:rsidRPr="00C636E8">
        <w:rPr>
          <w:rFonts w:ascii="Arial" w:hAnsi="Arial" w:cs="Arial"/>
          <w:lang w:val="mk-MK"/>
        </w:rPr>
        <w:t>profit</w:t>
      </w:r>
      <w:proofErr w:type="spellEnd"/>
      <w:r w:rsidRPr="00C636E8">
        <w:rPr>
          <w:rFonts w:ascii="Arial" w:hAnsi="Arial" w:cs="Arial"/>
          <w:lang w:val="mk-MK"/>
        </w:rPr>
        <w:t xml:space="preserve"> </w:t>
      </w:r>
      <w:proofErr w:type="spellStart"/>
      <w:r w:rsidRPr="00C636E8">
        <w:rPr>
          <w:rFonts w:ascii="Arial" w:hAnsi="Arial" w:cs="Arial"/>
          <w:lang w:val="mk-MK"/>
        </w:rPr>
        <w:t>or</w:t>
      </w:r>
      <w:proofErr w:type="spellEnd"/>
      <w:r w:rsidRPr="00C636E8">
        <w:rPr>
          <w:rFonts w:ascii="Arial" w:hAnsi="Arial" w:cs="Arial"/>
          <w:lang w:val="mk-MK"/>
        </w:rPr>
        <w:t xml:space="preserve"> </w:t>
      </w:r>
      <w:proofErr w:type="spellStart"/>
      <w:r w:rsidRPr="00C636E8">
        <w:rPr>
          <w:rFonts w:ascii="Arial" w:hAnsi="Arial" w:cs="Arial"/>
          <w:lang w:val="mk-MK"/>
        </w:rPr>
        <w:t>loss</w:t>
      </w:r>
      <w:proofErr w:type="spellEnd"/>
      <w:r w:rsidRPr="00C636E8">
        <w:rPr>
          <w:rFonts w:ascii="Arial" w:hAnsi="Arial" w:cs="Arial"/>
          <w:lang w:val="mk-MK"/>
        </w:rPr>
        <w:t xml:space="preserve"> </w:t>
      </w:r>
      <w:proofErr w:type="spellStart"/>
      <w:r w:rsidRPr="00C636E8">
        <w:rPr>
          <w:rFonts w:ascii="Arial" w:hAnsi="Arial" w:cs="Arial"/>
          <w:lang w:val="mk-MK"/>
        </w:rPr>
        <w:t>are</w:t>
      </w:r>
      <w:proofErr w:type="spellEnd"/>
      <w:r w:rsidRPr="00C636E8">
        <w:rPr>
          <w:rFonts w:ascii="Arial" w:hAnsi="Arial" w:cs="Arial"/>
          <w:lang w:val="mk-MK"/>
        </w:rPr>
        <w:t xml:space="preserve"> </w:t>
      </w:r>
      <w:proofErr w:type="spellStart"/>
      <w:r w:rsidRPr="00C636E8">
        <w:rPr>
          <w:rFonts w:ascii="Arial" w:hAnsi="Arial" w:cs="Arial"/>
          <w:lang w:val="mk-MK"/>
        </w:rPr>
        <w:t>initially</w:t>
      </w:r>
      <w:proofErr w:type="spellEnd"/>
      <w:r w:rsidRPr="00C636E8">
        <w:rPr>
          <w:rFonts w:ascii="Arial" w:hAnsi="Arial" w:cs="Arial"/>
          <w:lang w:val="mk-MK"/>
        </w:rPr>
        <w:t xml:space="preserve"> </w:t>
      </w:r>
      <w:proofErr w:type="spellStart"/>
      <w:r w:rsidRPr="00C636E8">
        <w:rPr>
          <w:rFonts w:ascii="Arial" w:hAnsi="Arial" w:cs="Arial"/>
          <w:lang w:val="mk-MK"/>
        </w:rPr>
        <w:t>recognized</w:t>
      </w:r>
      <w:proofErr w:type="spellEnd"/>
      <w:r w:rsidRPr="00C636E8">
        <w:rPr>
          <w:rFonts w:ascii="Arial" w:hAnsi="Arial" w:cs="Arial"/>
          <w:lang w:val="mk-MK"/>
        </w:rPr>
        <w:t xml:space="preserve"> </w:t>
      </w:r>
      <w:proofErr w:type="spellStart"/>
      <w:r w:rsidRPr="00C636E8">
        <w:rPr>
          <w:rFonts w:ascii="Arial" w:hAnsi="Arial" w:cs="Arial"/>
          <w:lang w:val="mk-MK"/>
        </w:rPr>
        <w:t>at</w:t>
      </w:r>
      <w:proofErr w:type="spellEnd"/>
      <w:r w:rsidRPr="00C636E8">
        <w:rPr>
          <w:rFonts w:ascii="Arial" w:hAnsi="Arial" w:cs="Arial"/>
          <w:lang w:val="mk-MK"/>
        </w:rPr>
        <w:t xml:space="preserve"> </w:t>
      </w:r>
      <w:proofErr w:type="spellStart"/>
      <w:r w:rsidRPr="00C636E8">
        <w:rPr>
          <w:rFonts w:ascii="Arial" w:hAnsi="Arial" w:cs="Arial"/>
          <w:lang w:val="mk-MK"/>
        </w:rPr>
        <w:t>fair</w:t>
      </w:r>
      <w:proofErr w:type="spellEnd"/>
      <w:r w:rsidRPr="00C636E8">
        <w:rPr>
          <w:rFonts w:ascii="Arial" w:hAnsi="Arial" w:cs="Arial"/>
          <w:lang w:val="mk-MK"/>
        </w:rPr>
        <w:t xml:space="preserve"> </w:t>
      </w:r>
      <w:proofErr w:type="spellStart"/>
      <w:r w:rsidRPr="00C636E8">
        <w:rPr>
          <w:rFonts w:ascii="Arial" w:hAnsi="Arial" w:cs="Arial"/>
          <w:lang w:val="mk-MK"/>
        </w:rPr>
        <w:t>value</w:t>
      </w:r>
      <w:proofErr w:type="spellEnd"/>
      <w:r w:rsidRPr="00C636E8">
        <w:rPr>
          <w:rFonts w:ascii="Arial" w:hAnsi="Arial" w:cs="Arial"/>
          <w:lang w:val="mk-MK"/>
        </w:rPr>
        <w:t xml:space="preserve"> </w:t>
      </w:r>
      <w:proofErr w:type="spellStart"/>
      <w:r w:rsidRPr="00C636E8">
        <w:rPr>
          <w:rFonts w:ascii="Arial" w:hAnsi="Arial" w:cs="Arial"/>
          <w:lang w:val="mk-MK"/>
        </w:rPr>
        <w:t>plus</w:t>
      </w:r>
      <w:proofErr w:type="spellEnd"/>
      <w:r w:rsidRPr="00C636E8">
        <w:rPr>
          <w:rFonts w:ascii="Arial" w:hAnsi="Arial" w:cs="Arial"/>
          <w:lang w:val="mk-MK"/>
        </w:rPr>
        <w:t xml:space="preserve"> </w:t>
      </w:r>
      <w:proofErr w:type="spellStart"/>
      <w:r w:rsidRPr="00C636E8">
        <w:rPr>
          <w:rFonts w:ascii="Arial" w:hAnsi="Arial" w:cs="Arial"/>
          <w:lang w:val="mk-MK"/>
        </w:rPr>
        <w:t>transaction</w:t>
      </w:r>
      <w:proofErr w:type="spellEnd"/>
      <w:r w:rsidRPr="00C636E8">
        <w:rPr>
          <w:rFonts w:ascii="Arial" w:hAnsi="Arial" w:cs="Arial"/>
          <w:lang w:val="mk-MK"/>
        </w:rPr>
        <w:t xml:space="preserve"> </w:t>
      </w:r>
      <w:proofErr w:type="spellStart"/>
      <w:r w:rsidRPr="00C636E8">
        <w:rPr>
          <w:rFonts w:ascii="Arial" w:hAnsi="Arial" w:cs="Arial"/>
          <w:lang w:val="mk-MK"/>
        </w:rPr>
        <w:t>costs</w:t>
      </w:r>
      <w:proofErr w:type="spellEnd"/>
      <w:r w:rsidRPr="00C636E8">
        <w:rPr>
          <w:rFonts w:ascii="Arial" w:hAnsi="Arial" w:cs="Arial"/>
          <w:lang w:val="mk-MK"/>
        </w:rPr>
        <w:t>.</w:t>
      </w:r>
    </w:p>
    <w:p w14:paraId="5616DD76" w14:textId="77777777" w:rsidR="00126FCB" w:rsidRDefault="00126FCB" w:rsidP="00126FCB">
      <w:pPr>
        <w:autoSpaceDE w:val="0"/>
        <w:autoSpaceDN w:val="0"/>
        <w:adjustRightInd w:val="0"/>
        <w:jc w:val="both"/>
        <w:rPr>
          <w:rFonts w:ascii="Arial" w:hAnsi="Arial" w:cs="Arial"/>
          <w:lang w:val="mk-MK"/>
        </w:rPr>
      </w:pPr>
      <w:proofErr w:type="spellStart"/>
      <w:r w:rsidRPr="00C636E8">
        <w:rPr>
          <w:rFonts w:ascii="Arial" w:hAnsi="Arial" w:cs="Arial"/>
          <w:lang w:val="mk-MK"/>
        </w:rPr>
        <w:t>Financial</w:t>
      </w:r>
      <w:proofErr w:type="spellEnd"/>
      <w:r w:rsidRPr="00C636E8">
        <w:rPr>
          <w:rFonts w:ascii="Arial" w:hAnsi="Arial" w:cs="Arial"/>
          <w:lang w:val="mk-MK"/>
        </w:rPr>
        <w:t xml:space="preserve"> </w:t>
      </w:r>
      <w:proofErr w:type="spellStart"/>
      <w:r w:rsidRPr="00C636E8">
        <w:rPr>
          <w:rFonts w:ascii="Arial" w:hAnsi="Arial" w:cs="Arial"/>
          <w:lang w:val="mk-MK"/>
        </w:rPr>
        <w:t>assets</w:t>
      </w:r>
      <w:proofErr w:type="spellEnd"/>
      <w:r w:rsidRPr="00C636E8">
        <w:rPr>
          <w:rFonts w:ascii="Arial" w:hAnsi="Arial" w:cs="Arial"/>
          <w:lang w:val="mk-MK"/>
        </w:rPr>
        <w:t xml:space="preserve"> </w:t>
      </w:r>
      <w:proofErr w:type="spellStart"/>
      <w:r w:rsidRPr="00C636E8">
        <w:rPr>
          <w:rFonts w:ascii="Arial" w:hAnsi="Arial" w:cs="Arial"/>
          <w:lang w:val="mk-MK"/>
        </w:rPr>
        <w:t>are</w:t>
      </w:r>
      <w:proofErr w:type="spellEnd"/>
      <w:r w:rsidRPr="00C636E8">
        <w:rPr>
          <w:rFonts w:ascii="Arial" w:hAnsi="Arial" w:cs="Arial"/>
          <w:lang w:val="mk-MK"/>
        </w:rPr>
        <w:t xml:space="preserve"> </w:t>
      </w:r>
      <w:proofErr w:type="spellStart"/>
      <w:r w:rsidRPr="00C636E8">
        <w:rPr>
          <w:rFonts w:ascii="Arial" w:hAnsi="Arial" w:cs="Arial"/>
          <w:lang w:val="mk-MK"/>
        </w:rPr>
        <w:t>derecognised</w:t>
      </w:r>
      <w:proofErr w:type="spellEnd"/>
      <w:r w:rsidRPr="00C636E8">
        <w:rPr>
          <w:rFonts w:ascii="Arial" w:hAnsi="Arial" w:cs="Arial"/>
          <w:lang w:val="mk-MK"/>
        </w:rPr>
        <w:t xml:space="preserve"> </w:t>
      </w:r>
      <w:proofErr w:type="spellStart"/>
      <w:r w:rsidRPr="00C636E8">
        <w:rPr>
          <w:rFonts w:ascii="Arial" w:hAnsi="Arial" w:cs="Arial"/>
          <w:lang w:val="mk-MK"/>
        </w:rPr>
        <w:t>when</w:t>
      </w:r>
      <w:proofErr w:type="spellEnd"/>
      <w:r w:rsidRPr="00C636E8">
        <w:rPr>
          <w:rFonts w:ascii="Arial" w:hAnsi="Arial" w:cs="Arial"/>
          <w:lang w:val="mk-MK"/>
        </w:rPr>
        <w:t xml:space="preserve"> </w:t>
      </w:r>
      <w:proofErr w:type="spellStart"/>
      <w:r w:rsidRPr="00C636E8">
        <w:rPr>
          <w:rFonts w:ascii="Arial" w:hAnsi="Arial" w:cs="Arial"/>
          <w:lang w:val="mk-MK"/>
        </w:rPr>
        <w:t>the</w:t>
      </w:r>
      <w:proofErr w:type="spellEnd"/>
      <w:r w:rsidRPr="00C636E8">
        <w:rPr>
          <w:rFonts w:ascii="Arial" w:hAnsi="Arial" w:cs="Arial"/>
          <w:lang w:val="mk-MK"/>
        </w:rPr>
        <w:t xml:space="preserve"> </w:t>
      </w:r>
      <w:proofErr w:type="spellStart"/>
      <w:r w:rsidRPr="00C636E8">
        <w:rPr>
          <w:rFonts w:ascii="Arial" w:hAnsi="Arial" w:cs="Arial"/>
          <w:lang w:val="mk-MK"/>
        </w:rPr>
        <w:t>rights</w:t>
      </w:r>
      <w:proofErr w:type="spellEnd"/>
      <w:r w:rsidRPr="00C636E8">
        <w:rPr>
          <w:rFonts w:ascii="Arial" w:hAnsi="Arial" w:cs="Arial"/>
          <w:lang w:val="mk-MK"/>
        </w:rPr>
        <w:t xml:space="preserve"> </w:t>
      </w:r>
      <w:proofErr w:type="spellStart"/>
      <w:r w:rsidRPr="00C636E8">
        <w:rPr>
          <w:rFonts w:ascii="Arial" w:hAnsi="Arial" w:cs="Arial"/>
          <w:lang w:val="mk-MK"/>
        </w:rPr>
        <w:t>to</w:t>
      </w:r>
      <w:proofErr w:type="spellEnd"/>
      <w:r w:rsidRPr="00C636E8">
        <w:rPr>
          <w:rFonts w:ascii="Arial" w:hAnsi="Arial" w:cs="Arial"/>
          <w:lang w:val="mk-MK"/>
        </w:rPr>
        <w:t xml:space="preserve"> </w:t>
      </w:r>
      <w:proofErr w:type="spellStart"/>
      <w:r w:rsidRPr="00C636E8">
        <w:rPr>
          <w:rFonts w:ascii="Arial" w:hAnsi="Arial" w:cs="Arial"/>
          <w:lang w:val="mk-MK"/>
        </w:rPr>
        <w:t>receive</w:t>
      </w:r>
      <w:proofErr w:type="spellEnd"/>
      <w:r w:rsidRPr="00C636E8">
        <w:rPr>
          <w:rFonts w:ascii="Arial" w:hAnsi="Arial" w:cs="Arial"/>
          <w:lang w:val="mk-MK"/>
        </w:rPr>
        <w:t xml:space="preserve"> </w:t>
      </w:r>
      <w:proofErr w:type="spellStart"/>
      <w:r w:rsidRPr="00C636E8">
        <w:rPr>
          <w:rFonts w:ascii="Arial" w:hAnsi="Arial" w:cs="Arial"/>
          <w:lang w:val="mk-MK"/>
        </w:rPr>
        <w:t>cash</w:t>
      </w:r>
      <w:proofErr w:type="spellEnd"/>
      <w:r w:rsidRPr="00C636E8">
        <w:rPr>
          <w:rFonts w:ascii="Arial" w:hAnsi="Arial" w:cs="Arial"/>
          <w:lang w:val="mk-MK"/>
        </w:rPr>
        <w:t xml:space="preserve"> </w:t>
      </w:r>
      <w:proofErr w:type="spellStart"/>
      <w:r w:rsidRPr="00C636E8">
        <w:rPr>
          <w:rFonts w:ascii="Arial" w:hAnsi="Arial" w:cs="Arial"/>
          <w:lang w:val="mk-MK"/>
        </w:rPr>
        <w:t>flows</w:t>
      </w:r>
      <w:proofErr w:type="spellEnd"/>
      <w:r w:rsidRPr="00C636E8">
        <w:rPr>
          <w:rFonts w:ascii="Arial" w:hAnsi="Arial" w:cs="Arial"/>
          <w:lang w:val="mk-MK"/>
        </w:rPr>
        <w:t xml:space="preserve"> </w:t>
      </w:r>
      <w:proofErr w:type="spellStart"/>
      <w:r w:rsidRPr="00C636E8">
        <w:rPr>
          <w:rFonts w:ascii="Arial" w:hAnsi="Arial" w:cs="Arial"/>
          <w:lang w:val="mk-MK"/>
        </w:rPr>
        <w:t>from</w:t>
      </w:r>
      <w:proofErr w:type="spellEnd"/>
      <w:r w:rsidRPr="00C636E8">
        <w:rPr>
          <w:rFonts w:ascii="Arial" w:hAnsi="Arial" w:cs="Arial"/>
          <w:lang w:val="mk-MK"/>
        </w:rPr>
        <w:t xml:space="preserve"> </w:t>
      </w:r>
      <w:proofErr w:type="spellStart"/>
      <w:r w:rsidRPr="00C636E8">
        <w:rPr>
          <w:rFonts w:ascii="Arial" w:hAnsi="Arial" w:cs="Arial"/>
          <w:lang w:val="mk-MK"/>
        </w:rPr>
        <w:t>the</w:t>
      </w:r>
      <w:proofErr w:type="spellEnd"/>
      <w:r w:rsidRPr="00C636E8">
        <w:rPr>
          <w:rFonts w:ascii="Arial" w:hAnsi="Arial" w:cs="Arial"/>
          <w:lang w:val="mk-MK"/>
        </w:rPr>
        <w:t xml:space="preserve"> </w:t>
      </w:r>
      <w:proofErr w:type="spellStart"/>
      <w:r w:rsidRPr="00C636E8">
        <w:rPr>
          <w:rFonts w:ascii="Arial" w:hAnsi="Arial" w:cs="Arial"/>
          <w:lang w:val="mk-MK"/>
        </w:rPr>
        <w:t>financial</w:t>
      </w:r>
      <w:proofErr w:type="spellEnd"/>
      <w:r w:rsidRPr="00C636E8">
        <w:rPr>
          <w:rFonts w:ascii="Arial" w:hAnsi="Arial" w:cs="Arial"/>
          <w:lang w:val="mk-MK"/>
        </w:rPr>
        <w:t xml:space="preserve"> </w:t>
      </w:r>
      <w:proofErr w:type="spellStart"/>
      <w:r w:rsidRPr="00C636E8">
        <w:rPr>
          <w:rFonts w:ascii="Arial" w:hAnsi="Arial" w:cs="Arial"/>
          <w:lang w:val="mk-MK"/>
        </w:rPr>
        <w:t>assets</w:t>
      </w:r>
      <w:proofErr w:type="spellEnd"/>
      <w:r w:rsidRPr="00C636E8">
        <w:rPr>
          <w:rFonts w:ascii="Arial" w:hAnsi="Arial" w:cs="Arial"/>
          <w:lang w:val="mk-MK"/>
        </w:rPr>
        <w:t xml:space="preserve"> </w:t>
      </w:r>
      <w:proofErr w:type="spellStart"/>
      <w:r w:rsidRPr="00C636E8">
        <w:rPr>
          <w:rFonts w:ascii="Arial" w:hAnsi="Arial" w:cs="Arial"/>
          <w:lang w:val="mk-MK"/>
        </w:rPr>
        <w:t>have</w:t>
      </w:r>
      <w:proofErr w:type="spellEnd"/>
      <w:r w:rsidRPr="00C636E8">
        <w:rPr>
          <w:rFonts w:ascii="Arial" w:hAnsi="Arial" w:cs="Arial"/>
          <w:lang w:val="mk-MK"/>
        </w:rPr>
        <w:t xml:space="preserve"> </w:t>
      </w:r>
      <w:proofErr w:type="spellStart"/>
      <w:r w:rsidRPr="00C636E8">
        <w:rPr>
          <w:rFonts w:ascii="Arial" w:hAnsi="Arial" w:cs="Arial"/>
          <w:lang w:val="mk-MK"/>
        </w:rPr>
        <w:t>expired</w:t>
      </w:r>
      <w:proofErr w:type="spellEnd"/>
      <w:r w:rsidRPr="00C636E8">
        <w:rPr>
          <w:rFonts w:ascii="Arial" w:hAnsi="Arial" w:cs="Arial"/>
          <w:lang w:val="mk-MK"/>
        </w:rPr>
        <w:t xml:space="preserve"> </w:t>
      </w:r>
      <w:proofErr w:type="spellStart"/>
      <w:r w:rsidRPr="00C636E8">
        <w:rPr>
          <w:rFonts w:ascii="Arial" w:hAnsi="Arial" w:cs="Arial"/>
          <w:lang w:val="mk-MK"/>
        </w:rPr>
        <w:t>or</w:t>
      </w:r>
      <w:proofErr w:type="spellEnd"/>
      <w:r w:rsidRPr="00C636E8">
        <w:rPr>
          <w:rFonts w:ascii="Arial" w:hAnsi="Arial" w:cs="Arial"/>
          <w:lang w:val="mk-MK"/>
        </w:rPr>
        <w:t xml:space="preserve"> </w:t>
      </w:r>
      <w:proofErr w:type="spellStart"/>
      <w:r w:rsidRPr="00C636E8">
        <w:rPr>
          <w:rFonts w:ascii="Arial" w:hAnsi="Arial" w:cs="Arial"/>
          <w:lang w:val="mk-MK"/>
        </w:rPr>
        <w:t>where</w:t>
      </w:r>
      <w:proofErr w:type="spellEnd"/>
      <w:r w:rsidRPr="00C636E8">
        <w:rPr>
          <w:rFonts w:ascii="Arial" w:hAnsi="Arial" w:cs="Arial"/>
          <w:lang w:val="mk-MK"/>
        </w:rPr>
        <w:t xml:space="preserve"> </w:t>
      </w:r>
      <w:proofErr w:type="spellStart"/>
      <w:r w:rsidRPr="00C636E8">
        <w:rPr>
          <w:rFonts w:ascii="Arial" w:hAnsi="Arial" w:cs="Arial"/>
          <w:lang w:val="mk-MK"/>
        </w:rPr>
        <w:t>the</w:t>
      </w:r>
      <w:proofErr w:type="spellEnd"/>
      <w:r w:rsidRPr="00C636E8">
        <w:rPr>
          <w:rFonts w:ascii="Arial" w:hAnsi="Arial" w:cs="Arial"/>
          <w:lang w:val="mk-MK"/>
        </w:rPr>
        <w:t xml:space="preserve"> </w:t>
      </w:r>
      <w:proofErr w:type="spellStart"/>
      <w:r w:rsidRPr="00C636E8">
        <w:rPr>
          <w:rFonts w:ascii="Arial" w:hAnsi="Arial" w:cs="Arial"/>
          <w:lang w:val="mk-MK"/>
        </w:rPr>
        <w:t>Fund</w:t>
      </w:r>
      <w:proofErr w:type="spellEnd"/>
      <w:r w:rsidRPr="00C636E8">
        <w:rPr>
          <w:rFonts w:ascii="Arial" w:hAnsi="Arial" w:cs="Arial"/>
          <w:lang w:val="mk-MK"/>
        </w:rPr>
        <w:t xml:space="preserve"> </w:t>
      </w:r>
      <w:proofErr w:type="spellStart"/>
      <w:r w:rsidRPr="00C636E8">
        <w:rPr>
          <w:rFonts w:ascii="Arial" w:hAnsi="Arial" w:cs="Arial"/>
          <w:lang w:val="mk-MK"/>
        </w:rPr>
        <w:t>has</w:t>
      </w:r>
      <w:proofErr w:type="spellEnd"/>
      <w:r w:rsidRPr="00C636E8">
        <w:rPr>
          <w:rFonts w:ascii="Arial" w:hAnsi="Arial" w:cs="Arial"/>
          <w:lang w:val="mk-MK"/>
        </w:rPr>
        <w:t xml:space="preserve"> </w:t>
      </w:r>
      <w:proofErr w:type="spellStart"/>
      <w:r w:rsidRPr="00C636E8">
        <w:rPr>
          <w:rFonts w:ascii="Arial" w:hAnsi="Arial" w:cs="Arial"/>
          <w:lang w:val="mk-MK"/>
        </w:rPr>
        <w:t>transferred</w:t>
      </w:r>
      <w:proofErr w:type="spellEnd"/>
      <w:r w:rsidRPr="00C636E8">
        <w:rPr>
          <w:rFonts w:ascii="Arial" w:hAnsi="Arial" w:cs="Arial"/>
          <w:lang w:val="mk-MK"/>
        </w:rPr>
        <w:t xml:space="preserve"> </w:t>
      </w:r>
      <w:proofErr w:type="spellStart"/>
      <w:r w:rsidRPr="00C636E8">
        <w:rPr>
          <w:rFonts w:ascii="Arial" w:hAnsi="Arial" w:cs="Arial"/>
          <w:lang w:val="mk-MK"/>
        </w:rPr>
        <w:t>substantially</w:t>
      </w:r>
      <w:proofErr w:type="spellEnd"/>
      <w:r w:rsidRPr="00C636E8">
        <w:rPr>
          <w:rFonts w:ascii="Arial" w:hAnsi="Arial" w:cs="Arial"/>
          <w:lang w:val="mk-MK"/>
        </w:rPr>
        <w:t xml:space="preserve"> </w:t>
      </w:r>
      <w:proofErr w:type="spellStart"/>
      <w:r w:rsidRPr="00C636E8">
        <w:rPr>
          <w:rFonts w:ascii="Arial" w:hAnsi="Arial" w:cs="Arial"/>
          <w:lang w:val="mk-MK"/>
        </w:rPr>
        <w:t>all</w:t>
      </w:r>
      <w:proofErr w:type="spellEnd"/>
      <w:r w:rsidRPr="00C636E8">
        <w:rPr>
          <w:rFonts w:ascii="Arial" w:hAnsi="Arial" w:cs="Arial"/>
          <w:lang w:val="mk-MK"/>
        </w:rPr>
        <w:t xml:space="preserve"> </w:t>
      </w:r>
      <w:proofErr w:type="spellStart"/>
      <w:r w:rsidRPr="00C636E8">
        <w:rPr>
          <w:rFonts w:ascii="Arial" w:hAnsi="Arial" w:cs="Arial"/>
          <w:lang w:val="mk-MK"/>
        </w:rPr>
        <w:t>risks</w:t>
      </w:r>
      <w:proofErr w:type="spellEnd"/>
      <w:r w:rsidRPr="00C636E8">
        <w:rPr>
          <w:rFonts w:ascii="Arial" w:hAnsi="Arial" w:cs="Arial"/>
          <w:lang w:val="mk-MK"/>
        </w:rPr>
        <w:t xml:space="preserve"> </w:t>
      </w:r>
      <w:proofErr w:type="spellStart"/>
      <w:r w:rsidRPr="00C636E8">
        <w:rPr>
          <w:rFonts w:ascii="Arial" w:hAnsi="Arial" w:cs="Arial"/>
          <w:lang w:val="mk-MK"/>
        </w:rPr>
        <w:t>and</w:t>
      </w:r>
      <w:proofErr w:type="spellEnd"/>
      <w:r w:rsidRPr="00C636E8">
        <w:rPr>
          <w:rFonts w:ascii="Arial" w:hAnsi="Arial" w:cs="Arial"/>
          <w:lang w:val="mk-MK"/>
        </w:rPr>
        <w:t xml:space="preserve"> </w:t>
      </w:r>
      <w:proofErr w:type="spellStart"/>
      <w:r w:rsidRPr="00C636E8">
        <w:rPr>
          <w:rFonts w:ascii="Arial" w:hAnsi="Arial" w:cs="Arial"/>
          <w:lang w:val="mk-MK"/>
        </w:rPr>
        <w:t>rewards</w:t>
      </w:r>
      <w:proofErr w:type="spellEnd"/>
      <w:r w:rsidRPr="00C636E8">
        <w:rPr>
          <w:rFonts w:ascii="Arial" w:hAnsi="Arial" w:cs="Arial"/>
          <w:lang w:val="mk-MK"/>
        </w:rPr>
        <w:t xml:space="preserve"> </w:t>
      </w:r>
      <w:proofErr w:type="spellStart"/>
      <w:r w:rsidRPr="00C636E8">
        <w:rPr>
          <w:rFonts w:ascii="Arial" w:hAnsi="Arial" w:cs="Arial"/>
          <w:lang w:val="mk-MK"/>
        </w:rPr>
        <w:t>of</w:t>
      </w:r>
      <w:proofErr w:type="spellEnd"/>
      <w:r w:rsidRPr="00C636E8">
        <w:rPr>
          <w:rFonts w:ascii="Arial" w:hAnsi="Arial" w:cs="Arial"/>
          <w:lang w:val="mk-MK"/>
        </w:rPr>
        <w:t xml:space="preserve"> </w:t>
      </w:r>
      <w:proofErr w:type="spellStart"/>
      <w:r w:rsidRPr="00C636E8">
        <w:rPr>
          <w:rFonts w:ascii="Arial" w:hAnsi="Arial" w:cs="Arial"/>
          <w:lang w:val="mk-MK"/>
        </w:rPr>
        <w:t>ownership</w:t>
      </w:r>
      <w:proofErr w:type="spellEnd"/>
      <w:r w:rsidRPr="00C636E8">
        <w:rPr>
          <w:rFonts w:ascii="Arial" w:hAnsi="Arial" w:cs="Arial"/>
          <w:lang w:val="mk-MK"/>
        </w:rPr>
        <w:t>.</w:t>
      </w:r>
    </w:p>
    <w:p w14:paraId="7D825BC9" w14:textId="77777777" w:rsidR="00126FCB" w:rsidRDefault="00126FCB" w:rsidP="00815E65">
      <w:pPr>
        <w:autoSpaceDE w:val="0"/>
        <w:autoSpaceDN w:val="0"/>
        <w:adjustRightInd w:val="0"/>
        <w:jc w:val="both"/>
        <w:rPr>
          <w:rFonts w:ascii="Arial" w:hAnsi="Arial" w:cs="Arial"/>
          <w:lang w:val="mk-MK"/>
        </w:rPr>
      </w:pPr>
    </w:p>
    <w:p w14:paraId="67728BEF" w14:textId="4DE9D78C" w:rsidR="00815E65" w:rsidRPr="00937A6B" w:rsidRDefault="00815E65" w:rsidP="00815E65">
      <w:pPr>
        <w:autoSpaceDE w:val="0"/>
        <w:autoSpaceDN w:val="0"/>
        <w:adjustRightInd w:val="0"/>
        <w:jc w:val="both"/>
        <w:rPr>
          <w:rFonts w:ascii="Arial" w:hAnsi="Arial" w:cs="Arial"/>
          <w:b/>
          <w:color w:val="808080"/>
        </w:rPr>
      </w:pPr>
      <w:r w:rsidRPr="001E6526">
        <w:rPr>
          <w:rFonts w:ascii="Arial" w:hAnsi="Arial" w:cs="Arial"/>
          <w:i/>
          <w:iCs/>
          <w:lang w:val="mk-MK"/>
        </w:rPr>
        <w:br w:type="page"/>
      </w:r>
      <w:r w:rsidR="00937A6B">
        <w:rPr>
          <w:rFonts w:ascii="Arial" w:hAnsi="Arial" w:cs="Arial"/>
          <w:b/>
          <w:color w:val="808080"/>
        </w:rPr>
        <w:lastRenderedPageBreak/>
        <w:t>Financial assets (continued)</w:t>
      </w:r>
    </w:p>
    <w:p w14:paraId="6DA18A34" w14:textId="1D0E42D3" w:rsidR="00815E65" w:rsidRPr="00C636E8" w:rsidRDefault="00C636E8" w:rsidP="00815E65">
      <w:pPr>
        <w:autoSpaceDE w:val="0"/>
        <w:autoSpaceDN w:val="0"/>
        <w:adjustRightInd w:val="0"/>
        <w:jc w:val="both"/>
        <w:rPr>
          <w:rFonts w:ascii="Arial" w:hAnsi="Arial" w:cs="Arial"/>
          <w:i/>
          <w:iCs/>
          <w:kern w:val="32"/>
        </w:rPr>
      </w:pPr>
      <w:r>
        <w:rPr>
          <w:rFonts w:ascii="Arial" w:hAnsi="Arial" w:cs="Arial"/>
          <w:i/>
          <w:iCs/>
          <w:kern w:val="32"/>
        </w:rPr>
        <w:t>Subsequent measurement</w:t>
      </w:r>
    </w:p>
    <w:p w14:paraId="5FAA4FE9" w14:textId="198982E5" w:rsidR="007B0381" w:rsidRDefault="007B0381" w:rsidP="007B0381">
      <w:pPr>
        <w:autoSpaceDE w:val="0"/>
        <w:autoSpaceDN w:val="0"/>
        <w:adjustRightInd w:val="0"/>
        <w:spacing w:after="284" w:line="280" w:lineRule="atLeast"/>
        <w:ind w:right="11"/>
        <w:jc w:val="both"/>
        <w:rPr>
          <w:rFonts w:ascii="Arial" w:hAnsi="Arial" w:cs="Arial"/>
          <w:lang w:val="mk-MK"/>
        </w:rPr>
      </w:pPr>
      <w:proofErr w:type="spellStart"/>
      <w:r w:rsidRPr="007B0381">
        <w:rPr>
          <w:rFonts w:ascii="Arial" w:hAnsi="Arial" w:cs="Arial"/>
          <w:lang w:val="mk-MK"/>
        </w:rPr>
        <w:t>After</w:t>
      </w:r>
      <w:proofErr w:type="spellEnd"/>
      <w:r w:rsidRPr="007B0381">
        <w:rPr>
          <w:rFonts w:ascii="Arial" w:hAnsi="Arial" w:cs="Arial"/>
          <w:lang w:val="mk-MK"/>
        </w:rPr>
        <w:t xml:space="preserve"> </w:t>
      </w:r>
      <w:proofErr w:type="spellStart"/>
      <w:r w:rsidRPr="007B0381">
        <w:rPr>
          <w:rFonts w:ascii="Arial" w:hAnsi="Arial" w:cs="Arial"/>
          <w:lang w:val="mk-MK"/>
        </w:rPr>
        <w:t>initial</w:t>
      </w:r>
      <w:proofErr w:type="spellEnd"/>
      <w:r w:rsidRPr="007B0381">
        <w:rPr>
          <w:rFonts w:ascii="Arial" w:hAnsi="Arial" w:cs="Arial"/>
          <w:lang w:val="mk-MK"/>
        </w:rPr>
        <w:t xml:space="preserve"> </w:t>
      </w:r>
      <w:proofErr w:type="spellStart"/>
      <w:r w:rsidRPr="007B0381">
        <w:rPr>
          <w:rFonts w:ascii="Arial" w:hAnsi="Arial" w:cs="Arial"/>
          <w:lang w:val="mk-MK"/>
        </w:rPr>
        <w:t>recognition</w:t>
      </w:r>
      <w:proofErr w:type="spellEnd"/>
      <w:r w:rsidRPr="007B0381">
        <w:rPr>
          <w:rFonts w:ascii="Arial" w:hAnsi="Arial" w:cs="Arial"/>
          <w:lang w:val="mk-MK"/>
        </w:rPr>
        <w:t xml:space="preserve">, </w:t>
      </w:r>
      <w:proofErr w:type="spellStart"/>
      <w:r w:rsidRPr="007B0381">
        <w:rPr>
          <w:rFonts w:ascii="Arial" w:hAnsi="Arial" w:cs="Arial"/>
          <w:lang w:val="mk-MK"/>
        </w:rPr>
        <w:t>the</w:t>
      </w:r>
      <w:proofErr w:type="spellEnd"/>
      <w:r w:rsidRPr="007B0381">
        <w:rPr>
          <w:rFonts w:ascii="Arial" w:hAnsi="Arial" w:cs="Arial"/>
          <w:lang w:val="mk-MK"/>
        </w:rPr>
        <w:t xml:space="preserve"> </w:t>
      </w:r>
      <w:proofErr w:type="spellStart"/>
      <w:r w:rsidRPr="007B0381">
        <w:rPr>
          <w:rFonts w:ascii="Arial" w:hAnsi="Arial" w:cs="Arial"/>
          <w:lang w:val="mk-MK"/>
        </w:rPr>
        <w:t>Fund</w:t>
      </w:r>
      <w:proofErr w:type="spellEnd"/>
      <w:r w:rsidRPr="007B0381">
        <w:rPr>
          <w:rFonts w:ascii="Arial" w:hAnsi="Arial" w:cs="Arial"/>
          <w:lang w:val="mk-MK"/>
        </w:rPr>
        <w:t xml:space="preserve"> </w:t>
      </w:r>
      <w:proofErr w:type="spellStart"/>
      <w:r w:rsidRPr="007B0381">
        <w:rPr>
          <w:rFonts w:ascii="Arial" w:hAnsi="Arial" w:cs="Arial"/>
          <w:lang w:val="mk-MK"/>
        </w:rPr>
        <w:t>measures</w:t>
      </w:r>
      <w:proofErr w:type="spellEnd"/>
      <w:r w:rsidRPr="007B0381">
        <w:rPr>
          <w:rFonts w:ascii="Arial" w:hAnsi="Arial" w:cs="Arial"/>
          <w:lang w:val="mk-MK"/>
        </w:rPr>
        <w:t xml:space="preserve"> </w:t>
      </w:r>
      <w:proofErr w:type="spellStart"/>
      <w:r w:rsidRPr="007B0381">
        <w:rPr>
          <w:rFonts w:ascii="Arial" w:hAnsi="Arial" w:cs="Arial"/>
          <w:lang w:val="mk-MK"/>
        </w:rPr>
        <w:t>financial</w:t>
      </w:r>
      <w:proofErr w:type="spellEnd"/>
      <w:r w:rsidRPr="007B0381">
        <w:rPr>
          <w:rFonts w:ascii="Arial" w:hAnsi="Arial" w:cs="Arial"/>
          <w:lang w:val="mk-MK"/>
        </w:rPr>
        <w:t xml:space="preserve"> </w:t>
      </w:r>
      <w:proofErr w:type="spellStart"/>
      <w:r w:rsidRPr="007B0381">
        <w:rPr>
          <w:rFonts w:ascii="Arial" w:hAnsi="Arial" w:cs="Arial"/>
          <w:lang w:val="mk-MK"/>
        </w:rPr>
        <w:t>assets</w:t>
      </w:r>
      <w:proofErr w:type="spellEnd"/>
      <w:r w:rsidRPr="007B0381">
        <w:rPr>
          <w:rFonts w:ascii="Arial" w:hAnsi="Arial" w:cs="Arial"/>
          <w:lang w:val="mk-MK"/>
        </w:rPr>
        <w:t xml:space="preserve"> </w:t>
      </w:r>
      <w:proofErr w:type="spellStart"/>
      <w:r w:rsidRPr="007B0381">
        <w:rPr>
          <w:rFonts w:ascii="Arial" w:hAnsi="Arial" w:cs="Arial"/>
          <w:lang w:val="mk-MK"/>
        </w:rPr>
        <w:t>carried</w:t>
      </w:r>
      <w:proofErr w:type="spellEnd"/>
      <w:r w:rsidRPr="007B0381">
        <w:rPr>
          <w:rFonts w:ascii="Arial" w:hAnsi="Arial" w:cs="Arial"/>
          <w:lang w:val="mk-MK"/>
        </w:rPr>
        <w:t xml:space="preserve"> </w:t>
      </w:r>
      <w:proofErr w:type="spellStart"/>
      <w:r w:rsidRPr="007B0381">
        <w:rPr>
          <w:rFonts w:ascii="Arial" w:hAnsi="Arial" w:cs="Arial"/>
          <w:lang w:val="mk-MK"/>
        </w:rPr>
        <w:t>at</w:t>
      </w:r>
      <w:proofErr w:type="spellEnd"/>
      <w:r w:rsidRPr="007B0381">
        <w:rPr>
          <w:rFonts w:ascii="Arial" w:hAnsi="Arial" w:cs="Arial"/>
          <w:lang w:val="mk-MK"/>
        </w:rPr>
        <w:t xml:space="preserve"> </w:t>
      </w:r>
      <w:proofErr w:type="spellStart"/>
      <w:r w:rsidRPr="007B0381">
        <w:rPr>
          <w:rFonts w:ascii="Arial" w:hAnsi="Arial" w:cs="Arial"/>
          <w:lang w:val="mk-MK"/>
        </w:rPr>
        <w:t>fair</w:t>
      </w:r>
      <w:proofErr w:type="spellEnd"/>
      <w:r w:rsidRPr="007B0381">
        <w:rPr>
          <w:rFonts w:ascii="Arial" w:hAnsi="Arial" w:cs="Arial"/>
          <w:lang w:val="mk-MK"/>
        </w:rPr>
        <w:t xml:space="preserve"> </w:t>
      </w:r>
      <w:proofErr w:type="spellStart"/>
      <w:r w:rsidRPr="007B0381">
        <w:rPr>
          <w:rFonts w:ascii="Arial" w:hAnsi="Arial" w:cs="Arial"/>
          <w:lang w:val="mk-MK"/>
        </w:rPr>
        <w:t>value</w:t>
      </w:r>
      <w:proofErr w:type="spellEnd"/>
      <w:r w:rsidRPr="007B0381">
        <w:rPr>
          <w:rFonts w:ascii="Arial" w:hAnsi="Arial" w:cs="Arial"/>
          <w:lang w:val="mk-MK"/>
        </w:rPr>
        <w:t xml:space="preserve"> </w:t>
      </w:r>
      <w:proofErr w:type="spellStart"/>
      <w:r w:rsidRPr="007B0381">
        <w:rPr>
          <w:rFonts w:ascii="Arial" w:hAnsi="Arial" w:cs="Arial"/>
          <w:lang w:val="mk-MK"/>
        </w:rPr>
        <w:t>through</w:t>
      </w:r>
      <w:proofErr w:type="spellEnd"/>
      <w:r w:rsidRPr="007B0381">
        <w:rPr>
          <w:rFonts w:ascii="Arial" w:hAnsi="Arial" w:cs="Arial"/>
          <w:lang w:val="mk-MK"/>
        </w:rPr>
        <w:t xml:space="preserve"> </w:t>
      </w:r>
      <w:proofErr w:type="spellStart"/>
      <w:r w:rsidRPr="007B0381">
        <w:rPr>
          <w:rFonts w:ascii="Arial" w:hAnsi="Arial" w:cs="Arial"/>
          <w:lang w:val="mk-MK"/>
        </w:rPr>
        <w:t>profit</w:t>
      </w:r>
      <w:proofErr w:type="spellEnd"/>
      <w:r w:rsidRPr="007B0381">
        <w:rPr>
          <w:rFonts w:ascii="Arial" w:hAnsi="Arial" w:cs="Arial"/>
          <w:lang w:val="mk-MK"/>
        </w:rPr>
        <w:t xml:space="preserve"> </w:t>
      </w:r>
      <w:proofErr w:type="spellStart"/>
      <w:r w:rsidRPr="007B0381">
        <w:rPr>
          <w:rFonts w:ascii="Arial" w:hAnsi="Arial" w:cs="Arial"/>
          <w:lang w:val="mk-MK"/>
        </w:rPr>
        <w:t>or</w:t>
      </w:r>
      <w:proofErr w:type="spellEnd"/>
      <w:r w:rsidRPr="007B0381">
        <w:rPr>
          <w:rFonts w:ascii="Arial" w:hAnsi="Arial" w:cs="Arial"/>
          <w:lang w:val="mk-MK"/>
        </w:rPr>
        <w:t xml:space="preserve"> </w:t>
      </w:r>
      <w:proofErr w:type="spellStart"/>
      <w:r w:rsidRPr="007B0381">
        <w:rPr>
          <w:rFonts w:ascii="Arial" w:hAnsi="Arial" w:cs="Arial"/>
          <w:lang w:val="mk-MK"/>
        </w:rPr>
        <w:t>loss</w:t>
      </w:r>
      <w:proofErr w:type="spellEnd"/>
      <w:r w:rsidRPr="007B0381">
        <w:rPr>
          <w:rFonts w:ascii="Arial" w:hAnsi="Arial" w:cs="Arial"/>
          <w:lang w:val="mk-MK"/>
        </w:rPr>
        <w:t xml:space="preserve">, </w:t>
      </w:r>
      <w:proofErr w:type="spellStart"/>
      <w:r w:rsidRPr="007B0381">
        <w:rPr>
          <w:rFonts w:ascii="Arial" w:hAnsi="Arial" w:cs="Arial"/>
          <w:lang w:val="mk-MK"/>
        </w:rPr>
        <w:t>or</w:t>
      </w:r>
      <w:proofErr w:type="spellEnd"/>
      <w:r w:rsidRPr="007B0381">
        <w:rPr>
          <w:rFonts w:ascii="Arial" w:hAnsi="Arial" w:cs="Arial"/>
          <w:lang w:val="mk-MK"/>
        </w:rPr>
        <w:t xml:space="preserve"> </w:t>
      </w:r>
      <w:proofErr w:type="spellStart"/>
      <w:r w:rsidRPr="007B0381">
        <w:rPr>
          <w:rFonts w:ascii="Arial" w:hAnsi="Arial" w:cs="Arial"/>
          <w:lang w:val="mk-MK"/>
        </w:rPr>
        <w:t>as</w:t>
      </w:r>
      <w:proofErr w:type="spellEnd"/>
      <w:r w:rsidRPr="007B0381">
        <w:rPr>
          <w:rFonts w:ascii="Arial" w:hAnsi="Arial" w:cs="Arial"/>
          <w:lang w:val="mk-MK"/>
        </w:rPr>
        <w:t xml:space="preserve"> </w:t>
      </w:r>
      <w:proofErr w:type="spellStart"/>
      <w:r w:rsidRPr="007B0381">
        <w:rPr>
          <w:rFonts w:ascii="Arial" w:hAnsi="Arial" w:cs="Arial"/>
          <w:lang w:val="mk-MK"/>
        </w:rPr>
        <w:t>available</w:t>
      </w:r>
      <w:proofErr w:type="spellEnd"/>
      <w:r w:rsidRPr="007B0381">
        <w:rPr>
          <w:rFonts w:ascii="Arial" w:hAnsi="Arial" w:cs="Arial"/>
          <w:lang w:val="mk-MK"/>
        </w:rPr>
        <w:t xml:space="preserve"> </w:t>
      </w:r>
      <w:proofErr w:type="spellStart"/>
      <w:r w:rsidRPr="007B0381">
        <w:rPr>
          <w:rFonts w:ascii="Arial" w:hAnsi="Arial" w:cs="Arial"/>
          <w:lang w:val="mk-MK"/>
        </w:rPr>
        <w:t>for</w:t>
      </w:r>
      <w:proofErr w:type="spellEnd"/>
      <w:r w:rsidRPr="007B0381">
        <w:rPr>
          <w:rFonts w:ascii="Arial" w:hAnsi="Arial" w:cs="Arial"/>
          <w:lang w:val="mk-MK"/>
        </w:rPr>
        <w:t xml:space="preserve"> </w:t>
      </w:r>
      <w:proofErr w:type="spellStart"/>
      <w:r w:rsidRPr="007B0381">
        <w:rPr>
          <w:rFonts w:ascii="Arial" w:hAnsi="Arial" w:cs="Arial"/>
          <w:lang w:val="mk-MK"/>
        </w:rPr>
        <w:t>sale</w:t>
      </w:r>
      <w:proofErr w:type="spellEnd"/>
      <w:r w:rsidRPr="007B0381">
        <w:rPr>
          <w:rFonts w:ascii="Arial" w:hAnsi="Arial" w:cs="Arial"/>
          <w:lang w:val="mk-MK"/>
        </w:rPr>
        <w:t xml:space="preserve">, </w:t>
      </w:r>
      <w:proofErr w:type="spellStart"/>
      <w:r w:rsidRPr="007B0381">
        <w:rPr>
          <w:rFonts w:ascii="Arial" w:hAnsi="Arial" w:cs="Arial"/>
          <w:lang w:val="mk-MK"/>
        </w:rPr>
        <w:t>at</w:t>
      </w:r>
      <w:proofErr w:type="spellEnd"/>
      <w:r w:rsidRPr="007B0381">
        <w:rPr>
          <w:rFonts w:ascii="Arial" w:hAnsi="Arial" w:cs="Arial"/>
          <w:lang w:val="mk-MK"/>
        </w:rPr>
        <w:t xml:space="preserve"> </w:t>
      </w:r>
      <w:proofErr w:type="spellStart"/>
      <w:r w:rsidRPr="007B0381">
        <w:rPr>
          <w:rFonts w:ascii="Arial" w:hAnsi="Arial" w:cs="Arial"/>
          <w:lang w:val="mk-MK"/>
        </w:rPr>
        <w:t>fair</w:t>
      </w:r>
      <w:proofErr w:type="spellEnd"/>
      <w:r w:rsidRPr="007B0381">
        <w:rPr>
          <w:rFonts w:ascii="Arial" w:hAnsi="Arial" w:cs="Arial"/>
          <w:lang w:val="mk-MK"/>
        </w:rPr>
        <w:t xml:space="preserve"> </w:t>
      </w:r>
      <w:proofErr w:type="spellStart"/>
      <w:r w:rsidRPr="007B0381">
        <w:rPr>
          <w:rFonts w:ascii="Arial" w:hAnsi="Arial" w:cs="Arial"/>
          <w:lang w:val="mk-MK"/>
        </w:rPr>
        <w:t>values</w:t>
      </w:r>
      <w:proofErr w:type="spellEnd"/>
      <w:r w:rsidRPr="007B0381">
        <w:rPr>
          <w:rFonts w:ascii="Arial" w:hAnsi="Arial" w:cs="Arial"/>
          <w:lang w:val="mk-MK"/>
        </w:rPr>
        <w:t xml:space="preserve"> </w:t>
      </w:r>
      <w:proofErr w:type="spellStart"/>
      <w:r w:rsidRPr="007B0381">
        <w:rPr>
          <w:rFonts w:ascii="Arial" w:hAnsi="Arial" w:cs="Arial"/>
          <w:lang w:val="mk-MK"/>
        </w:rPr>
        <w:t>without</w:t>
      </w:r>
      <w:proofErr w:type="spellEnd"/>
      <w:r w:rsidRPr="007B0381">
        <w:rPr>
          <w:rFonts w:ascii="Arial" w:hAnsi="Arial" w:cs="Arial"/>
          <w:lang w:val="mk-MK"/>
        </w:rPr>
        <w:t xml:space="preserve"> </w:t>
      </w:r>
      <w:proofErr w:type="spellStart"/>
      <w:r w:rsidRPr="007B0381">
        <w:rPr>
          <w:rFonts w:ascii="Arial" w:hAnsi="Arial" w:cs="Arial"/>
          <w:lang w:val="mk-MK"/>
        </w:rPr>
        <w:t>any</w:t>
      </w:r>
      <w:proofErr w:type="spellEnd"/>
      <w:r w:rsidRPr="007B0381">
        <w:rPr>
          <w:rFonts w:ascii="Arial" w:hAnsi="Arial" w:cs="Arial"/>
          <w:lang w:val="mk-MK"/>
        </w:rPr>
        <w:t xml:space="preserve"> </w:t>
      </w:r>
      <w:proofErr w:type="spellStart"/>
      <w:r w:rsidRPr="007B0381">
        <w:rPr>
          <w:rFonts w:ascii="Arial" w:hAnsi="Arial" w:cs="Arial"/>
          <w:lang w:val="mk-MK"/>
        </w:rPr>
        <w:t>deduction</w:t>
      </w:r>
      <w:proofErr w:type="spellEnd"/>
      <w:r w:rsidRPr="007B0381">
        <w:rPr>
          <w:rFonts w:ascii="Arial" w:hAnsi="Arial" w:cs="Arial"/>
          <w:lang w:val="mk-MK"/>
        </w:rPr>
        <w:t xml:space="preserve"> </w:t>
      </w:r>
      <w:proofErr w:type="spellStart"/>
      <w:r w:rsidRPr="007B0381">
        <w:rPr>
          <w:rFonts w:ascii="Arial" w:hAnsi="Arial" w:cs="Arial"/>
          <w:lang w:val="mk-MK"/>
        </w:rPr>
        <w:t>for</w:t>
      </w:r>
      <w:proofErr w:type="spellEnd"/>
      <w:r w:rsidRPr="007B0381">
        <w:rPr>
          <w:rFonts w:ascii="Arial" w:hAnsi="Arial" w:cs="Arial"/>
          <w:lang w:val="mk-MK"/>
        </w:rPr>
        <w:t xml:space="preserve"> </w:t>
      </w:r>
      <w:proofErr w:type="spellStart"/>
      <w:r w:rsidRPr="007B0381">
        <w:rPr>
          <w:rFonts w:ascii="Arial" w:hAnsi="Arial" w:cs="Arial"/>
          <w:lang w:val="mk-MK"/>
        </w:rPr>
        <w:t>transaction</w:t>
      </w:r>
      <w:proofErr w:type="spellEnd"/>
      <w:r w:rsidRPr="007B0381">
        <w:rPr>
          <w:rFonts w:ascii="Arial" w:hAnsi="Arial" w:cs="Arial"/>
          <w:lang w:val="mk-MK"/>
        </w:rPr>
        <w:t xml:space="preserve"> </w:t>
      </w:r>
      <w:proofErr w:type="spellStart"/>
      <w:r w:rsidRPr="007B0381">
        <w:rPr>
          <w:rFonts w:ascii="Arial" w:hAnsi="Arial" w:cs="Arial"/>
          <w:lang w:val="mk-MK"/>
        </w:rPr>
        <w:t>costs</w:t>
      </w:r>
      <w:proofErr w:type="spellEnd"/>
      <w:r w:rsidRPr="007B0381">
        <w:rPr>
          <w:rFonts w:ascii="Arial" w:hAnsi="Arial" w:cs="Arial"/>
          <w:lang w:val="mk-MK"/>
        </w:rPr>
        <w:t xml:space="preserve"> </w:t>
      </w:r>
      <w:r>
        <w:rPr>
          <w:rFonts w:ascii="Arial" w:hAnsi="Arial" w:cs="Arial"/>
        </w:rPr>
        <w:t>that</w:t>
      </w:r>
      <w:r w:rsidRPr="007B0381">
        <w:rPr>
          <w:rFonts w:ascii="Arial" w:hAnsi="Arial" w:cs="Arial"/>
          <w:lang w:val="mk-MK"/>
        </w:rPr>
        <w:t xml:space="preserve"> </w:t>
      </w:r>
      <w:proofErr w:type="spellStart"/>
      <w:r w:rsidRPr="007B0381">
        <w:rPr>
          <w:rFonts w:ascii="Arial" w:hAnsi="Arial" w:cs="Arial"/>
          <w:lang w:val="mk-MK"/>
        </w:rPr>
        <w:t>may</w:t>
      </w:r>
      <w:proofErr w:type="spellEnd"/>
      <w:r w:rsidRPr="007B0381">
        <w:rPr>
          <w:rFonts w:ascii="Arial" w:hAnsi="Arial" w:cs="Arial"/>
          <w:lang w:val="mk-MK"/>
        </w:rPr>
        <w:t xml:space="preserve"> </w:t>
      </w:r>
      <w:proofErr w:type="spellStart"/>
      <w:r w:rsidRPr="007B0381">
        <w:rPr>
          <w:rFonts w:ascii="Arial" w:hAnsi="Arial" w:cs="Arial"/>
          <w:lang w:val="mk-MK"/>
        </w:rPr>
        <w:t>incur</w:t>
      </w:r>
      <w:proofErr w:type="spellEnd"/>
      <w:r w:rsidRPr="007B0381">
        <w:rPr>
          <w:rFonts w:ascii="Arial" w:hAnsi="Arial" w:cs="Arial"/>
          <w:lang w:val="mk-MK"/>
        </w:rPr>
        <w:t xml:space="preserve"> </w:t>
      </w:r>
      <w:proofErr w:type="spellStart"/>
      <w:r w:rsidRPr="007B0381">
        <w:rPr>
          <w:rFonts w:ascii="Arial" w:hAnsi="Arial" w:cs="Arial"/>
          <w:lang w:val="mk-MK"/>
        </w:rPr>
        <w:t>on</w:t>
      </w:r>
      <w:proofErr w:type="spellEnd"/>
      <w:r w:rsidRPr="007B0381">
        <w:rPr>
          <w:rFonts w:ascii="Arial" w:hAnsi="Arial" w:cs="Arial"/>
          <w:lang w:val="mk-MK"/>
        </w:rPr>
        <w:t xml:space="preserve"> </w:t>
      </w:r>
      <w:proofErr w:type="spellStart"/>
      <w:r w:rsidRPr="007B0381">
        <w:rPr>
          <w:rFonts w:ascii="Arial" w:hAnsi="Arial" w:cs="Arial"/>
          <w:lang w:val="mk-MK"/>
        </w:rPr>
        <w:t>their</w:t>
      </w:r>
      <w:proofErr w:type="spellEnd"/>
      <w:r w:rsidRPr="007B0381">
        <w:rPr>
          <w:rFonts w:ascii="Arial" w:hAnsi="Arial" w:cs="Arial"/>
          <w:lang w:val="mk-MK"/>
        </w:rPr>
        <w:t xml:space="preserve"> </w:t>
      </w:r>
      <w:proofErr w:type="spellStart"/>
      <w:r w:rsidRPr="007B0381">
        <w:rPr>
          <w:rFonts w:ascii="Arial" w:hAnsi="Arial" w:cs="Arial"/>
          <w:lang w:val="mk-MK"/>
        </w:rPr>
        <w:t>sale</w:t>
      </w:r>
      <w:proofErr w:type="spellEnd"/>
      <w:r w:rsidRPr="007B0381">
        <w:rPr>
          <w:rFonts w:ascii="Arial" w:hAnsi="Arial" w:cs="Arial"/>
          <w:lang w:val="mk-MK"/>
        </w:rPr>
        <w:t>.</w:t>
      </w:r>
    </w:p>
    <w:p w14:paraId="1B9C4713" w14:textId="4641A6D7" w:rsidR="007B0381" w:rsidRPr="007B0381" w:rsidRDefault="007B0381" w:rsidP="007B0381">
      <w:pPr>
        <w:autoSpaceDE w:val="0"/>
        <w:autoSpaceDN w:val="0"/>
        <w:adjustRightInd w:val="0"/>
        <w:spacing w:after="284" w:line="280" w:lineRule="atLeast"/>
        <w:ind w:right="11"/>
        <w:jc w:val="both"/>
        <w:rPr>
          <w:rFonts w:ascii="Arial" w:hAnsi="Arial" w:cs="Arial"/>
          <w:lang w:val="mk-MK"/>
        </w:rPr>
      </w:pPr>
      <w:r w:rsidRPr="007B0381">
        <w:rPr>
          <w:rFonts w:ascii="Arial" w:hAnsi="Arial" w:cs="Arial"/>
        </w:rPr>
        <w:t xml:space="preserve">The fair value of financial assets quoted </w:t>
      </w:r>
      <w:r>
        <w:rPr>
          <w:rFonts w:ascii="Arial" w:hAnsi="Arial" w:cs="Arial"/>
        </w:rPr>
        <w:t>o</w:t>
      </w:r>
      <w:r w:rsidRPr="007B0381">
        <w:rPr>
          <w:rFonts w:ascii="Arial" w:hAnsi="Arial" w:cs="Arial"/>
        </w:rPr>
        <w:t xml:space="preserve">n the active market is based on their purchase price at the </w:t>
      </w:r>
      <w:r>
        <w:rPr>
          <w:rFonts w:ascii="Arial" w:hAnsi="Arial" w:cs="Arial"/>
        </w:rPr>
        <w:t>S</w:t>
      </w:r>
      <w:r w:rsidRPr="007B0381">
        <w:rPr>
          <w:rFonts w:ascii="Arial" w:hAnsi="Arial" w:cs="Arial"/>
        </w:rPr>
        <w:t>tatement of financial position</w:t>
      </w:r>
      <w:r>
        <w:rPr>
          <w:rFonts w:ascii="Arial" w:hAnsi="Arial" w:cs="Arial"/>
        </w:rPr>
        <w:t xml:space="preserve"> date</w:t>
      </w:r>
      <w:r w:rsidRPr="007B0381">
        <w:rPr>
          <w:rFonts w:ascii="Arial" w:hAnsi="Arial" w:cs="Arial"/>
        </w:rPr>
        <w:t>.</w:t>
      </w:r>
    </w:p>
    <w:p w14:paraId="668B41AB" w14:textId="42CC3281" w:rsidR="00815E65" w:rsidRDefault="007B0381" w:rsidP="00815E65">
      <w:pPr>
        <w:pStyle w:val="BodyText"/>
        <w:jc w:val="both"/>
        <w:rPr>
          <w:rFonts w:ascii="Arial" w:hAnsi="Arial" w:cs="Arial"/>
          <w:lang w:val="mk-MK"/>
        </w:rPr>
      </w:pPr>
      <w:proofErr w:type="spellStart"/>
      <w:r w:rsidRPr="007B0381">
        <w:rPr>
          <w:rFonts w:ascii="Arial" w:hAnsi="Arial" w:cs="Arial"/>
          <w:lang w:val="mk-MK"/>
        </w:rPr>
        <w:t>If</w:t>
      </w:r>
      <w:proofErr w:type="spellEnd"/>
      <w:r w:rsidRPr="007B0381">
        <w:rPr>
          <w:rFonts w:ascii="Arial" w:hAnsi="Arial" w:cs="Arial"/>
          <w:lang w:val="mk-MK"/>
        </w:rPr>
        <w:t xml:space="preserve"> </w:t>
      </w:r>
      <w:proofErr w:type="spellStart"/>
      <w:r w:rsidRPr="007B0381">
        <w:rPr>
          <w:rFonts w:ascii="Arial" w:hAnsi="Arial" w:cs="Arial"/>
          <w:lang w:val="mk-MK"/>
        </w:rPr>
        <w:t>the</w:t>
      </w:r>
      <w:proofErr w:type="spellEnd"/>
      <w:r w:rsidRPr="007B0381">
        <w:rPr>
          <w:rFonts w:ascii="Arial" w:hAnsi="Arial" w:cs="Arial"/>
          <w:lang w:val="mk-MK"/>
        </w:rPr>
        <w:t xml:space="preserve"> </w:t>
      </w:r>
      <w:proofErr w:type="spellStart"/>
      <w:r w:rsidRPr="007B0381">
        <w:rPr>
          <w:rFonts w:ascii="Arial" w:hAnsi="Arial" w:cs="Arial"/>
          <w:lang w:val="mk-MK"/>
        </w:rPr>
        <w:t>market</w:t>
      </w:r>
      <w:proofErr w:type="spellEnd"/>
      <w:r w:rsidRPr="007B0381">
        <w:rPr>
          <w:rFonts w:ascii="Arial" w:hAnsi="Arial" w:cs="Arial"/>
          <w:lang w:val="mk-MK"/>
        </w:rPr>
        <w:t xml:space="preserve"> </w:t>
      </w:r>
      <w:proofErr w:type="spellStart"/>
      <w:r w:rsidRPr="007B0381">
        <w:rPr>
          <w:rFonts w:ascii="Arial" w:hAnsi="Arial" w:cs="Arial"/>
          <w:lang w:val="mk-MK"/>
        </w:rPr>
        <w:t>for</w:t>
      </w:r>
      <w:proofErr w:type="spellEnd"/>
      <w:r w:rsidRPr="007B0381">
        <w:rPr>
          <w:rFonts w:ascii="Arial" w:hAnsi="Arial" w:cs="Arial"/>
          <w:lang w:val="mk-MK"/>
        </w:rPr>
        <w:t xml:space="preserve"> a </w:t>
      </w:r>
      <w:proofErr w:type="spellStart"/>
      <w:r w:rsidRPr="007B0381">
        <w:rPr>
          <w:rFonts w:ascii="Arial" w:hAnsi="Arial" w:cs="Arial"/>
          <w:lang w:val="mk-MK"/>
        </w:rPr>
        <w:t>financial</w:t>
      </w:r>
      <w:proofErr w:type="spellEnd"/>
      <w:r w:rsidRPr="007B0381">
        <w:rPr>
          <w:rFonts w:ascii="Arial" w:hAnsi="Arial" w:cs="Arial"/>
          <w:lang w:val="mk-MK"/>
        </w:rPr>
        <w:t xml:space="preserve"> </w:t>
      </w:r>
      <w:proofErr w:type="spellStart"/>
      <w:r w:rsidRPr="007B0381">
        <w:rPr>
          <w:rFonts w:ascii="Arial" w:hAnsi="Arial" w:cs="Arial"/>
          <w:lang w:val="mk-MK"/>
        </w:rPr>
        <w:t>asset</w:t>
      </w:r>
      <w:proofErr w:type="spellEnd"/>
      <w:r w:rsidRPr="007B0381">
        <w:rPr>
          <w:rFonts w:ascii="Arial" w:hAnsi="Arial" w:cs="Arial"/>
          <w:lang w:val="mk-MK"/>
        </w:rPr>
        <w:t xml:space="preserve"> </w:t>
      </w:r>
      <w:proofErr w:type="spellStart"/>
      <w:r w:rsidRPr="007B0381">
        <w:rPr>
          <w:rFonts w:ascii="Arial" w:hAnsi="Arial" w:cs="Arial"/>
          <w:lang w:val="mk-MK"/>
        </w:rPr>
        <w:t>is</w:t>
      </w:r>
      <w:proofErr w:type="spellEnd"/>
      <w:r w:rsidRPr="007B0381">
        <w:rPr>
          <w:rFonts w:ascii="Arial" w:hAnsi="Arial" w:cs="Arial"/>
          <w:lang w:val="mk-MK"/>
        </w:rPr>
        <w:t xml:space="preserve"> </w:t>
      </w:r>
      <w:proofErr w:type="spellStart"/>
      <w:r w:rsidRPr="007B0381">
        <w:rPr>
          <w:rFonts w:ascii="Arial" w:hAnsi="Arial" w:cs="Arial"/>
          <w:lang w:val="mk-MK"/>
        </w:rPr>
        <w:t>not</w:t>
      </w:r>
      <w:proofErr w:type="spellEnd"/>
      <w:r w:rsidRPr="007B0381">
        <w:rPr>
          <w:rFonts w:ascii="Arial" w:hAnsi="Arial" w:cs="Arial"/>
          <w:lang w:val="mk-MK"/>
        </w:rPr>
        <w:t xml:space="preserve"> </w:t>
      </w:r>
      <w:proofErr w:type="spellStart"/>
      <w:r w:rsidRPr="007B0381">
        <w:rPr>
          <w:rFonts w:ascii="Arial" w:hAnsi="Arial" w:cs="Arial"/>
          <w:lang w:val="mk-MK"/>
        </w:rPr>
        <w:t>active</w:t>
      </w:r>
      <w:proofErr w:type="spellEnd"/>
      <w:r w:rsidRPr="007B0381">
        <w:rPr>
          <w:rFonts w:ascii="Arial" w:hAnsi="Arial" w:cs="Arial"/>
          <w:lang w:val="mk-MK"/>
        </w:rPr>
        <w:t xml:space="preserve">, </w:t>
      </w:r>
      <w:proofErr w:type="spellStart"/>
      <w:r w:rsidRPr="007B0381">
        <w:rPr>
          <w:rFonts w:ascii="Arial" w:hAnsi="Arial" w:cs="Arial"/>
          <w:lang w:val="mk-MK"/>
        </w:rPr>
        <w:t>the</w:t>
      </w:r>
      <w:proofErr w:type="spellEnd"/>
      <w:r w:rsidRPr="007B0381">
        <w:rPr>
          <w:rFonts w:ascii="Arial" w:hAnsi="Arial" w:cs="Arial"/>
          <w:lang w:val="mk-MK"/>
        </w:rPr>
        <w:t xml:space="preserve"> </w:t>
      </w:r>
      <w:proofErr w:type="spellStart"/>
      <w:r w:rsidRPr="007B0381">
        <w:rPr>
          <w:rFonts w:ascii="Arial" w:hAnsi="Arial" w:cs="Arial"/>
          <w:lang w:val="mk-MK"/>
        </w:rPr>
        <w:t>Fund</w:t>
      </w:r>
      <w:proofErr w:type="spellEnd"/>
      <w:r w:rsidRPr="007B0381">
        <w:rPr>
          <w:rFonts w:ascii="Arial" w:hAnsi="Arial" w:cs="Arial"/>
          <w:lang w:val="mk-MK"/>
        </w:rPr>
        <w:t xml:space="preserve"> </w:t>
      </w:r>
      <w:proofErr w:type="spellStart"/>
      <w:r w:rsidRPr="007B0381">
        <w:rPr>
          <w:rFonts w:ascii="Arial" w:hAnsi="Arial" w:cs="Arial"/>
          <w:lang w:val="mk-MK"/>
        </w:rPr>
        <w:t>establishes</w:t>
      </w:r>
      <w:proofErr w:type="spellEnd"/>
      <w:r w:rsidRPr="007B0381">
        <w:rPr>
          <w:rFonts w:ascii="Arial" w:hAnsi="Arial" w:cs="Arial"/>
          <w:lang w:val="mk-MK"/>
        </w:rPr>
        <w:t xml:space="preserve"> </w:t>
      </w:r>
      <w:proofErr w:type="spellStart"/>
      <w:r w:rsidRPr="007B0381">
        <w:rPr>
          <w:rFonts w:ascii="Arial" w:hAnsi="Arial" w:cs="Arial"/>
          <w:lang w:val="mk-MK"/>
        </w:rPr>
        <w:t>fair</w:t>
      </w:r>
      <w:proofErr w:type="spellEnd"/>
      <w:r w:rsidRPr="007B0381">
        <w:rPr>
          <w:rFonts w:ascii="Arial" w:hAnsi="Arial" w:cs="Arial"/>
          <w:lang w:val="mk-MK"/>
        </w:rPr>
        <w:t xml:space="preserve"> </w:t>
      </w:r>
      <w:proofErr w:type="spellStart"/>
      <w:r w:rsidRPr="007B0381">
        <w:rPr>
          <w:rFonts w:ascii="Arial" w:hAnsi="Arial" w:cs="Arial"/>
          <w:lang w:val="mk-MK"/>
        </w:rPr>
        <w:t>value</w:t>
      </w:r>
      <w:proofErr w:type="spellEnd"/>
      <w:r w:rsidRPr="007B0381">
        <w:rPr>
          <w:rFonts w:ascii="Arial" w:hAnsi="Arial" w:cs="Arial"/>
          <w:lang w:val="mk-MK"/>
        </w:rPr>
        <w:t xml:space="preserve"> </w:t>
      </w:r>
      <w:proofErr w:type="spellStart"/>
      <w:r w:rsidRPr="007B0381">
        <w:rPr>
          <w:rFonts w:ascii="Arial" w:hAnsi="Arial" w:cs="Arial"/>
          <w:lang w:val="mk-MK"/>
        </w:rPr>
        <w:t>by</w:t>
      </w:r>
      <w:proofErr w:type="spellEnd"/>
      <w:r w:rsidRPr="007B0381">
        <w:rPr>
          <w:rFonts w:ascii="Arial" w:hAnsi="Arial" w:cs="Arial"/>
          <w:lang w:val="mk-MK"/>
        </w:rPr>
        <w:t xml:space="preserve"> </w:t>
      </w:r>
      <w:proofErr w:type="spellStart"/>
      <w:r w:rsidRPr="007B0381">
        <w:rPr>
          <w:rFonts w:ascii="Arial" w:hAnsi="Arial" w:cs="Arial"/>
          <w:lang w:val="mk-MK"/>
        </w:rPr>
        <w:t>using</w:t>
      </w:r>
      <w:proofErr w:type="spellEnd"/>
      <w:r w:rsidRPr="007B0381">
        <w:rPr>
          <w:rFonts w:ascii="Arial" w:hAnsi="Arial" w:cs="Arial"/>
          <w:lang w:val="mk-MK"/>
        </w:rPr>
        <w:t xml:space="preserve"> </w:t>
      </w:r>
      <w:proofErr w:type="spellStart"/>
      <w:r w:rsidRPr="007B0381">
        <w:rPr>
          <w:rFonts w:ascii="Arial" w:hAnsi="Arial" w:cs="Arial"/>
          <w:lang w:val="mk-MK"/>
        </w:rPr>
        <w:t>valuation</w:t>
      </w:r>
      <w:proofErr w:type="spellEnd"/>
      <w:r w:rsidRPr="007B0381">
        <w:rPr>
          <w:rFonts w:ascii="Arial" w:hAnsi="Arial" w:cs="Arial"/>
          <w:lang w:val="mk-MK"/>
        </w:rPr>
        <w:t xml:space="preserve"> </w:t>
      </w:r>
      <w:proofErr w:type="spellStart"/>
      <w:r w:rsidRPr="007B0381">
        <w:rPr>
          <w:rFonts w:ascii="Arial" w:hAnsi="Arial" w:cs="Arial"/>
          <w:lang w:val="mk-MK"/>
        </w:rPr>
        <w:t>techniques</w:t>
      </w:r>
      <w:proofErr w:type="spellEnd"/>
      <w:r w:rsidRPr="007B0381">
        <w:rPr>
          <w:rFonts w:ascii="Arial" w:hAnsi="Arial" w:cs="Arial"/>
          <w:lang w:val="mk-MK"/>
        </w:rPr>
        <w:t xml:space="preserve">. </w:t>
      </w:r>
      <w:proofErr w:type="spellStart"/>
      <w:r w:rsidRPr="007B0381">
        <w:rPr>
          <w:rFonts w:ascii="Arial" w:hAnsi="Arial" w:cs="Arial"/>
          <w:lang w:val="mk-MK"/>
        </w:rPr>
        <w:t>Valuation</w:t>
      </w:r>
      <w:proofErr w:type="spellEnd"/>
      <w:r w:rsidRPr="007B0381">
        <w:rPr>
          <w:rFonts w:ascii="Arial" w:hAnsi="Arial" w:cs="Arial"/>
          <w:lang w:val="mk-MK"/>
        </w:rPr>
        <w:t xml:space="preserve"> </w:t>
      </w:r>
      <w:proofErr w:type="spellStart"/>
      <w:r w:rsidRPr="007B0381">
        <w:rPr>
          <w:rFonts w:ascii="Arial" w:hAnsi="Arial" w:cs="Arial"/>
          <w:lang w:val="mk-MK"/>
        </w:rPr>
        <w:t>techniques</w:t>
      </w:r>
      <w:proofErr w:type="spellEnd"/>
      <w:r w:rsidRPr="007B0381">
        <w:rPr>
          <w:rFonts w:ascii="Arial" w:hAnsi="Arial" w:cs="Arial"/>
          <w:lang w:val="mk-MK"/>
        </w:rPr>
        <w:t xml:space="preserve"> </w:t>
      </w:r>
      <w:proofErr w:type="spellStart"/>
      <w:r w:rsidRPr="007B0381">
        <w:rPr>
          <w:rFonts w:ascii="Arial" w:hAnsi="Arial" w:cs="Arial"/>
          <w:lang w:val="mk-MK"/>
        </w:rPr>
        <w:t>include</w:t>
      </w:r>
      <w:proofErr w:type="spellEnd"/>
      <w:r w:rsidRPr="007B0381">
        <w:rPr>
          <w:rFonts w:ascii="Arial" w:hAnsi="Arial" w:cs="Arial"/>
          <w:lang w:val="mk-MK"/>
        </w:rPr>
        <w:t xml:space="preserve"> </w:t>
      </w:r>
      <w:proofErr w:type="spellStart"/>
      <w:r w:rsidRPr="007B0381">
        <w:rPr>
          <w:rFonts w:ascii="Arial" w:hAnsi="Arial" w:cs="Arial"/>
          <w:lang w:val="mk-MK"/>
        </w:rPr>
        <w:t>the</w:t>
      </w:r>
      <w:proofErr w:type="spellEnd"/>
      <w:r w:rsidRPr="007B0381">
        <w:rPr>
          <w:rFonts w:ascii="Arial" w:hAnsi="Arial" w:cs="Arial"/>
          <w:lang w:val="mk-MK"/>
        </w:rPr>
        <w:t xml:space="preserve"> </w:t>
      </w:r>
      <w:proofErr w:type="spellStart"/>
      <w:r w:rsidRPr="007B0381">
        <w:rPr>
          <w:rFonts w:ascii="Arial" w:hAnsi="Arial" w:cs="Arial"/>
          <w:lang w:val="mk-MK"/>
        </w:rPr>
        <w:t>use</w:t>
      </w:r>
      <w:proofErr w:type="spellEnd"/>
      <w:r w:rsidRPr="007B0381">
        <w:rPr>
          <w:rFonts w:ascii="Arial" w:hAnsi="Arial" w:cs="Arial"/>
          <w:lang w:val="mk-MK"/>
        </w:rPr>
        <w:t xml:space="preserve"> </w:t>
      </w:r>
      <w:proofErr w:type="spellStart"/>
      <w:r w:rsidRPr="007B0381">
        <w:rPr>
          <w:rFonts w:ascii="Arial" w:hAnsi="Arial" w:cs="Arial"/>
          <w:lang w:val="mk-MK"/>
        </w:rPr>
        <w:t>of</w:t>
      </w:r>
      <w:proofErr w:type="spellEnd"/>
      <w:r w:rsidRPr="007B0381">
        <w:rPr>
          <w:rFonts w:ascii="Arial" w:hAnsi="Arial" w:cs="Arial"/>
          <w:lang w:val="mk-MK"/>
        </w:rPr>
        <w:t xml:space="preserve"> </w:t>
      </w:r>
      <w:proofErr w:type="spellStart"/>
      <w:r w:rsidRPr="007B0381">
        <w:rPr>
          <w:rFonts w:ascii="Arial" w:hAnsi="Arial" w:cs="Arial"/>
          <w:lang w:val="mk-MK"/>
        </w:rPr>
        <w:t>recent</w:t>
      </w:r>
      <w:proofErr w:type="spellEnd"/>
      <w:r w:rsidRPr="007B0381">
        <w:rPr>
          <w:rFonts w:ascii="Arial" w:hAnsi="Arial" w:cs="Arial"/>
          <w:lang w:val="mk-MK"/>
        </w:rPr>
        <w:t xml:space="preserve"> </w:t>
      </w:r>
      <w:proofErr w:type="spellStart"/>
      <w:r w:rsidRPr="007B0381">
        <w:rPr>
          <w:rFonts w:ascii="Arial" w:hAnsi="Arial" w:cs="Arial"/>
          <w:lang w:val="mk-MK"/>
        </w:rPr>
        <w:t>arm’s</w:t>
      </w:r>
      <w:proofErr w:type="spellEnd"/>
      <w:r w:rsidRPr="007B0381">
        <w:rPr>
          <w:rFonts w:ascii="Arial" w:hAnsi="Arial" w:cs="Arial"/>
          <w:lang w:val="mk-MK"/>
        </w:rPr>
        <w:t xml:space="preserve"> </w:t>
      </w:r>
      <w:proofErr w:type="spellStart"/>
      <w:r w:rsidRPr="007B0381">
        <w:rPr>
          <w:rFonts w:ascii="Arial" w:hAnsi="Arial" w:cs="Arial"/>
          <w:lang w:val="mk-MK"/>
        </w:rPr>
        <w:t>length</w:t>
      </w:r>
      <w:proofErr w:type="spellEnd"/>
      <w:r w:rsidRPr="007B0381">
        <w:rPr>
          <w:rFonts w:ascii="Arial" w:hAnsi="Arial" w:cs="Arial"/>
          <w:lang w:val="mk-MK"/>
        </w:rPr>
        <w:t xml:space="preserve"> </w:t>
      </w:r>
      <w:proofErr w:type="spellStart"/>
      <w:r w:rsidRPr="007B0381">
        <w:rPr>
          <w:rFonts w:ascii="Arial" w:hAnsi="Arial" w:cs="Arial"/>
          <w:lang w:val="mk-MK"/>
        </w:rPr>
        <w:t>market</w:t>
      </w:r>
      <w:proofErr w:type="spellEnd"/>
      <w:r w:rsidRPr="007B0381">
        <w:rPr>
          <w:rFonts w:ascii="Arial" w:hAnsi="Arial" w:cs="Arial"/>
          <w:lang w:val="mk-MK"/>
        </w:rPr>
        <w:t xml:space="preserve"> </w:t>
      </w:r>
      <w:proofErr w:type="spellStart"/>
      <w:r w:rsidRPr="007B0381">
        <w:rPr>
          <w:rFonts w:ascii="Arial" w:hAnsi="Arial" w:cs="Arial"/>
          <w:lang w:val="mk-MK"/>
        </w:rPr>
        <w:t>transactions</w:t>
      </w:r>
      <w:proofErr w:type="spellEnd"/>
      <w:r w:rsidRPr="007B0381">
        <w:rPr>
          <w:rFonts w:ascii="Arial" w:hAnsi="Arial" w:cs="Arial"/>
          <w:lang w:val="mk-MK"/>
        </w:rPr>
        <w:t xml:space="preserve">, </w:t>
      </w:r>
      <w:proofErr w:type="spellStart"/>
      <w:r w:rsidRPr="007B0381">
        <w:rPr>
          <w:rFonts w:ascii="Arial" w:hAnsi="Arial" w:cs="Arial"/>
          <w:lang w:val="mk-MK"/>
        </w:rPr>
        <w:t>references</w:t>
      </w:r>
      <w:proofErr w:type="spellEnd"/>
      <w:r w:rsidRPr="007B0381">
        <w:rPr>
          <w:rFonts w:ascii="Arial" w:hAnsi="Arial" w:cs="Arial"/>
          <w:lang w:val="mk-MK"/>
        </w:rPr>
        <w:t xml:space="preserve"> </w:t>
      </w:r>
      <w:proofErr w:type="spellStart"/>
      <w:r w:rsidRPr="007B0381">
        <w:rPr>
          <w:rFonts w:ascii="Arial" w:hAnsi="Arial" w:cs="Arial"/>
          <w:lang w:val="mk-MK"/>
        </w:rPr>
        <w:t>to</w:t>
      </w:r>
      <w:proofErr w:type="spellEnd"/>
      <w:r w:rsidRPr="007B0381">
        <w:rPr>
          <w:rFonts w:ascii="Arial" w:hAnsi="Arial" w:cs="Arial"/>
          <w:lang w:val="mk-MK"/>
        </w:rPr>
        <w:t xml:space="preserve"> </w:t>
      </w:r>
      <w:proofErr w:type="spellStart"/>
      <w:r w:rsidRPr="007B0381">
        <w:rPr>
          <w:rFonts w:ascii="Arial" w:hAnsi="Arial" w:cs="Arial"/>
          <w:lang w:val="mk-MK"/>
        </w:rPr>
        <w:t>the</w:t>
      </w:r>
      <w:proofErr w:type="spellEnd"/>
      <w:r w:rsidRPr="007B0381">
        <w:rPr>
          <w:rFonts w:ascii="Arial" w:hAnsi="Arial" w:cs="Arial"/>
          <w:lang w:val="mk-MK"/>
        </w:rPr>
        <w:t xml:space="preserve"> </w:t>
      </w:r>
      <w:proofErr w:type="spellStart"/>
      <w:r w:rsidRPr="007B0381">
        <w:rPr>
          <w:rFonts w:ascii="Arial" w:hAnsi="Arial" w:cs="Arial"/>
          <w:lang w:val="mk-MK"/>
        </w:rPr>
        <w:t>current</w:t>
      </w:r>
      <w:proofErr w:type="spellEnd"/>
      <w:r w:rsidRPr="007B0381">
        <w:rPr>
          <w:rFonts w:ascii="Arial" w:hAnsi="Arial" w:cs="Arial"/>
          <w:lang w:val="mk-MK"/>
        </w:rPr>
        <w:t xml:space="preserve"> </w:t>
      </w:r>
      <w:proofErr w:type="spellStart"/>
      <w:r w:rsidRPr="007B0381">
        <w:rPr>
          <w:rFonts w:ascii="Arial" w:hAnsi="Arial" w:cs="Arial"/>
          <w:lang w:val="mk-MK"/>
        </w:rPr>
        <w:t>fair</w:t>
      </w:r>
      <w:proofErr w:type="spellEnd"/>
      <w:r w:rsidRPr="007B0381">
        <w:rPr>
          <w:rFonts w:ascii="Arial" w:hAnsi="Arial" w:cs="Arial"/>
          <w:lang w:val="mk-MK"/>
        </w:rPr>
        <w:t xml:space="preserve"> </w:t>
      </w:r>
      <w:proofErr w:type="spellStart"/>
      <w:r w:rsidRPr="007B0381">
        <w:rPr>
          <w:rFonts w:ascii="Arial" w:hAnsi="Arial" w:cs="Arial"/>
          <w:lang w:val="mk-MK"/>
        </w:rPr>
        <w:t>value</w:t>
      </w:r>
      <w:proofErr w:type="spellEnd"/>
      <w:r w:rsidRPr="007B0381">
        <w:rPr>
          <w:rFonts w:ascii="Arial" w:hAnsi="Arial" w:cs="Arial"/>
          <w:lang w:val="mk-MK"/>
        </w:rPr>
        <w:t xml:space="preserve"> </w:t>
      </w:r>
      <w:proofErr w:type="spellStart"/>
      <w:r w:rsidRPr="007B0381">
        <w:rPr>
          <w:rFonts w:ascii="Arial" w:hAnsi="Arial" w:cs="Arial"/>
          <w:lang w:val="mk-MK"/>
        </w:rPr>
        <w:t>of</w:t>
      </w:r>
      <w:proofErr w:type="spellEnd"/>
      <w:r w:rsidRPr="007B0381">
        <w:rPr>
          <w:rFonts w:ascii="Arial" w:hAnsi="Arial" w:cs="Arial"/>
          <w:lang w:val="mk-MK"/>
        </w:rPr>
        <w:t xml:space="preserve"> </w:t>
      </w:r>
      <w:proofErr w:type="spellStart"/>
      <w:r w:rsidRPr="007B0381">
        <w:rPr>
          <w:rFonts w:ascii="Arial" w:hAnsi="Arial" w:cs="Arial"/>
          <w:lang w:val="mk-MK"/>
        </w:rPr>
        <w:t>another</w:t>
      </w:r>
      <w:proofErr w:type="spellEnd"/>
      <w:r w:rsidRPr="007B0381">
        <w:rPr>
          <w:rFonts w:ascii="Arial" w:hAnsi="Arial" w:cs="Arial"/>
          <w:lang w:val="mk-MK"/>
        </w:rPr>
        <w:t xml:space="preserve"> </w:t>
      </w:r>
      <w:proofErr w:type="spellStart"/>
      <w:r w:rsidRPr="007B0381">
        <w:rPr>
          <w:rFonts w:ascii="Arial" w:hAnsi="Arial" w:cs="Arial"/>
          <w:lang w:val="mk-MK"/>
        </w:rPr>
        <w:t>instrument</w:t>
      </w:r>
      <w:proofErr w:type="spellEnd"/>
      <w:r w:rsidRPr="007B0381">
        <w:rPr>
          <w:rFonts w:ascii="Arial" w:hAnsi="Arial" w:cs="Arial"/>
          <w:lang w:val="mk-MK"/>
        </w:rPr>
        <w:t xml:space="preserve"> </w:t>
      </w:r>
      <w:proofErr w:type="spellStart"/>
      <w:r w:rsidRPr="007B0381">
        <w:rPr>
          <w:rFonts w:ascii="Arial" w:hAnsi="Arial" w:cs="Arial"/>
          <w:lang w:val="mk-MK"/>
        </w:rPr>
        <w:t>that</w:t>
      </w:r>
      <w:proofErr w:type="spellEnd"/>
      <w:r w:rsidRPr="007B0381">
        <w:rPr>
          <w:rFonts w:ascii="Arial" w:hAnsi="Arial" w:cs="Arial"/>
          <w:lang w:val="mk-MK"/>
        </w:rPr>
        <w:t xml:space="preserve"> </w:t>
      </w:r>
      <w:proofErr w:type="spellStart"/>
      <w:r w:rsidRPr="007B0381">
        <w:rPr>
          <w:rFonts w:ascii="Arial" w:hAnsi="Arial" w:cs="Arial"/>
          <w:lang w:val="mk-MK"/>
        </w:rPr>
        <w:t>is</w:t>
      </w:r>
      <w:proofErr w:type="spellEnd"/>
      <w:r w:rsidRPr="007B0381">
        <w:rPr>
          <w:rFonts w:ascii="Arial" w:hAnsi="Arial" w:cs="Arial"/>
          <w:lang w:val="mk-MK"/>
        </w:rPr>
        <w:t xml:space="preserve"> </w:t>
      </w:r>
      <w:proofErr w:type="spellStart"/>
      <w:r w:rsidRPr="007B0381">
        <w:rPr>
          <w:rFonts w:ascii="Arial" w:hAnsi="Arial" w:cs="Arial"/>
          <w:lang w:val="mk-MK"/>
        </w:rPr>
        <w:t>substantially</w:t>
      </w:r>
      <w:proofErr w:type="spellEnd"/>
      <w:r w:rsidRPr="007B0381">
        <w:rPr>
          <w:rFonts w:ascii="Arial" w:hAnsi="Arial" w:cs="Arial"/>
          <w:lang w:val="mk-MK"/>
        </w:rPr>
        <w:t xml:space="preserve"> </w:t>
      </w:r>
      <w:proofErr w:type="spellStart"/>
      <w:r w:rsidRPr="007B0381">
        <w:rPr>
          <w:rFonts w:ascii="Arial" w:hAnsi="Arial" w:cs="Arial"/>
          <w:lang w:val="mk-MK"/>
        </w:rPr>
        <w:t>the</w:t>
      </w:r>
      <w:proofErr w:type="spellEnd"/>
      <w:r w:rsidRPr="007B0381">
        <w:rPr>
          <w:rFonts w:ascii="Arial" w:hAnsi="Arial" w:cs="Arial"/>
          <w:lang w:val="mk-MK"/>
        </w:rPr>
        <w:t xml:space="preserve"> </w:t>
      </w:r>
      <w:proofErr w:type="spellStart"/>
      <w:r w:rsidRPr="007B0381">
        <w:rPr>
          <w:rFonts w:ascii="Arial" w:hAnsi="Arial" w:cs="Arial"/>
          <w:lang w:val="mk-MK"/>
        </w:rPr>
        <w:t>same</w:t>
      </w:r>
      <w:proofErr w:type="spellEnd"/>
      <w:r w:rsidRPr="007B0381">
        <w:rPr>
          <w:rFonts w:ascii="Arial" w:hAnsi="Arial" w:cs="Arial"/>
          <w:lang w:val="mk-MK"/>
        </w:rPr>
        <w:t xml:space="preserve">, </w:t>
      </w:r>
      <w:proofErr w:type="spellStart"/>
      <w:r w:rsidRPr="007B0381">
        <w:rPr>
          <w:rFonts w:ascii="Arial" w:hAnsi="Arial" w:cs="Arial"/>
          <w:lang w:val="mk-MK"/>
        </w:rPr>
        <w:t>discounted</w:t>
      </w:r>
      <w:proofErr w:type="spellEnd"/>
      <w:r w:rsidRPr="007B0381">
        <w:rPr>
          <w:rFonts w:ascii="Arial" w:hAnsi="Arial" w:cs="Arial"/>
          <w:lang w:val="mk-MK"/>
        </w:rPr>
        <w:t xml:space="preserve"> </w:t>
      </w:r>
      <w:proofErr w:type="spellStart"/>
      <w:r w:rsidRPr="007B0381">
        <w:rPr>
          <w:rFonts w:ascii="Arial" w:hAnsi="Arial" w:cs="Arial"/>
          <w:lang w:val="mk-MK"/>
        </w:rPr>
        <w:t>cash</w:t>
      </w:r>
      <w:proofErr w:type="spellEnd"/>
      <w:r w:rsidRPr="007B0381">
        <w:rPr>
          <w:rFonts w:ascii="Arial" w:hAnsi="Arial" w:cs="Arial"/>
          <w:lang w:val="mk-MK"/>
        </w:rPr>
        <w:t xml:space="preserve"> </w:t>
      </w:r>
      <w:proofErr w:type="spellStart"/>
      <w:r w:rsidRPr="007B0381">
        <w:rPr>
          <w:rFonts w:ascii="Arial" w:hAnsi="Arial" w:cs="Arial"/>
          <w:lang w:val="mk-MK"/>
        </w:rPr>
        <w:t>flow</w:t>
      </w:r>
      <w:proofErr w:type="spellEnd"/>
      <w:r w:rsidRPr="007B0381">
        <w:rPr>
          <w:rFonts w:ascii="Arial" w:hAnsi="Arial" w:cs="Arial"/>
          <w:lang w:val="mk-MK"/>
        </w:rPr>
        <w:t xml:space="preserve"> </w:t>
      </w:r>
      <w:proofErr w:type="spellStart"/>
      <w:r w:rsidRPr="007B0381">
        <w:rPr>
          <w:rFonts w:ascii="Arial" w:hAnsi="Arial" w:cs="Arial"/>
          <w:lang w:val="mk-MK"/>
        </w:rPr>
        <w:t>analysis</w:t>
      </w:r>
      <w:proofErr w:type="spellEnd"/>
      <w:r w:rsidRPr="007B0381">
        <w:rPr>
          <w:rFonts w:ascii="Arial" w:hAnsi="Arial" w:cs="Arial"/>
          <w:lang w:val="mk-MK"/>
        </w:rPr>
        <w:t xml:space="preserve"> </w:t>
      </w:r>
      <w:proofErr w:type="spellStart"/>
      <w:r w:rsidRPr="007B0381">
        <w:rPr>
          <w:rFonts w:ascii="Arial" w:hAnsi="Arial" w:cs="Arial"/>
          <w:lang w:val="mk-MK"/>
        </w:rPr>
        <w:t>and</w:t>
      </w:r>
      <w:proofErr w:type="spellEnd"/>
      <w:r w:rsidRPr="007B0381">
        <w:rPr>
          <w:rFonts w:ascii="Arial" w:hAnsi="Arial" w:cs="Arial"/>
          <w:lang w:val="mk-MK"/>
        </w:rPr>
        <w:t xml:space="preserve"> </w:t>
      </w:r>
      <w:proofErr w:type="spellStart"/>
      <w:r w:rsidRPr="007B0381">
        <w:rPr>
          <w:rFonts w:ascii="Arial" w:hAnsi="Arial" w:cs="Arial"/>
          <w:lang w:val="mk-MK"/>
        </w:rPr>
        <w:t>option</w:t>
      </w:r>
      <w:proofErr w:type="spellEnd"/>
      <w:r w:rsidRPr="007B0381">
        <w:rPr>
          <w:rFonts w:ascii="Arial" w:hAnsi="Arial" w:cs="Arial"/>
          <w:lang w:val="mk-MK"/>
        </w:rPr>
        <w:t xml:space="preserve"> </w:t>
      </w:r>
      <w:proofErr w:type="spellStart"/>
      <w:r w:rsidRPr="007B0381">
        <w:rPr>
          <w:rFonts w:ascii="Arial" w:hAnsi="Arial" w:cs="Arial"/>
          <w:lang w:val="mk-MK"/>
        </w:rPr>
        <w:t>pricing</w:t>
      </w:r>
      <w:proofErr w:type="spellEnd"/>
      <w:r w:rsidRPr="007B0381">
        <w:rPr>
          <w:rFonts w:ascii="Arial" w:hAnsi="Arial" w:cs="Arial"/>
          <w:lang w:val="mk-MK"/>
        </w:rPr>
        <w:t xml:space="preserve"> </w:t>
      </w:r>
      <w:proofErr w:type="spellStart"/>
      <w:r w:rsidRPr="007B0381">
        <w:rPr>
          <w:rFonts w:ascii="Arial" w:hAnsi="Arial" w:cs="Arial"/>
          <w:lang w:val="mk-MK"/>
        </w:rPr>
        <w:t>models</w:t>
      </w:r>
      <w:proofErr w:type="spellEnd"/>
      <w:r w:rsidRPr="007B0381">
        <w:rPr>
          <w:rFonts w:ascii="Arial" w:hAnsi="Arial" w:cs="Arial"/>
          <w:lang w:val="mk-MK"/>
        </w:rPr>
        <w:t xml:space="preserve">. </w:t>
      </w:r>
      <w:proofErr w:type="spellStart"/>
      <w:r w:rsidRPr="007B0381">
        <w:rPr>
          <w:rFonts w:ascii="Arial" w:hAnsi="Arial" w:cs="Arial"/>
          <w:lang w:val="mk-MK"/>
        </w:rPr>
        <w:t>If</w:t>
      </w:r>
      <w:proofErr w:type="spellEnd"/>
      <w:r w:rsidRPr="007B0381">
        <w:rPr>
          <w:rFonts w:ascii="Arial" w:hAnsi="Arial" w:cs="Arial"/>
          <w:lang w:val="mk-MK"/>
        </w:rPr>
        <w:t xml:space="preserve"> </w:t>
      </w:r>
      <w:proofErr w:type="spellStart"/>
      <w:r w:rsidRPr="007B0381">
        <w:rPr>
          <w:rFonts w:ascii="Arial" w:hAnsi="Arial" w:cs="Arial"/>
          <w:lang w:val="mk-MK"/>
        </w:rPr>
        <w:t>the</w:t>
      </w:r>
      <w:proofErr w:type="spellEnd"/>
      <w:r w:rsidRPr="007B0381">
        <w:rPr>
          <w:rFonts w:ascii="Arial" w:hAnsi="Arial" w:cs="Arial"/>
          <w:lang w:val="mk-MK"/>
        </w:rPr>
        <w:t xml:space="preserve"> </w:t>
      </w:r>
      <w:proofErr w:type="spellStart"/>
      <w:r w:rsidRPr="007B0381">
        <w:rPr>
          <w:rFonts w:ascii="Arial" w:hAnsi="Arial" w:cs="Arial"/>
          <w:lang w:val="mk-MK"/>
        </w:rPr>
        <w:t>value</w:t>
      </w:r>
      <w:proofErr w:type="spellEnd"/>
      <w:r w:rsidRPr="007B0381">
        <w:rPr>
          <w:rFonts w:ascii="Arial" w:hAnsi="Arial" w:cs="Arial"/>
          <w:lang w:val="mk-MK"/>
        </w:rPr>
        <w:t xml:space="preserve"> </w:t>
      </w:r>
      <w:proofErr w:type="spellStart"/>
      <w:r w:rsidRPr="007B0381">
        <w:rPr>
          <w:rFonts w:ascii="Arial" w:hAnsi="Arial" w:cs="Arial"/>
          <w:lang w:val="mk-MK"/>
        </w:rPr>
        <w:t>of</w:t>
      </w:r>
      <w:proofErr w:type="spellEnd"/>
      <w:r w:rsidRPr="007B0381">
        <w:rPr>
          <w:rFonts w:ascii="Arial" w:hAnsi="Arial" w:cs="Arial"/>
          <w:lang w:val="mk-MK"/>
        </w:rPr>
        <w:t xml:space="preserve"> </w:t>
      </w:r>
      <w:proofErr w:type="spellStart"/>
      <w:r w:rsidRPr="007B0381">
        <w:rPr>
          <w:rFonts w:ascii="Arial" w:hAnsi="Arial" w:cs="Arial"/>
          <w:lang w:val="mk-MK"/>
        </w:rPr>
        <w:t>equity</w:t>
      </w:r>
      <w:proofErr w:type="spellEnd"/>
      <w:r w:rsidRPr="007B0381">
        <w:rPr>
          <w:rFonts w:ascii="Arial" w:hAnsi="Arial" w:cs="Arial"/>
          <w:lang w:val="mk-MK"/>
        </w:rPr>
        <w:t xml:space="preserve"> </w:t>
      </w:r>
      <w:proofErr w:type="spellStart"/>
      <w:r w:rsidRPr="007B0381">
        <w:rPr>
          <w:rFonts w:ascii="Arial" w:hAnsi="Arial" w:cs="Arial"/>
          <w:lang w:val="mk-MK"/>
        </w:rPr>
        <w:t>instruments</w:t>
      </w:r>
      <w:proofErr w:type="spellEnd"/>
      <w:r w:rsidRPr="007B0381">
        <w:rPr>
          <w:rFonts w:ascii="Arial" w:hAnsi="Arial" w:cs="Arial"/>
          <w:lang w:val="mk-MK"/>
        </w:rPr>
        <w:t xml:space="preserve"> </w:t>
      </w:r>
      <w:proofErr w:type="spellStart"/>
      <w:r w:rsidRPr="007B0381">
        <w:rPr>
          <w:rFonts w:ascii="Arial" w:hAnsi="Arial" w:cs="Arial"/>
          <w:lang w:val="mk-MK"/>
        </w:rPr>
        <w:t>cannot</w:t>
      </w:r>
      <w:proofErr w:type="spellEnd"/>
      <w:r w:rsidRPr="007B0381">
        <w:rPr>
          <w:rFonts w:ascii="Arial" w:hAnsi="Arial" w:cs="Arial"/>
          <w:lang w:val="mk-MK"/>
        </w:rPr>
        <w:t xml:space="preserve"> </w:t>
      </w:r>
      <w:proofErr w:type="spellStart"/>
      <w:r w:rsidRPr="007B0381">
        <w:rPr>
          <w:rFonts w:ascii="Arial" w:hAnsi="Arial" w:cs="Arial"/>
          <w:lang w:val="mk-MK"/>
        </w:rPr>
        <w:t>be</w:t>
      </w:r>
      <w:proofErr w:type="spellEnd"/>
      <w:r w:rsidRPr="007B0381">
        <w:rPr>
          <w:rFonts w:ascii="Arial" w:hAnsi="Arial" w:cs="Arial"/>
          <w:lang w:val="mk-MK"/>
        </w:rPr>
        <w:t xml:space="preserve"> </w:t>
      </w:r>
      <w:proofErr w:type="spellStart"/>
      <w:r w:rsidRPr="007B0381">
        <w:rPr>
          <w:rFonts w:ascii="Arial" w:hAnsi="Arial" w:cs="Arial"/>
          <w:lang w:val="mk-MK"/>
        </w:rPr>
        <w:t>reliably</w:t>
      </w:r>
      <w:proofErr w:type="spellEnd"/>
      <w:r w:rsidRPr="007B0381">
        <w:rPr>
          <w:rFonts w:ascii="Arial" w:hAnsi="Arial" w:cs="Arial"/>
          <w:lang w:val="mk-MK"/>
        </w:rPr>
        <w:t xml:space="preserve"> </w:t>
      </w:r>
      <w:proofErr w:type="spellStart"/>
      <w:r w:rsidRPr="007B0381">
        <w:rPr>
          <w:rFonts w:ascii="Arial" w:hAnsi="Arial" w:cs="Arial"/>
          <w:lang w:val="mk-MK"/>
        </w:rPr>
        <w:t>measured</w:t>
      </w:r>
      <w:proofErr w:type="spellEnd"/>
      <w:r w:rsidRPr="007B0381">
        <w:rPr>
          <w:rFonts w:ascii="Arial" w:hAnsi="Arial" w:cs="Arial"/>
          <w:lang w:val="mk-MK"/>
        </w:rPr>
        <w:t xml:space="preserve">, </w:t>
      </w:r>
      <w:proofErr w:type="spellStart"/>
      <w:r w:rsidRPr="007B0381">
        <w:rPr>
          <w:rFonts w:ascii="Arial" w:hAnsi="Arial" w:cs="Arial"/>
          <w:lang w:val="mk-MK"/>
        </w:rPr>
        <w:t>they</w:t>
      </w:r>
      <w:proofErr w:type="spellEnd"/>
      <w:r w:rsidRPr="007B0381">
        <w:rPr>
          <w:rFonts w:ascii="Arial" w:hAnsi="Arial" w:cs="Arial"/>
          <w:lang w:val="mk-MK"/>
        </w:rPr>
        <w:t xml:space="preserve"> </w:t>
      </w:r>
      <w:proofErr w:type="spellStart"/>
      <w:r w:rsidRPr="007B0381">
        <w:rPr>
          <w:rFonts w:ascii="Arial" w:hAnsi="Arial" w:cs="Arial"/>
          <w:lang w:val="mk-MK"/>
        </w:rPr>
        <w:t>are</w:t>
      </w:r>
      <w:proofErr w:type="spellEnd"/>
      <w:r w:rsidRPr="007B0381">
        <w:rPr>
          <w:rFonts w:ascii="Arial" w:hAnsi="Arial" w:cs="Arial"/>
          <w:lang w:val="mk-MK"/>
        </w:rPr>
        <w:t xml:space="preserve"> </w:t>
      </w:r>
      <w:proofErr w:type="spellStart"/>
      <w:r w:rsidRPr="007B0381">
        <w:rPr>
          <w:rFonts w:ascii="Arial" w:hAnsi="Arial" w:cs="Arial"/>
          <w:lang w:val="mk-MK"/>
        </w:rPr>
        <w:t>measured</w:t>
      </w:r>
      <w:proofErr w:type="spellEnd"/>
      <w:r w:rsidRPr="007B0381">
        <w:rPr>
          <w:rFonts w:ascii="Arial" w:hAnsi="Arial" w:cs="Arial"/>
          <w:lang w:val="mk-MK"/>
        </w:rPr>
        <w:t xml:space="preserve"> </w:t>
      </w:r>
      <w:proofErr w:type="spellStart"/>
      <w:r w:rsidRPr="007B0381">
        <w:rPr>
          <w:rFonts w:ascii="Arial" w:hAnsi="Arial" w:cs="Arial"/>
          <w:lang w:val="mk-MK"/>
        </w:rPr>
        <w:t>at</w:t>
      </w:r>
      <w:proofErr w:type="spellEnd"/>
      <w:r w:rsidRPr="007B0381">
        <w:rPr>
          <w:rFonts w:ascii="Arial" w:hAnsi="Arial" w:cs="Arial"/>
          <w:lang w:val="mk-MK"/>
        </w:rPr>
        <w:t xml:space="preserve"> </w:t>
      </w:r>
      <w:proofErr w:type="spellStart"/>
      <w:r w:rsidRPr="007B0381">
        <w:rPr>
          <w:rFonts w:ascii="Arial" w:hAnsi="Arial" w:cs="Arial"/>
          <w:lang w:val="mk-MK"/>
        </w:rPr>
        <w:t>cost</w:t>
      </w:r>
      <w:proofErr w:type="spellEnd"/>
      <w:r w:rsidRPr="007B0381">
        <w:rPr>
          <w:rFonts w:ascii="Arial" w:hAnsi="Arial" w:cs="Arial"/>
          <w:lang w:val="mk-MK"/>
        </w:rPr>
        <w:t>.</w:t>
      </w:r>
    </w:p>
    <w:p w14:paraId="07632799" w14:textId="3A2D00B9" w:rsidR="00815E65" w:rsidRPr="00CE3053" w:rsidRDefault="005C705F" w:rsidP="00815E65">
      <w:pPr>
        <w:pStyle w:val="BodyText"/>
        <w:jc w:val="both"/>
        <w:rPr>
          <w:rFonts w:ascii="Arial" w:hAnsi="Arial" w:cs="Arial"/>
          <w:lang w:val="mk-MK"/>
        </w:rPr>
      </w:pPr>
      <w:proofErr w:type="spellStart"/>
      <w:r w:rsidRPr="005C705F">
        <w:rPr>
          <w:rFonts w:ascii="Arial" w:hAnsi="Arial" w:cs="Arial"/>
          <w:lang w:val="mk-MK"/>
        </w:rPr>
        <w:t>Investments</w:t>
      </w:r>
      <w:proofErr w:type="spellEnd"/>
      <w:r w:rsidRPr="005C705F">
        <w:rPr>
          <w:rFonts w:ascii="Arial" w:hAnsi="Arial" w:cs="Arial"/>
          <w:lang w:val="mk-MK"/>
        </w:rPr>
        <w:t xml:space="preserve"> </w:t>
      </w:r>
      <w:proofErr w:type="spellStart"/>
      <w:r w:rsidRPr="005C705F">
        <w:rPr>
          <w:rFonts w:ascii="Arial" w:hAnsi="Arial" w:cs="Arial"/>
          <w:lang w:val="mk-MK"/>
        </w:rPr>
        <w:t>held</w:t>
      </w:r>
      <w:proofErr w:type="spellEnd"/>
      <w:r w:rsidRPr="005C705F">
        <w:rPr>
          <w:rFonts w:ascii="Arial" w:hAnsi="Arial" w:cs="Arial"/>
          <w:lang w:val="mk-MK"/>
        </w:rPr>
        <w:t xml:space="preserve"> </w:t>
      </w:r>
      <w:proofErr w:type="spellStart"/>
      <w:r w:rsidRPr="005C705F">
        <w:rPr>
          <w:rFonts w:ascii="Arial" w:hAnsi="Arial" w:cs="Arial"/>
          <w:lang w:val="mk-MK"/>
        </w:rPr>
        <w:t>to</w:t>
      </w:r>
      <w:proofErr w:type="spellEnd"/>
      <w:r w:rsidRPr="005C705F">
        <w:rPr>
          <w:rFonts w:ascii="Arial" w:hAnsi="Arial" w:cs="Arial"/>
          <w:lang w:val="mk-MK"/>
        </w:rPr>
        <w:t xml:space="preserve"> </w:t>
      </w:r>
      <w:proofErr w:type="spellStart"/>
      <w:r w:rsidRPr="005C705F">
        <w:rPr>
          <w:rFonts w:ascii="Arial" w:hAnsi="Arial" w:cs="Arial"/>
          <w:lang w:val="mk-MK"/>
        </w:rPr>
        <w:t>maturity</w:t>
      </w:r>
      <w:proofErr w:type="spellEnd"/>
      <w:r w:rsidRPr="005C705F">
        <w:rPr>
          <w:rFonts w:ascii="Arial" w:hAnsi="Arial" w:cs="Arial"/>
          <w:lang w:val="mk-MK"/>
        </w:rPr>
        <w:t xml:space="preserve"> </w:t>
      </w:r>
      <w:proofErr w:type="spellStart"/>
      <w:r w:rsidRPr="005C705F">
        <w:rPr>
          <w:rFonts w:ascii="Arial" w:hAnsi="Arial" w:cs="Arial"/>
          <w:lang w:val="mk-MK"/>
        </w:rPr>
        <w:t>and</w:t>
      </w:r>
      <w:proofErr w:type="spellEnd"/>
      <w:r w:rsidRPr="005C705F">
        <w:rPr>
          <w:rFonts w:ascii="Arial" w:hAnsi="Arial" w:cs="Arial"/>
          <w:lang w:val="mk-MK"/>
        </w:rPr>
        <w:t xml:space="preserve"> </w:t>
      </w:r>
      <w:proofErr w:type="spellStart"/>
      <w:r w:rsidRPr="005C705F">
        <w:rPr>
          <w:rFonts w:ascii="Arial" w:hAnsi="Arial" w:cs="Arial"/>
          <w:lang w:val="mk-MK"/>
        </w:rPr>
        <w:t>loans</w:t>
      </w:r>
      <w:proofErr w:type="spellEnd"/>
      <w:r w:rsidRPr="005C705F">
        <w:rPr>
          <w:rFonts w:ascii="Arial" w:hAnsi="Arial" w:cs="Arial"/>
          <w:lang w:val="mk-MK"/>
        </w:rPr>
        <w:t xml:space="preserve"> </w:t>
      </w:r>
      <w:proofErr w:type="spellStart"/>
      <w:r w:rsidRPr="005C705F">
        <w:rPr>
          <w:rFonts w:ascii="Arial" w:hAnsi="Arial" w:cs="Arial"/>
          <w:lang w:val="mk-MK"/>
        </w:rPr>
        <w:t>and</w:t>
      </w:r>
      <w:proofErr w:type="spellEnd"/>
      <w:r w:rsidRPr="005C705F">
        <w:rPr>
          <w:rFonts w:ascii="Arial" w:hAnsi="Arial" w:cs="Arial"/>
          <w:lang w:val="mk-MK"/>
        </w:rPr>
        <w:t xml:space="preserve"> </w:t>
      </w:r>
      <w:proofErr w:type="spellStart"/>
      <w:r w:rsidRPr="005C705F">
        <w:rPr>
          <w:rFonts w:ascii="Arial" w:hAnsi="Arial" w:cs="Arial"/>
          <w:lang w:val="mk-MK"/>
        </w:rPr>
        <w:t>receivables</w:t>
      </w:r>
      <w:proofErr w:type="spellEnd"/>
      <w:r w:rsidRPr="005C705F">
        <w:rPr>
          <w:rFonts w:ascii="Arial" w:hAnsi="Arial" w:cs="Arial"/>
          <w:lang w:val="mk-MK"/>
        </w:rPr>
        <w:t xml:space="preserve"> </w:t>
      </w:r>
      <w:proofErr w:type="spellStart"/>
      <w:r w:rsidRPr="005C705F">
        <w:rPr>
          <w:rFonts w:ascii="Arial" w:hAnsi="Arial" w:cs="Arial"/>
          <w:lang w:val="mk-MK"/>
        </w:rPr>
        <w:t>are</w:t>
      </w:r>
      <w:proofErr w:type="spellEnd"/>
      <w:r w:rsidRPr="005C705F">
        <w:rPr>
          <w:rFonts w:ascii="Arial" w:hAnsi="Arial" w:cs="Arial"/>
          <w:lang w:val="mk-MK"/>
        </w:rPr>
        <w:t xml:space="preserve"> </w:t>
      </w:r>
      <w:proofErr w:type="spellStart"/>
      <w:r w:rsidRPr="005C705F">
        <w:rPr>
          <w:rFonts w:ascii="Arial" w:hAnsi="Arial" w:cs="Arial"/>
          <w:lang w:val="mk-MK"/>
        </w:rPr>
        <w:t>measured</w:t>
      </w:r>
      <w:proofErr w:type="spellEnd"/>
      <w:r w:rsidRPr="005C705F">
        <w:rPr>
          <w:rFonts w:ascii="Arial" w:hAnsi="Arial" w:cs="Arial"/>
          <w:lang w:val="mk-MK"/>
        </w:rPr>
        <w:t xml:space="preserve"> </w:t>
      </w:r>
      <w:proofErr w:type="spellStart"/>
      <w:r w:rsidRPr="005C705F">
        <w:rPr>
          <w:rFonts w:ascii="Arial" w:hAnsi="Arial" w:cs="Arial"/>
          <w:lang w:val="mk-MK"/>
        </w:rPr>
        <w:t>at</w:t>
      </w:r>
      <w:proofErr w:type="spellEnd"/>
      <w:r w:rsidRPr="005C705F">
        <w:rPr>
          <w:rFonts w:ascii="Arial" w:hAnsi="Arial" w:cs="Arial"/>
          <w:lang w:val="mk-MK"/>
        </w:rPr>
        <w:t xml:space="preserve"> </w:t>
      </w:r>
      <w:proofErr w:type="spellStart"/>
      <w:r w:rsidRPr="005C705F">
        <w:rPr>
          <w:rFonts w:ascii="Arial" w:hAnsi="Arial" w:cs="Arial"/>
          <w:lang w:val="mk-MK"/>
        </w:rPr>
        <w:t>amortised</w:t>
      </w:r>
      <w:proofErr w:type="spellEnd"/>
      <w:r w:rsidRPr="005C705F">
        <w:rPr>
          <w:rFonts w:ascii="Arial" w:hAnsi="Arial" w:cs="Arial"/>
          <w:lang w:val="mk-MK"/>
        </w:rPr>
        <w:t xml:space="preserve"> </w:t>
      </w:r>
      <w:proofErr w:type="spellStart"/>
      <w:r w:rsidRPr="005C705F">
        <w:rPr>
          <w:rFonts w:ascii="Arial" w:hAnsi="Arial" w:cs="Arial"/>
          <w:lang w:val="mk-MK"/>
        </w:rPr>
        <w:t>cost</w:t>
      </w:r>
      <w:proofErr w:type="spellEnd"/>
      <w:r w:rsidRPr="005C705F">
        <w:rPr>
          <w:rFonts w:ascii="Arial" w:hAnsi="Arial" w:cs="Arial"/>
          <w:lang w:val="mk-MK"/>
        </w:rPr>
        <w:t xml:space="preserve"> </w:t>
      </w:r>
      <w:proofErr w:type="spellStart"/>
      <w:r w:rsidRPr="005C705F">
        <w:rPr>
          <w:rFonts w:ascii="Arial" w:hAnsi="Arial" w:cs="Arial"/>
          <w:lang w:val="mk-MK"/>
        </w:rPr>
        <w:t>using</w:t>
      </w:r>
      <w:proofErr w:type="spellEnd"/>
      <w:r w:rsidRPr="005C705F">
        <w:rPr>
          <w:rFonts w:ascii="Arial" w:hAnsi="Arial" w:cs="Arial"/>
          <w:lang w:val="mk-MK"/>
        </w:rPr>
        <w:t xml:space="preserve"> </w:t>
      </w:r>
      <w:proofErr w:type="spellStart"/>
      <w:r w:rsidRPr="005C705F">
        <w:rPr>
          <w:rFonts w:ascii="Arial" w:hAnsi="Arial" w:cs="Arial"/>
          <w:lang w:val="mk-MK"/>
        </w:rPr>
        <w:t>the</w:t>
      </w:r>
      <w:proofErr w:type="spellEnd"/>
      <w:r w:rsidRPr="005C705F">
        <w:rPr>
          <w:rFonts w:ascii="Arial" w:hAnsi="Arial" w:cs="Arial"/>
          <w:lang w:val="mk-MK"/>
        </w:rPr>
        <w:t xml:space="preserve"> </w:t>
      </w:r>
      <w:proofErr w:type="spellStart"/>
      <w:r w:rsidRPr="005C705F">
        <w:rPr>
          <w:rFonts w:ascii="Arial" w:hAnsi="Arial" w:cs="Arial"/>
          <w:lang w:val="mk-MK"/>
        </w:rPr>
        <w:t>effective</w:t>
      </w:r>
      <w:proofErr w:type="spellEnd"/>
      <w:r w:rsidRPr="005C705F">
        <w:rPr>
          <w:rFonts w:ascii="Arial" w:hAnsi="Arial" w:cs="Arial"/>
          <w:lang w:val="mk-MK"/>
        </w:rPr>
        <w:t xml:space="preserve"> </w:t>
      </w:r>
      <w:proofErr w:type="spellStart"/>
      <w:r w:rsidRPr="005C705F">
        <w:rPr>
          <w:rFonts w:ascii="Arial" w:hAnsi="Arial" w:cs="Arial"/>
          <w:lang w:val="mk-MK"/>
        </w:rPr>
        <w:t>interest</w:t>
      </w:r>
      <w:proofErr w:type="spellEnd"/>
      <w:r w:rsidRPr="005C705F">
        <w:rPr>
          <w:rFonts w:ascii="Arial" w:hAnsi="Arial" w:cs="Arial"/>
          <w:lang w:val="mk-MK"/>
        </w:rPr>
        <w:t xml:space="preserve"> </w:t>
      </w:r>
      <w:proofErr w:type="spellStart"/>
      <w:r w:rsidRPr="005C705F">
        <w:rPr>
          <w:rFonts w:ascii="Arial" w:hAnsi="Arial" w:cs="Arial"/>
          <w:lang w:val="mk-MK"/>
        </w:rPr>
        <w:t>method</w:t>
      </w:r>
      <w:proofErr w:type="spellEnd"/>
      <w:r w:rsidRPr="005C705F">
        <w:rPr>
          <w:rFonts w:ascii="Arial" w:hAnsi="Arial" w:cs="Arial"/>
          <w:lang w:val="mk-MK"/>
        </w:rPr>
        <w:t xml:space="preserve">, </w:t>
      </w:r>
      <w:proofErr w:type="spellStart"/>
      <w:r w:rsidRPr="005C705F">
        <w:rPr>
          <w:rFonts w:ascii="Arial" w:hAnsi="Arial" w:cs="Arial"/>
          <w:lang w:val="mk-MK"/>
        </w:rPr>
        <w:t>less</w:t>
      </w:r>
      <w:proofErr w:type="spellEnd"/>
      <w:r w:rsidRPr="005C705F">
        <w:rPr>
          <w:rFonts w:ascii="Arial" w:hAnsi="Arial" w:cs="Arial"/>
          <w:lang w:val="mk-MK"/>
        </w:rPr>
        <w:t xml:space="preserve"> </w:t>
      </w:r>
      <w:proofErr w:type="spellStart"/>
      <w:r w:rsidRPr="005C705F">
        <w:rPr>
          <w:rFonts w:ascii="Arial" w:hAnsi="Arial" w:cs="Arial"/>
          <w:lang w:val="mk-MK"/>
        </w:rPr>
        <w:t>impairment</w:t>
      </w:r>
      <w:proofErr w:type="spellEnd"/>
      <w:r w:rsidRPr="005C705F">
        <w:rPr>
          <w:rFonts w:ascii="Arial" w:hAnsi="Arial" w:cs="Arial"/>
          <w:lang w:val="mk-MK"/>
        </w:rPr>
        <w:t xml:space="preserve"> </w:t>
      </w:r>
      <w:proofErr w:type="spellStart"/>
      <w:r w:rsidRPr="005C705F">
        <w:rPr>
          <w:rFonts w:ascii="Arial" w:hAnsi="Arial" w:cs="Arial"/>
          <w:lang w:val="mk-MK"/>
        </w:rPr>
        <w:t>losses</w:t>
      </w:r>
      <w:proofErr w:type="spellEnd"/>
      <w:r w:rsidRPr="005C705F">
        <w:rPr>
          <w:rFonts w:ascii="Arial" w:hAnsi="Arial" w:cs="Arial"/>
          <w:lang w:val="mk-MK"/>
        </w:rPr>
        <w:t>.</w:t>
      </w:r>
    </w:p>
    <w:p w14:paraId="01F2D055" w14:textId="664860AF" w:rsidR="00815E65" w:rsidRPr="00CE3053" w:rsidRDefault="008C3392" w:rsidP="00815E65">
      <w:pPr>
        <w:pStyle w:val="BodyText"/>
        <w:jc w:val="both"/>
        <w:rPr>
          <w:rFonts w:ascii="Arial" w:hAnsi="Arial" w:cs="Arial"/>
          <w:lang w:val="mk-MK"/>
        </w:rPr>
      </w:pPr>
      <w:proofErr w:type="spellStart"/>
      <w:r w:rsidRPr="008C3392">
        <w:rPr>
          <w:rFonts w:ascii="Arial" w:hAnsi="Arial" w:cs="Arial"/>
          <w:lang w:val="mk-MK"/>
        </w:rPr>
        <w:t>Realised</w:t>
      </w:r>
      <w:proofErr w:type="spellEnd"/>
      <w:r w:rsidRPr="008C3392">
        <w:rPr>
          <w:rFonts w:ascii="Arial" w:hAnsi="Arial" w:cs="Arial"/>
          <w:lang w:val="mk-MK"/>
        </w:rPr>
        <w:t xml:space="preserve"> </w:t>
      </w:r>
      <w:proofErr w:type="spellStart"/>
      <w:r w:rsidRPr="008C3392">
        <w:rPr>
          <w:rFonts w:ascii="Arial" w:hAnsi="Arial" w:cs="Arial"/>
          <w:lang w:val="mk-MK"/>
        </w:rPr>
        <w:t>gains</w:t>
      </w:r>
      <w:proofErr w:type="spellEnd"/>
      <w:r w:rsidRPr="008C3392">
        <w:rPr>
          <w:rFonts w:ascii="Arial" w:hAnsi="Arial" w:cs="Arial"/>
          <w:lang w:val="mk-MK"/>
        </w:rPr>
        <w:t xml:space="preserve"> </w:t>
      </w:r>
      <w:proofErr w:type="spellStart"/>
      <w:r w:rsidRPr="008C3392">
        <w:rPr>
          <w:rFonts w:ascii="Arial" w:hAnsi="Arial" w:cs="Arial"/>
          <w:lang w:val="mk-MK"/>
        </w:rPr>
        <w:t>and</w:t>
      </w:r>
      <w:proofErr w:type="spellEnd"/>
      <w:r w:rsidRPr="008C3392">
        <w:rPr>
          <w:rFonts w:ascii="Arial" w:hAnsi="Arial" w:cs="Arial"/>
          <w:lang w:val="mk-MK"/>
        </w:rPr>
        <w:t xml:space="preserve"> </w:t>
      </w:r>
      <w:proofErr w:type="spellStart"/>
      <w:r w:rsidRPr="008C3392">
        <w:rPr>
          <w:rFonts w:ascii="Arial" w:hAnsi="Arial" w:cs="Arial"/>
          <w:lang w:val="mk-MK"/>
        </w:rPr>
        <w:t>losses</w:t>
      </w:r>
      <w:proofErr w:type="spellEnd"/>
      <w:r w:rsidRPr="008C3392">
        <w:rPr>
          <w:rFonts w:ascii="Arial" w:hAnsi="Arial" w:cs="Arial"/>
          <w:lang w:val="mk-MK"/>
        </w:rPr>
        <w:t xml:space="preserve">, </w:t>
      </w:r>
      <w:proofErr w:type="spellStart"/>
      <w:r w:rsidRPr="008C3392">
        <w:rPr>
          <w:rFonts w:ascii="Arial" w:hAnsi="Arial" w:cs="Arial"/>
          <w:lang w:val="mk-MK"/>
        </w:rPr>
        <w:t>and</w:t>
      </w:r>
      <w:proofErr w:type="spellEnd"/>
      <w:r w:rsidRPr="008C3392">
        <w:rPr>
          <w:rFonts w:ascii="Arial" w:hAnsi="Arial" w:cs="Arial"/>
          <w:lang w:val="mk-MK"/>
        </w:rPr>
        <w:t xml:space="preserve"> </w:t>
      </w:r>
      <w:proofErr w:type="spellStart"/>
      <w:r w:rsidRPr="008C3392">
        <w:rPr>
          <w:rFonts w:ascii="Arial" w:hAnsi="Arial" w:cs="Arial"/>
          <w:lang w:val="mk-MK"/>
        </w:rPr>
        <w:t>unrealised</w:t>
      </w:r>
      <w:proofErr w:type="spellEnd"/>
      <w:r w:rsidRPr="008C3392">
        <w:rPr>
          <w:rFonts w:ascii="Arial" w:hAnsi="Arial" w:cs="Arial"/>
          <w:lang w:val="mk-MK"/>
        </w:rPr>
        <w:t xml:space="preserve"> </w:t>
      </w:r>
      <w:proofErr w:type="spellStart"/>
      <w:r w:rsidRPr="008C3392">
        <w:rPr>
          <w:rFonts w:ascii="Arial" w:hAnsi="Arial" w:cs="Arial"/>
          <w:lang w:val="mk-MK"/>
        </w:rPr>
        <w:t>gains</w:t>
      </w:r>
      <w:proofErr w:type="spellEnd"/>
      <w:r w:rsidRPr="008C3392">
        <w:rPr>
          <w:rFonts w:ascii="Arial" w:hAnsi="Arial" w:cs="Arial"/>
          <w:lang w:val="mk-MK"/>
        </w:rPr>
        <w:t xml:space="preserve"> </w:t>
      </w:r>
      <w:proofErr w:type="spellStart"/>
      <w:r w:rsidRPr="008C3392">
        <w:rPr>
          <w:rFonts w:ascii="Arial" w:hAnsi="Arial" w:cs="Arial"/>
          <w:lang w:val="mk-MK"/>
        </w:rPr>
        <w:t>and</w:t>
      </w:r>
      <w:proofErr w:type="spellEnd"/>
      <w:r w:rsidRPr="008C3392">
        <w:rPr>
          <w:rFonts w:ascii="Arial" w:hAnsi="Arial" w:cs="Arial"/>
          <w:lang w:val="mk-MK"/>
        </w:rPr>
        <w:t xml:space="preserve"> </w:t>
      </w:r>
      <w:proofErr w:type="spellStart"/>
      <w:r w:rsidRPr="008C3392">
        <w:rPr>
          <w:rFonts w:ascii="Arial" w:hAnsi="Arial" w:cs="Arial"/>
          <w:lang w:val="mk-MK"/>
        </w:rPr>
        <w:t>losses</w:t>
      </w:r>
      <w:proofErr w:type="spellEnd"/>
      <w:r w:rsidRPr="008C3392">
        <w:rPr>
          <w:rFonts w:ascii="Arial" w:hAnsi="Arial" w:cs="Arial"/>
          <w:lang w:val="mk-MK"/>
        </w:rPr>
        <w:t xml:space="preserve"> </w:t>
      </w:r>
      <w:proofErr w:type="spellStart"/>
      <w:r w:rsidRPr="008C3392">
        <w:rPr>
          <w:rFonts w:ascii="Arial" w:hAnsi="Arial" w:cs="Arial"/>
          <w:lang w:val="mk-MK"/>
        </w:rPr>
        <w:t>arising</w:t>
      </w:r>
      <w:proofErr w:type="spellEnd"/>
      <w:r w:rsidRPr="008C3392">
        <w:rPr>
          <w:rFonts w:ascii="Arial" w:hAnsi="Arial" w:cs="Arial"/>
          <w:lang w:val="mk-MK"/>
        </w:rPr>
        <w:t xml:space="preserve"> </w:t>
      </w:r>
      <w:proofErr w:type="spellStart"/>
      <w:r w:rsidRPr="008C3392">
        <w:rPr>
          <w:rFonts w:ascii="Arial" w:hAnsi="Arial" w:cs="Arial"/>
          <w:lang w:val="mk-MK"/>
        </w:rPr>
        <w:t>from</w:t>
      </w:r>
      <w:proofErr w:type="spellEnd"/>
      <w:r w:rsidRPr="008C3392">
        <w:rPr>
          <w:rFonts w:ascii="Arial" w:hAnsi="Arial" w:cs="Arial"/>
          <w:lang w:val="mk-MK"/>
        </w:rPr>
        <w:t xml:space="preserve"> </w:t>
      </w:r>
      <w:proofErr w:type="spellStart"/>
      <w:r w:rsidRPr="008C3392">
        <w:rPr>
          <w:rFonts w:ascii="Arial" w:hAnsi="Arial" w:cs="Arial"/>
          <w:lang w:val="mk-MK"/>
        </w:rPr>
        <w:t>changes</w:t>
      </w:r>
      <w:proofErr w:type="spellEnd"/>
      <w:r w:rsidRPr="008C3392">
        <w:rPr>
          <w:rFonts w:ascii="Arial" w:hAnsi="Arial" w:cs="Arial"/>
          <w:lang w:val="mk-MK"/>
        </w:rPr>
        <w:t xml:space="preserve"> </w:t>
      </w:r>
      <w:proofErr w:type="spellStart"/>
      <w:r w:rsidRPr="008C3392">
        <w:rPr>
          <w:rFonts w:ascii="Arial" w:hAnsi="Arial" w:cs="Arial"/>
          <w:lang w:val="mk-MK"/>
        </w:rPr>
        <w:t>in</w:t>
      </w:r>
      <w:proofErr w:type="spellEnd"/>
      <w:r w:rsidRPr="008C3392">
        <w:rPr>
          <w:rFonts w:ascii="Arial" w:hAnsi="Arial" w:cs="Arial"/>
          <w:lang w:val="mk-MK"/>
        </w:rPr>
        <w:t xml:space="preserve"> </w:t>
      </w:r>
      <w:proofErr w:type="spellStart"/>
      <w:r w:rsidRPr="008C3392">
        <w:rPr>
          <w:rFonts w:ascii="Arial" w:hAnsi="Arial" w:cs="Arial"/>
          <w:lang w:val="mk-MK"/>
        </w:rPr>
        <w:t>the</w:t>
      </w:r>
      <w:proofErr w:type="spellEnd"/>
      <w:r w:rsidRPr="008C3392">
        <w:rPr>
          <w:rFonts w:ascii="Arial" w:hAnsi="Arial" w:cs="Arial"/>
          <w:lang w:val="mk-MK"/>
        </w:rPr>
        <w:t xml:space="preserve"> </w:t>
      </w:r>
      <w:proofErr w:type="spellStart"/>
      <w:r w:rsidRPr="008C3392">
        <w:rPr>
          <w:rFonts w:ascii="Arial" w:hAnsi="Arial" w:cs="Arial"/>
          <w:lang w:val="mk-MK"/>
        </w:rPr>
        <w:t>fair</w:t>
      </w:r>
      <w:proofErr w:type="spellEnd"/>
      <w:r w:rsidRPr="008C3392">
        <w:rPr>
          <w:rFonts w:ascii="Arial" w:hAnsi="Arial" w:cs="Arial"/>
          <w:lang w:val="mk-MK"/>
        </w:rPr>
        <w:t xml:space="preserve"> </w:t>
      </w:r>
      <w:proofErr w:type="spellStart"/>
      <w:r w:rsidRPr="008C3392">
        <w:rPr>
          <w:rFonts w:ascii="Arial" w:hAnsi="Arial" w:cs="Arial"/>
          <w:lang w:val="mk-MK"/>
        </w:rPr>
        <w:t>value</w:t>
      </w:r>
      <w:proofErr w:type="spellEnd"/>
      <w:r w:rsidRPr="008C3392">
        <w:rPr>
          <w:rFonts w:ascii="Arial" w:hAnsi="Arial" w:cs="Arial"/>
          <w:lang w:val="mk-MK"/>
        </w:rPr>
        <w:t xml:space="preserve"> </w:t>
      </w:r>
      <w:proofErr w:type="spellStart"/>
      <w:r w:rsidRPr="008C3392">
        <w:rPr>
          <w:rFonts w:ascii="Arial" w:hAnsi="Arial" w:cs="Arial"/>
          <w:lang w:val="mk-MK"/>
        </w:rPr>
        <w:t>of</w:t>
      </w:r>
      <w:proofErr w:type="spellEnd"/>
      <w:r w:rsidRPr="008C3392">
        <w:rPr>
          <w:rFonts w:ascii="Arial" w:hAnsi="Arial" w:cs="Arial"/>
          <w:lang w:val="mk-MK"/>
        </w:rPr>
        <w:t xml:space="preserve"> </w:t>
      </w:r>
      <w:proofErr w:type="spellStart"/>
      <w:r w:rsidRPr="008C3392">
        <w:rPr>
          <w:rFonts w:ascii="Arial" w:hAnsi="Arial" w:cs="Arial"/>
          <w:lang w:val="mk-MK"/>
        </w:rPr>
        <w:t>financial</w:t>
      </w:r>
      <w:proofErr w:type="spellEnd"/>
      <w:r w:rsidRPr="008C3392">
        <w:rPr>
          <w:rFonts w:ascii="Arial" w:hAnsi="Arial" w:cs="Arial"/>
          <w:lang w:val="mk-MK"/>
        </w:rPr>
        <w:t xml:space="preserve"> </w:t>
      </w:r>
      <w:proofErr w:type="spellStart"/>
      <w:r w:rsidRPr="008C3392">
        <w:rPr>
          <w:rFonts w:ascii="Arial" w:hAnsi="Arial" w:cs="Arial"/>
          <w:lang w:val="mk-MK"/>
        </w:rPr>
        <w:t>assets</w:t>
      </w:r>
      <w:proofErr w:type="spellEnd"/>
      <w:r w:rsidRPr="008C3392">
        <w:rPr>
          <w:rFonts w:ascii="Arial" w:hAnsi="Arial" w:cs="Arial"/>
          <w:lang w:val="mk-MK"/>
        </w:rPr>
        <w:t xml:space="preserve"> </w:t>
      </w:r>
      <w:proofErr w:type="spellStart"/>
      <w:r w:rsidRPr="008C3392">
        <w:rPr>
          <w:rFonts w:ascii="Arial" w:hAnsi="Arial" w:cs="Arial"/>
          <w:lang w:val="mk-MK"/>
        </w:rPr>
        <w:t>at</w:t>
      </w:r>
      <w:proofErr w:type="spellEnd"/>
      <w:r w:rsidRPr="008C3392">
        <w:rPr>
          <w:rFonts w:ascii="Arial" w:hAnsi="Arial" w:cs="Arial"/>
          <w:lang w:val="mk-MK"/>
        </w:rPr>
        <w:t xml:space="preserve"> </w:t>
      </w:r>
      <w:proofErr w:type="spellStart"/>
      <w:r w:rsidRPr="008C3392">
        <w:rPr>
          <w:rFonts w:ascii="Arial" w:hAnsi="Arial" w:cs="Arial"/>
          <w:lang w:val="mk-MK"/>
        </w:rPr>
        <w:t>fair</w:t>
      </w:r>
      <w:proofErr w:type="spellEnd"/>
      <w:r w:rsidRPr="008C3392">
        <w:rPr>
          <w:rFonts w:ascii="Arial" w:hAnsi="Arial" w:cs="Arial"/>
          <w:lang w:val="mk-MK"/>
        </w:rPr>
        <w:t xml:space="preserve"> </w:t>
      </w:r>
      <w:proofErr w:type="spellStart"/>
      <w:r w:rsidRPr="008C3392">
        <w:rPr>
          <w:rFonts w:ascii="Arial" w:hAnsi="Arial" w:cs="Arial"/>
          <w:lang w:val="mk-MK"/>
        </w:rPr>
        <w:t>value</w:t>
      </w:r>
      <w:proofErr w:type="spellEnd"/>
      <w:r w:rsidRPr="008C3392">
        <w:rPr>
          <w:rFonts w:ascii="Arial" w:hAnsi="Arial" w:cs="Arial"/>
          <w:lang w:val="mk-MK"/>
        </w:rPr>
        <w:t xml:space="preserve"> </w:t>
      </w:r>
      <w:proofErr w:type="spellStart"/>
      <w:r w:rsidRPr="008C3392">
        <w:rPr>
          <w:rFonts w:ascii="Arial" w:hAnsi="Arial" w:cs="Arial"/>
          <w:lang w:val="mk-MK"/>
        </w:rPr>
        <w:t>through</w:t>
      </w:r>
      <w:proofErr w:type="spellEnd"/>
      <w:r w:rsidRPr="008C3392">
        <w:rPr>
          <w:rFonts w:ascii="Arial" w:hAnsi="Arial" w:cs="Arial"/>
          <w:lang w:val="mk-MK"/>
        </w:rPr>
        <w:t xml:space="preserve"> </w:t>
      </w:r>
      <w:proofErr w:type="spellStart"/>
      <w:r w:rsidRPr="008C3392">
        <w:rPr>
          <w:rFonts w:ascii="Arial" w:hAnsi="Arial" w:cs="Arial"/>
          <w:lang w:val="mk-MK"/>
        </w:rPr>
        <w:t>profit</w:t>
      </w:r>
      <w:proofErr w:type="spellEnd"/>
      <w:r w:rsidRPr="008C3392">
        <w:rPr>
          <w:rFonts w:ascii="Arial" w:hAnsi="Arial" w:cs="Arial"/>
          <w:lang w:val="mk-MK"/>
        </w:rPr>
        <w:t xml:space="preserve"> </w:t>
      </w:r>
      <w:proofErr w:type="spellStart"/>
      <w:r w:rsidRPr="008C3392">
        <w:rPr>
          <w:rFonts w:ascii="Arial" w:hAnsi="Arial" w:cs="Arial"/>
          <w:lang w:val="mk-MK"/>
        </w:rPr>
        <w:t>or</w:t>
      </w:r>
      <w:proofErr w:type="spellEnd"/>
      <w:r w:rsidRPr="008C3392">
        <w:rPr>
          <w:rFonts w:ascii="Arial" w:hAnsi="Arial" w:cs="Arial"/>
          <w:lang w:val="mk-MK"/>
        </w:rPr>
        <w:t xml:space="preserve"> </w:t>
      </w:r>
      <w:proofErr w:type="spellStart"/>
      <w:r w:rsidRPr="008C3392">
        <w:rPr>
          <w:rFonts w:ascii="Arial" w:hAnsi="Arial" w:cs="Arial"/>
          <w:lang w:val="mk-MK"/>
        </w:rPr>
        <w:t>loss</w:t>
      </w:r>
      <w:proofErr w:type="spellEnd"/>
      <w:r w:rsidRPr="008C3392">
        <w:rPr>
          <w:rFonts w:ascii="Arial" w:hAnsi="Arial" w:cs="Arial"/>
          <w:lang w:val="mk-MK"/>
        </w:rPr>
        <w:t xml:space="preserve">, </w:t>
      </w:r>
      <w:proofErr w:type="spellStart"/>
      <w:r w:rsidRPr="008C3392">
        <w:rPr>
          <w:rFonts w:ascii="Arial" w:hAnsi="Arial" w:cs="Arial"/>
          <w:lang w:val="mk-MK"/>
        </w:rPr>
        <w:t>are</w:t>
      </w:r>
      <w:proofErr w:type="spellEnd"/>
      <w:r w:rsidRPr="008C3392">
        <w:rPr>
          <w:rFonts w:ascii="Arial" w:hAnsi="Arial" w:cs="Arial"/>
          <w:lang w:val="mk-MK"/>
        </w:rPr>
        <w:t xml:space="preserve"> </w:t>
      </w:r>
      <w:proofErr w:type="spellStart"/>
      <w:r w:rsidRPr="008C3392">
        <w:rPr>
          <w:rFonts w:ascii="Arial" w:hAnsi="Arial" w:cs="Arial"/>
          <w:lang w:val="mk-MK"/>
        </w:rPr>
        <w:t>included</w:t>
      </w:r>
      <w:proofErr w:type="spellEnd"/>
      <w:r w:rsidRPr="008C3392">
        <w:rPr>
          <w:rFonts w:ascii="Arial" w:hAnsi="Arial" w:cs="Arial"/>
          <w:lang w:val="mk-MK"/>
        </w:rPr>
        <w:t xml:space="preserve"> </w:t>
      </w:r>
      <w:proofErr w:type="spellStart"/>
      <w:r w:rsidRPr="008C3392">
        <w:rPr>
          <w:rFonts w:ascii="Arial" w:hAnsi="Arial" w:cs="Arial"/>
          <w:lang w:val="mk-MK"/>
        </w:rPr>
        <w:t>in</w:t>
      </w:r>
      <w:proofErr w:type="spellEnd"/>
      <w:r w:rsidRPr="008C3392">
        <w:rPr>
          <w:rFonts w:ascii="Arial" w:hAnsi="Arial" w:cs="Arial"/>
          <w:lang w:val="mk-MK"/>
        </w:rPr>
        <w:t xml:space="preserve"> </w:t>
      </w:r>
      <w:proofErr w:type="spellStart"/>
      <w:r w:rsidRPr="008C3392">
        <w:rPr>
          <w:rFonts w:ascii="Arial" w:hAnsi="Arial" w:cs="Arial"/>
          <w:lang w:val="mk-MK"/>
        </w:rPr>
        <w:t>the</w:t>
      </w:r>
      <w:proofErr w:type="spellEnd"/>
      <w:r w:rsidRPr="008C3392">
        <w:rPr>
          <w:rFonts w:ascii="Arial" w:hAnsi="Arial" w:cs="Arial"/>
          <w:lang w:val="mk-MK"/>
        </w:rPr>
        <w:t xml:space="preserve"> </w:t>
      </w:r>
      <w:proofErr w:type="spellStart"/>
      <w:r w:rsidRPr="008C3392">
        <w:rPr>
          <w:rFonts w:ascii="Arial" w:hAnsi="Arial" w:cs="Arial"/>
          <w:lang w:val="mk-MK"/>
        </w:rPr>
        <w:t>profit</w:t>
      </w:r>
      <w:proofErr w:type="spellEnd"/>
      <w:r w:rsidRPr="008C3392">
        <w:rPr>
          <w:rFonts w:ascii="Arial" w:hAnsi="Arial" w:cs="Arial"/>
          <w:lang w:val="mk-MK"/>
        </w:rPr>
        <w:t xml:space="preserve"> </w:t>
      </w:r>
      <w:proofErr w:type="spellStart"/>
      <w:r w:rsidRPr="008C3392">
        <w:rPr>
          <w:rFonts w:ascii="Arial" w:hAnsi="Arial" w:cs="Arial"/>
          <w:lang w:val="mk-MK"/>
        </w:rPr>
        <w:t>or</w:t>
      </w:r>
      <w:proofErr w:type="spellEnd"/>
      <w:r w:rsidRPr="008C3392">
        <w:rPr>
          <w:rFonts w:ascii="Arial" w:hAnsi="Arial" w:cs="Arial"/>
          <w:lang w:val="mk-MK"/>
        </w:rPr>
        <w:t xml:space="preserve"> </w:t>
      </w:r>
      <w:proofErr w:type="spellStart"/>
      <w:r w:rsidRPr="008C3392">
        <w:rPr>
          <w:rFonts w:ascii="Arial" w:hAnsi="Arial" w:cs="Arial"/>
          <w:lang w:val="mk-MK"/>
        </w:rPr>
        <w:t>loss</w:t>
      </w:r>
      <w:proofErr w:type="spellEnd"/>
      <w:r w:rsidRPr="008C3392">
        <w:rPr>
          <w:rFonts w:ascii="Arial" w:hAnsi="Arial" w:cs="Arial"/>
          <w:lang w:val="mk-MK"/>
        </w:rPr>
        <w:t xml:space="preserve"> </w:t>
      </w:r>
      <w:proofErr w:type="spellStart"/>
      <w:r w:rsidRPr="008C3392">
        <w:rPr>
          <w:rFonts w:ascii="Arial" w:hAnsi="Arial" w:cs="Arial"/>
          <w:lang w:val="mk-MK"/>
        </w:rPr>
        <w:t>in</w:t>
      </w:r>
      <w:proofErr w:type="spellEnd"/>
      <w:r w:rsidRPr="008C3392">
        <w:rPr>
          <w:rFonts w:ascii="Arial" w:hAnsi="Arial" w:cs="Arial"/>
          <w:lang w:val="mk-MK"/>
        </w:rPr>
        <w:t xml:space="preserve"> </w:t>
      </w:r>
      <w:proofErr w:type="spellStart"/>
      <w:r w:rsidRPr="008C3392">
        <w:rPr>
          <w:rFonts w:ascii="Arial" w:hAnsi="Arial" w:cs="Arial"/>
          <w:lang w:val="mk-MK"/>
        </w:rPr>
        <w:t>the</w:t>
      </w:r>
      <w:proofErr w:type="spellEnd"/>
      <w:r w:rsidRPr="008C3392">
        <w:rPr>
          <w:rFonts w:ascii="Arial" w:hAnsi="Arial" w:cs="Arial"/>
          <w:lang w:val="mk-MK"/>
        </w:rPr>
        <w:t xml:space="preserve"> </w:t>
      </w:r>
      <w:proofErr w:type="spellStart"/>
      <w:r w:rsidRPr="008C3392">
        <w:rPr>
          <w:rFonts w:ascii="Arial" w:hAnsi="Arial" w:cs="Arial"/>
          <w:lang w:val="mk-MK"/>
        </w:rPr>
        <w:t>period</w:t>
      </w:r>
      <w:proofErr w:type="spellEnd"/>
      <w:r w:rsidRPr="008C3392">
        <w:rPr>
          <w:rFonts w:ascii="Arial" w:hAnsi="Arial" w:cs="Arial"/>
          <w:lang w:val="mk-MK"/>
        </w:rPr>
        <w:t xml:space="preserve"> </w:t>
      </w:r>
      <w:proofErr w:type="spellStart"/>
      <w:r w:rsidRPr="008C3392">
        <w:rPr>
          <w:rFonts w:ascii="Arial" w:hAnsi="Arial" w:cs="Arial"/>
          <w:lang w:val="mk-MK"/>
        </w:rPr>
        <w:t>in</w:t>
      </w:r>
      <w:proofErr w:type="spellEnd"/>
      <w:r w:rsidRPr="008C3392">
        <w:rPr>
          <w:rFonts w:ascii="Arial" w:hAnsi="Arial" w:cs="Arial"/>
          <w:lang w:val="mk-MK"/>
        </w:rPr>
        <w:t xml:space="preserve"> </w:t>
      </w:r>
      <w:proofErr w:type="spellStart"/>
      <w:r w:rsidRPr="008C3392">
        <w:rPr>
          <w:rFonts w:ascii="Arial" w:hAnsi="Arial" w:cs="Arial"/>
          <w:lang w:val="mk-MK"/>
        </w:rPr>
        <w:t>which</w:t>
      </w:r>
      <w:proofErr w:type="spellEnd"/>
      <w:r w:rsidRPr="008C3392">
        <w:rPr>
          <w:rFonts w:ascii="Arial" w:hAnsi="Arial" w:cs="Arial"/>
          <w:lang w:val="mk-MK"/>
        </w:rPr>
        <w:t xml:space="preserve"> </w:t>
      </w:r>
      <w:proofErr w:type="spellStart"/>
      <w:r w:rsidRPr="008C3392">
        <w:rPr>
          <w:rFonts w:ascii="Arial" w:hAnsi="Arial" w:cs="Arial"/>
          <w:lang w:val="mk-MK"/>
        </w:rPr>
        <w:t>they</w:t>
      </w:r>
      <w:proofErr w:type="spellEnd"/>
      <w:r w:rsidRPr="008C3392">
        <w:rPr>
          <w:rFonts w:ascii="Arial" w:hAnsi="Arial" w:cs="Arial"/>
          <w:lang w:val="mk-MK"/>
        </w:rPr>
        <w:t xml:space="preserve"> </w:t>
      </w:r>
      <w:proofErr w:type="spellStart"/>
      <w:r w:rsidRPr="008C3392">
        <w:rPr>
          <w:rFonts w:ascii="Arial" w:hAnsi="Arial" w:cs="Arial"/>
          <w:lang w:val="mk-MK"/>
        </w:rPr>
        <w:t>arise</w:t>
      </w:r>
      <w:proofErr w:type="spellEnd"/>
      <w:r w:rsidRPr="008C3392">
        <w:rPr>
          <w:rFonts w:ascii="Arial" w:hAnsi="Arial" w:cs="Arial"/>
          <w:lang w:val="mk-MK"/>
        </w:rPr>
        <w:t>.</w:t>
      </w:r>
    </w:p>
    <w:p w14:paraId="5B2F05C0" w14:textId="50EDF746" w:rsidR="00815E65" w:rsidRPr="00CE3053" w:rsidRDefault="000B3DE5" w:rsidP="00815E65">
      <w:pPr>
        <w:pStyle w:val="BodyText"/>
        <w:jc w:val="both"/>
        <w:rPr>
          <w:rFonts w:ascii="Arial" w:hAnsi="Arial" w:cs="Arial"/>
          <w:lang w:val="mk-MK"/>
        </w:rPr>
      </w:pPr>
      <w:proofErr w:type="spellStart"/>
      <w:r w:rsidRPr="000B3DE5">
        <w:rPr>
          <w:rFonts w:ascii="Arial" w:hAnsi="Arial" w:cs="Arial"/>
          <w:lang w:val="mk-MK"/>
        </w:rPr>
        <w:t>Net</w:t>
      </w:r>
      <w:proofErr w:type="spellEnd"/>
      <w:r w:rsidRPr="000B3DE5">
        <w:rPr>
          <w:rFonts w:ascii="Arial" w:hAnsi="Arial" w:cs="Arial"/>
          <w:lang w:val="mk-MK"/>
        </w:rPr>
        <w:t xml:space="preserve"> </w:t>
      </w:r>
      <w:proofErr w:type="spellStart"/>
      <w:r w:rsidRPr="000B3DE5">
        <w:rPr>
          <w:rFonts w:ascii="Arial" w:hAnsi="Arial" w:cs="Arial"/>
          <w:lang w:val="mk-MK"/>
        </w:rPr>
        <w:t>changes</w:t>
      </w:r>
      <w:proofErr w:type="spellEnd"/>
      <w:r w:rsidRPr="000B3DE5">
        <w:rPr>
          <w:rFonts w:ascii="Arial" w:hAnsi="Arial" w:cs="Arial"/>
          <w:lang w:val="mk-MK"/>
        </w:rPr>
        <w:t xml:space="preserve"> </w:t>
      </w:r>
      <w:proofErr w:type="spellStart"/>
      <w:r w:rsidRPr="000B3DE5">
        <w:rPr>
          <w:rFonts w:ascii="Arial" w:hAnsi="Arial" w:cs="Arial"/>
          <w:lang w:val="mk-MK"/>
        </w:rPr>
        <w:t>in</w:t>
      </w:r>
      <w:proofErr w:type="spellEnd"/>
      <w:r w:rsidRPr="000B3DE5">
        <w:rPr>
          <w:rFonts w:ascii="Arial" w:hAnsi="Arial" w:cs="Arial"/>
          <w:lang w:val="mk-MK"/>
        </w:rPr>
        <w:t xml:space="preserve"> </w:t>
      </w:r>
      <w:proofErr w:type="spellStart"/>
      <w:r w:rsidRPr="000B3DE5">
        <w:rPr>
          <w:rFonts w:ascii="Arial" w:hAnsi="Arial" w:cs="Arial"/>
          <w:lang w:val="mk-MK"/>
        </w:rPr>
        <w:t>the</w:t>
      </w:r>
      <w:proofErr w:type="spellEnd"/>
      <w:r w:rsidRPr="000B3DE5">
        <w:rPr>
          <w:rFonts w:ascii="Arial" w:hAnsi="Arial" w:cs="Arial"/>
          <w:lang w:val="mk-MK"/>
        </w:rPr>
        <w:t xml:space="preserve"> </w:t>
      </w:r>
      <w:proofErr w:type="spellStart"/>
      <w:r w:rsidRPr="000B3DE5">
        <w:rPr>
          <w:rFonts w:ascii="Arial" w:hAnsi="Arial" w:cs="Arial"/>
          <w:lang w:val="mk-MK"/>
        </w:rPr>
        <w:t>fair</w:t>
      </w:r>
      <w:proofErr w:type="spellEnd"/>
      <w:r w:rsidRPr="000B3DE5">
        <w:rPr>
          <w:rFonts w:ascii="Arial" w:hAnsi="Arial" w:cs="Arial"/>
          <w:lang w:val="mk-MK"/>
        </w:rPr>
        <w:t xml:space="preserve"> </w:t>
      </w:r>
      <w:proofErr w:type="spellStart"/>
      <w:r w:rsidRPr="000B3DE5">
        <w:rPr>
          <w:rFonts w:ascii="Arial" w:hAnsi="Arial" w:cs="Arial"/>
          <w:lang w:val="mk-MK"/>
        </w:rPr>
        <w:t>value</w:t>
      </w:r>
      <w:proofErr w:type="spellEnd"/>
      <w:r w:rsidRPr="000B3DE5">
        <w:rPr>
          <w:rFonts w:ascii="Arial" w:hAnsi="Arial" w:cs="Arial"/>
          <w:lang w:val="mk-MK"/>
        </w:rPr>
        <w:t xml:space="preserve"> </w:t>
      </w:r>
      <w:proofErr w:type="spellStart"/>
      <w:r w:rsidRPr="000B3DE5">
        <w:rPr>
          <w:rFonts w:ascii="Arial" w:hAnsi="Arial" w:cs="Arial"/>
          <w:lang w:val="mk-MK"/>
        </w:rPr>
        <w:t>of</w:t>
      </w:r>
      <w:proofErr w:type="spellEnd"/>
      <w:r w:rsidRPr="000B3DE5">
        <w:rPr>
          <w:rFonts w:ascii="Arial" w:hAnsi="Arial" w:cs="Arial"/>
          <w:lang w:val="mk-MK"/>
        </w:rPr>
        <w:t xml:space="preserve"> </w:t>
      </w:r>
      <w:proofErr w:type="spellStart"/>
      <w:r w:rsidRPr="000B3DE5">
        <w:rPr>
          <w:rFonts w:ascii="Arial" w:hAnsi="Arial" w:cs="Arial"/>
          <w:lang w:val="mk-MK"/>
        </w:rPr>
        <w:t>financial</w:t>
      </w:r>
      <w:proofErr w:type="spellEnd"/>
      <w:r w:rsidRPr="000B3DE5">
        <w:rPr>
          <w:rFonts w:ascii="Arial" w:hAnsi="Arial" w:cs="Arial"/>
          <w:lang w:val="mk-MK"/>
        </w:rPr>
        <w:t xml:space="preserve"> </w:t>
      </w:r>
      <w:proofErr w:type="spellStart"/>
      <w:r w:rsidRPr="000B3DE5">
        <w:rPr>
          <w:rFonts w:ascii="Arial" w:hAnsi="Arial" w:cs="Arial"/>
          <w:lang w:val="mk-MK"/>
        </w:rPr>
        <w:t>assets</w:t>
      </w:r>
      <w:proofErr w:type="spellEnd"/>
      <w:r w:rsidRPr="000B3DE5">
        <w:rPr>
          <w:rFonts w:ascii="Arial" w:hAnsi="Arial" w:cs="Arial"/>
          <w:lang w:val="mk-MK"/>
        </w:rPr>
        <w:t xml:space="preserve"> </w:t>
      </w:r>
      <w:proofErr w:type="spellStart"/>
      <w:r w:rsidRPr="000B3DE5">
        <w:rPr>
          <w:rFonts w:ascii="Arial" w:hAnsi="Arial" w:cs="Arial"/>
          <w:lang w:val="mk-MK"/>
        </w:rPr>
        <w:t>classified</w:t>
      </w:r>
      <w:proofErr w:type="spellEnd"/>
      <w:r w:rsidRPr="000B3DE5">
        <w:rPr>
          <w:rFonts w:ascii="Arial" w:hAnsi="Arial" w:cs="Arial"/>
          <w:lang w:val="mk-MK"/>
        </w:rPr>
        <w:t xml:space="preserve"> </w:t>
      </w:r>
      <w:proofErr w:type="spellStart"/>
      <w:r w:rsidRPr="000B3DE5">
        <w:rPr>
          <w:rFonts w:ascii="Arial" w:hAnsi="Arial" w:cs="Arial"/>
          <w:lang w:val="mk-MK"/>
        </w:rPr>
        <w:t>as</w:t>
      </w:r>
      <w:proofErr w:type="spellEnd"/>
      <w:r w:rsidRPr="000B3DE5">
        <w:rPr>
          <w:rFonts w:ascii="Arial" w:hAnsi="Arial" w:cs="Arial"/>
          <w:lang w:val="mk-MK"/>
        </w:rPr>
        <w:t xml:space="preserve"> </w:t>
      </w:r>
      <w:proofErr w:type="spellStart"/>
      <w:r w:rsidRPr="000B3DE5">
        <w:rPr>
          <w:rFonts w:ascii="Arial" w:hAnsi="Arial" w:cs="Arial"/>
          <w:lang w:val="mk-MK"/>
        </w:rPr>
        <w:t>of</w:t>
      </w:r>
      <w:proofErr w:type="spellEnd"/>
      <w:r w:rsidRPr="000B3DE5">
        <w:rPr>
          <w:rFonts w:ascii="Arial" w:hAnsi="Arial" w:cs="Arial"/>
          <w:lang w:val="mk-MK"/>
        </w:rPr>
        <w:t xml:space="preserve"> </w:t>
      </w:r>
      <w:proofErr w:type="spellStart"/>
      <w:r w:rsidRPr="000B3DE5">
        <w:rPr>
          <w:rFonts w:ascii="Arial" w:hAnsi="Arial" w:cs="Arial"/>
          <w:lang w:val="mk-MK"/>
        </w:rPr>
        <w:t>fair</w:t>
      </w:r>
      <w:proofErr w:type="spellEnd"/>
      <w:r w:rsidRPr="000B3DE5">
        <w:rPr>
          <w:rFonts w:ascii="Arial" w:hAnsi="Arial" w:cs="Arial"/>
          <w:lang w:val="mk-MK"/>
        </w:rPr>
        <w:t xml:space="preserve"> </w:t>
      </w:r>
      <w:proofErr w:type="spellStart"/>
      <w:r w:rsidRPr="000B3DE5">
        <w:rPr>
          <w:rFonts w:ascii="Arial" w:hAnsi="Arial" w:cs="Arial"/>
          <w:lang w:val="mk-MK"/>
        </w:rPr>
        <w:t>value</w:t>
      </w:r>
      <w:proofErr w:type="spellEnd"/>
      <w:r w:rsidRPr="000B3DE5">
        <w:rPr>
          <w:rFonts w:ascii="Arial" w:hAnsi="Arial" w:cs="Arial"/>
          <w:lang w:val="mk-MK"/>
        </w:rPr>
        <w:t xml:space="preserve"> </w:t>
      </w:r>
      <w:proofErr w:type="spellStart"/>
      <w:r w:rsidRPr="000B3DE5">
        <w:rPr>
          <w:rFonts w:ascii="Arial" w:hAnsi="Arial" w:cs="Arial"/>
          <w:lang w:val="mk-MK"/>
        </w:rPr>
        <w:t>through</w:t>
      </w:r>
      <w:proofErr w:type="spellEnd"/>
      <w:r w:rsidRPr="000B3DE5">
        <w:rPr>
          <w:rFonts w:ascii="Arial" w:hAnsi="Arial" w:cs="Arial"/>
          <w:lang w:val="mk-MK"/>
        </w:rPr>
        <w:t xml:space="preserve"> </w:t>
      </w:r>
      <w:proofErr w:type="spellStart"/>
      <w:r w:rsidRPr="000B3DE5">
        <w:rPr>
          <w:rFonts w:ascii="Arial" w:hAnsi="Arial" w:cs="Arial"/>
          <w:lang w:val="mk-MK"/>
        </w:rPr>
        <w:t>profit</w:t>
      </w:r>
      <w:proofErr w:type="spellEnd"/>
      <w:r w:rsidRPr="000B3DE5">
        <w:rPr>
          <w:rFonts w:ascii="Arial" w:hAnsi="Arial" w:cs="Arial"/>
          <w:lang w:val="mk-MK"/>
        </w:rPr>
        <w:t xml:space="preserve"> </w:t>
      </w:r>
      <w:proofErr w:type="spellStart"/>
      <w:r w:rsidRPr="000B3DE5">
        <w:rPr>
          <w:rFonts w:ascii="Arial" w:hAnsi="Arial" w:cs="Arial"/>
          <w:lang w:val="mk-MK"/>
        </w:rPr>
        <w:t>and</w:t>
      </w:r>
      <w:proofErr w:type="spellEnd"/>
      <w:r w:rsidRPr="000B3DE5">
        <w:rPr>
          <w:rFonts w:ascii="Arial" w:hAnsi="Arial" w:cs="Arial"/>
          <w:lang w:val="mk-MK"/>
        </w:rPr>
        <w:t xml:space="preserve"> </w:t>
      </w:r>
      <w:proofErr w:type="spellStart"/>
      <w:r w:rsidRPr="000B3DE5">
        <w:rPr>
          <w:rFonts w:ascii="Arial" w:hAnsi="Arial" w:cs="Arial"/>
          <w:lang w:val="mk-MK"/>
        </w:rPr>
        <w:t>loss</w:t>
      </w:r>
      <w:proofErr w:type="spellEnd"/>
      <w:r w:rsidRPr="000B3DE5">
        <w:rPr>
          <w:rFonts w:ascii="Arial" w:hAnsi="Arial" w:cs="Arial"/>
          <w:lang w:val="mk-MK"/>
        </w:rPr>
        <w:t xml:space="preserve"> </w:t>
      </w:r>
      <w:proofErr w:type="spellStart"/>
      <w:r w:rsidRPr="000B3DE5">
        <w:rPr>
          <w:rFonts w:ascii="Arial" w:hAnsi="Arial" w:cs="Arial"/>
          <w:lang w:val="mk-MK"/>
        </w:rPr>
        <w:t>include</w:t>
      </w:r>
      <w:proofErr w:type="spellEnd"/>
      <w:r w:rsidRPr="000B3DE5">
        <w:rPr>
          <w:rFonts w:ascii="Arial" w:hAnsi="Arial" w:cs="Arial"/>
          <w:lang w:val="mk-MK"/>
        </w:rPr>
        <w:t xml:space="preserve"> </w:t>
      </w:r>
      <w:proofErr w:type="spellStart"/>
      <w:r w:rsidRPr="000B3DE5">
        <w:rPr>
          <w:rFonts w:ascii="Arial" w:hAnsi="Arial" w:cs="Arial"/>
          <w:lang w:val="mk-MK"/>
        </w:rPr>
        <w:t>interest</w:t>
      </w:r>
      <w:proofErr w:type="spellEnd"/>
      <w:r w:rsidRPr="000B3DE5">
        <w:rPr>
          <w:rFonts w:ascii="Arial" w:hAnsi="Arial" w:cs="Arial"/>
          <w:lang w:val="mk-MK"/>
        </w:rPr>
        <w:t xml:space="preserve"> </w:t>
      </w:r>
      <w:proofErr w:type="spellStart"/>
      <w:r w:rsidRPr="000B3DE5">
        <w:rPr>
          <w:rFonts w:ascii="Arial" w:hAnsi="Arial" w:cs="Arial"/>
          <w:lang w:val="mk-MK"/>
        </w:rPr>
        <w:t>income</w:t>
      </w:r>
      <w:proofErr w:type="spellEnd"/>
      <w:r w:rsidRPr="000B3DE5">
        <w:rPr>
          <w:rFonts w:ascii="Arial" w:hAnsi="Arial" w:cs="Arial"/>
          <w:lang w:val="mk-MK"/>
        </w:rPr>
        <w:t>.</w:t>
      </w:r>
    </w:p>
    <w:p w14:paraId="35FC6B6C" w14:textId="08127923" w:rsidR="00815E65" w:rsidRDefault="000B3DE5" w:rsidP="00815E65">
      <w:pPr>
        <w:pStyle w:val="BodyText"/>
        <w:jc w:val="both"/>
        <w:rPr>
          <w:rFonts w:ascii="Arial" w:hAnsi="Arial" w:cs="Arial"/>
          <w:lang w:val="mk-MK"/>
        </w:rPr>
      </w:pPr>
      <w:proofErr w:type="spellStart"/>
      <w:r w:rsidRPr="000B3DE5">
        <w:rPr>
          <w:rFonts w:ascii="Arial" w:hAnsi="Arial" w:cs="Arial"/>
          <w:lang w:val="mk-MK"/>
        </w:rPr>
        <w:t>Unrealised</w:t>
      </w:r>
      <w:proofErr w:type="spellEnd"/>
      <w:r w:rsidRPr="000B3DE5">
        <w:rPr>
          <w:rFonts w:ascii="Arial" w:hAnsi="Arial" w:cs="Arial"/>
          <w:lang w:val="mk-MK"/>
        </w:rPr>
        <w:t xml:space="preserve"> </w:t>
      </w:r>
      <w:proofErr w:type="spellStart"/>
      <w:r w:rsidRPr="000B3DE5">
        <w:rPr>
          <w:rFonts w:ascii="Arial" w:hAnsi="Arial" w:cs="Arial"/>
          <w:lang w:val="mk-MK"/>
        </w:rPr>
        <w:t>gains</w:t>
      </w:r>
      <w:proofErr w:type="spellEnd"/>
      <w:r w:rsidRPr="000B3DE5">
        <w:rPr>
          <w:rFonts w:ascii="Arial" w:hAnsi="Arial" w:cs="Arial"/>
          <w:lang w:val="mk-MK"/>
        </w:rPr>
        <w:t xml:space="preserve"> </w:t>
      </w:r>
      <w:proofErr w:type="spellStart"/>
      <w:r w:rsidRPr="000B3DE5">
        <w:rPr>
          <w:rFonts w:ascii="Arial" w:hAnsi="Arial" w:cs="Arial"/>
          <w:lang w:val="mk-MK"/>
        </w:rPr>
        <w:t>and</w:t>
      </w:r>
      <w:proofErr w:type="spellEnd"/>
      <w:r w:rsidRPr="000B3DE5">
        <w:rPr>
          <w:rFonts w:ascii="Arial" w:hAnsi="Arial" w:cs="Arial"/>
          <w:lang w:val="mk-MK"/>
        </w:rPr>
        <w:t xml:space="preserve"> </w:t>
      </w:r>
      <w:proofErr w:type="spellStart"/>
      <w:r w:rsidRPr="000B3DE5">
        <w:rPr>
          <w:rFonts w:ascii="Arial" w:hAnsi="Arial" w:cs="Arial"/>
          <w:lang w:val="mk-MK"/>
        </w:rPr>
        <w:t>losses</w:t>
      </w:r>
      <w:proofErr w:type="spellEnd"/>
      <w:r w:rsidRPr="000B3DE5">
        <w:rPr>
          <w:rFonts w:ascii="Arial" w:hAnsi="Arial" w:cs="Arial"/>
          <w:lang w:val="mk-MK"/>
        </w:rPr>
        <w:t xml:space="preserve"> </w:t>
      </w:r>
      <w:proofErr w:type="spellStart"/>
      <w:r w:rsidRPr="000B3DE5">
        <w:rPr>
          <w:rFonts w:ascii="Arial" w:hAnsi="Arial" w:cs="Arial"/>
          <w:lang w:val="mk-MK"/>
        </w:rPr>
        <w:t>arising</w:t>
      </w:r>
      <w:proofErr w:type="spellEnd"/>
      <w:r w:rsidRPr="000B3DE5">
        <w:rPr>
          <w:rFonts w:ascii="Arial" w:hAnsi="Arial" w:cs="Arial"/>
          <w:lang w:val="mk-MK"/>
        </w:rPr>
        <w:t xml:space="preserve"> </w:t>
      </w:r>
      <w:proofErr w:type="spellStart"/>
      <w:r w:rsidRPr="000B3DE5">
        <w:rPr>
          <w:rFonts w:ascii="Arial" w:hAnsi="Arial" w:cs="Arial"/>
          <w:lang w:val="mk-MK"/>
        </w:rPr>
        <w:t>from</w:t>
      </w:r>
      <w:proofErr w:type="spellEnd"/>
      <w:r w:rsidRPr="000B3DE5">
        <w:rPr>
          <w:rFonts w:ascii="Arial" w:hAnsi="Arial" w:cs="Arial"/>
          <w:lang w:val="mk-MK"/>
        </w:rPr>
        <w:t xml:space="preserve"> </w:t>
      </w:r>
      <w:proofErr w:type="spellStart"/>
      <w:r w:rsidRPr="000B3DE5">
        <w:rPr>
          <w:rFonts w:ascii="Arial" w:hAnsi="Arial" w:cs="Arial"/>
          <w:lang w:val="mk-MK"/>
        </w:rPr>
        <w:t>changes</w:t>
      </w:r>
      <w:proofErr w:type="spellEnd"/>
      <w:r w:rsidRPr="000B3DE5">
        <w:rPr>
          <w:rFonts w:ascii="Arial" w:hAnsi="Arial" w:cs="Arial"/>
          <w:lang w:val="mk-MK"/>
        </w:rPr>
        <w:t xml:space="preserve"> </w:t>
      </w:r>
      <w:proofErr w:type="spellStart"/>
      <w:r w:rsidRPr="000B3DE5">
        <w:rPr>
          <w:rFonts w:ascii="Arial" w:hAnsi="Arial" w:cs="Arial"/>
          <w:lang w:val="mk-MK"/>
        </w:rPr>
        <w:t>in</w:t>
      </w:r>
      <w:proofErr w:type="spellEnd"/>
      <w:r w:rsidRPr="000B3DE5">
        <w:rPr>
          <w:rFonts w:ascii="Arial" w:hAnsi="Arial" w:cs="Arial"/>
          <w:lang w:val="mk-MK"/>
        </w:rPr>
        <w:t xml:space="preserve"> </w:t>
      </w:r>
      <w:proofErr w:type="spellStart"/>
      <w:r w:rsidRPr="000B3DE5">
        <w:rPr>
          <w:rFonts w:ascii="Arial" w:hAnsi="Arial" w:cs="Arial"/>
          <w:lang w:val="mk-MK"/>
        </w:rPr>
        <w:t>the</w:t>
      </w:r>
      <w:proofErr w:type="spellEnd"/>
      <w:r w:rsidRPr="000B3DE5">
        <w:rPr>
          <w:rFonts w:ascii="Arial" w:hAnsi="Arial" w:cs="Arial"/>
          <w:lang w:val="mk-MK"/>
        </w:rPr>
        <w:t xml:space="preserve"> </w:t>
      </w:r>
      <w:proofErr w:type="spellStart"/>
      <w:r w:rsidRPr="000B3DE5">
        <w:rPr>
          <w:rFonts w:ascii="Arial" w:hAnsi="Arial" w:cs="Arial"/>
          <w:lang w:val="mk-MK"/>
        </w:rPr>
        <w:t>fair</w:t>
      </w:r>
      <w:proofErr w:type="spellEnd"/>
      <w:r w:rsidRPr="000B3DE5">
        <w:rPr>
          <w:rFonts w:ascii="Arial" w:hAnsi="Arial" w:cs="Arial"/>
          <w:lang w:val="mk-MK"/>
        </w:rPr>
        <w:t xml:space="preserve"> </w:t>
      </w:r>
      <w:proofErr w:type="spellStart"/>
      <w:r w:rsidRPr="000B3DE5">
        <w:rPr>
          <w:rFonts w:ascii="Arial" w:hAnsi="Arial" w:cs="Arial"/>
          <w:lang w:val="mk-MK"/>
        </w:rPr>
        <w:t>value</w:t>
      </w:r>
      <w:proofErr w:type="spellEnd"/>
      <w:r w:rsidRPr="000B3DE5">
        <w:rPr>
          <w:rFonts w:ascii="Arial" w:hAnsi="Arial" w:cs="Arial"/>
          <w:lang w:val="mk-MK"/>
        </w:rPr>
        <w:t xml:space="preserve"> </w:t>
      </w:r>
      <w:proofErr w:type="spellStart"/>
      <w:r w:rsidRPr="000B3DE5">
        <w:rPr>
          <w:rFonts w:ascii="Arial" w:hAnsi="Arial" w:cs="Arial"/>
          <w:lang w:val="mk-MK"/>
        </w:rPr>
        <w:t>of</w:t>
      </w:r>
      <w:proofErr w:type="spellEnd"/>
      <w:r w:rsidRPr="000B3DE5">
        <w:rPr>
          <w:rFonts w:ascii="Arial" w:hAnsi="Arial" w:cs="Arial"/>
          <w:lang w:val="mk-MK"/>
        </w:rPr>
        <w:t xml:space="preserve"> </w:t>
      </w:r>
      <w:proofErr w:type="spellStart"/>
      <w:r w:rsidRPr="000B3DE5">
        <w:rPr>
          <w:rFonts w:ascii="Arial" w:hAnsi="Arial" w:cs="Arial"/>
          <w:lang w:val="mk-MK"/>
        </w:rPr>
        <w:t>financial</w:t>
      </w:r>
      <w:proofErr w:type="spellEnd"/>
      <w:r w:rsidRPr="000B3DE5">
        <w:rPr>
          <w:rFonts w:ascii="Arial" w:hAnsi="Arial" w:cs="Arial"/>
          <w:lang w:val="mk-MK"/>
        </w:rPr>
        <w:t xml:space="preserve"> </w:t>
      </w:r>
      <w:proofErr w:type="spellStart"/>
      <w:r w:rsidRPr="000B3DE5">
        <w:rPr>
          <w:rFonts w:ascii="Arial" w:hAnsi="Arial" w:cs="Arial"/>
          <w:lang w:val="mk-MK"/>
        </w:rPr>
        <w:t>assets</w:t>
      </w:r>
      <w:proofErr w:type="spellEnd"/>
      <w:r w:rsidRPr="000B3DE5">
        <w:rPr>
          <w:rFonts w:ascii="Arial" w:hAnsi="Arial" w:cs="Arial"/>
          <w:lang w:val="mk-MK"/>
        </w:rPr>
        <w:t xml:space="preserve"> </w:t>
      </w:r>
      <w:proofErr w:type="spellStart"/>
      <w:r w:rsidRPr="000B3DE5">
        <w:rPr>
          <w:rFonts w:ascii="Arial" w:hAnsi="Arial" w:cs="Arial"/>
          <w:lang w:val="mk-MK"/>
        </w:rPr>
        <w:t>available</w:t>
      </w:r>
      <w:proofErr w:type="spellEnd"/>
      <w:r w:rsidRPr="000B3DE5">
        <w:rPr>
          <w:rFonts w:ascii="Arial" w:hAnsi="Arial" w:cs="Arial"/>
          <w:lang w:val="mk-MK"/>
        </w:rPr>
        <w:t xml:space="preserve"> </w:t>
      </w:r>
      <w:proofErr w:type="spellStart"/>
      <w:r w:rsidRPr="000B3DE5">
        <w:rPr>
          <w:rFonts w:ascii="Arial" w:hAnsi="Arial" w:cs="Arial"/>
          <w:lang w:val="mk-MK"/>
        </w:rPr>
        <w:t>for</w:t>
      </w:r>
      <w:proofErr w:type="spellEnd"/>
      <w:r w:rsidRPr="000B3DE5">
        <w:rPr>
          <w:rFonts w:ascii="Arial" w:hAnsi="Arial" w:cs="Arial"/>
          <w:lang w:val="mk-MK"/>
        </w:rPr>
        <w:t xml:space="preserve"> </w:t>
      </w:r>
      <w:proofErr w:type="spellStart"/>
      <w:r w:rsidRPr="000B3DE5">
        <w:rPr>
          <w:rFonts w:ascii="Arial" w:hAnsi="Arial" w:cs="Arial"/>
          <w:lang w:val="mk-MK"/>
        </w:rPr>
        <w:t>sale</w:t>
      </w:r>
      <w:proofErr w:type="spellEnd"/>
      <w:r w:rsidRPr="000B3DE5">
        <w:rPr>
          <w:rFonts w:ascii="Arial" w:hAnsi="Arial" w:cs="Arial"/>
          <w:lang w:val="mk-MK"/>
        </w:rPr>
        <w:t xml:space="preserve"> </w:t>
      </w:r>
      <w:proofErr w:type="spellStart"/>
      <w:r w:rsidRPr="000B3DE5">
        <w:rPr>
          <w:rFonts w:ascii="Arial" w:hAnsi="Arial" w:cs="Arial"/>
          <w:lang w:val="mk-MK"/>
        </w:rPr>
        <w:t>are</w:t>
      </w:r>
      <w:proofErr w:type="spellEnd"/>
      <w:r w:rsidRPr="000B3DE5">
        <w:rPr>
          <w:rFonts w:ascii="Arial" w:hAnsi="Arial" w:cs="Arial"/>
          <w:lang w:val="mk-MK"/>
        </w:rPr>
        <w:t xml:space="preserve"> </w:t>
      </w:r>
      <w:proofErr w:type="spellStart"/>
      <w:r w:rsidRPr="000B3DE5">
        <w:rPr>
          <w:rFonts w:ascii="Arial" w:hAnsi="Arial" w:cs="Arial"/>
          <w:lang w:val="mk-MK"/>
        </w:rPr>
        <w:t>recognised</w:t>
      </w:r>
      <w:proofErr w:type="spellEnd"/>
      <w:r w:rsidRPr="000B3DE5">
        <w:rPr>
          <w:rFonts w:ascii="Arial" w:hAnsi="Arial" w:cs="Arial"/>
          <w:lang w:val="mk-MK"/>
        </w:rPr>
        <w:t xml:space="preserve"> </w:t>
      </w:r>
      <w:proofErr w:type="spellStart"/>
      <w:r w:rsidRPr="000B3DE5">
        <w:rPr>
          <w:rFonts w:ascii="Arial" w:hAnsi="Arial" w:cs="Arial"/>
          <w:lang w:val="mk-MK"/>
        </w:rPr>
        <w:t>directly</w:t>
      </w:r>
      <w:proofErr w:type="spellEnd"/>
      <w:r w:rsidRPr="000B3DE5">
        <w:rPr>
          <w:rFonts w:ascii="Arial" w:hAnsi="Arial" w:cs="Arial"/>
          <w:lang w:val="mk-MK"/>
        </w:rPr>
        <w:t xml:space="preserve"> </w:t>
      </w:r>
      <w:proofErr w:type="spellStart"/>
      <w:r w:rsidRPr="000B3DE5">
        <w:rPr>
          <w:rFonts w:ascii="Arial" w:hAnsi="Arial" w:cs="Arial"/>
          <w:lang w:val="mk-MK"/>
        </w:rPr>
        <w:t>in</w:t>
      </w:r>
      <w:proofErr w:type="spellEnd"/>
      <w:r w:rsidRPr="000B3DE5">
        <w:rPr>
          <w:rFonts w:ascii="Arial" w:hAnsi="Arial" w:cs="Arial"/>
          <w:lang w:val="mk-MK"/>
        </w:rPr>
        <w:t xml:space="preserve"> </w:t>
      </w:r>
      <w:proofErr w:type="spellStart"/>
      <w:r w:rsidRPr="000B3DE5">
        <w:rPr>
          <w:rFonts w:ascii="Arial" w:hAnsi="Arial" w:cs="Arial"/>
          <w:lang w:val="mk-MK"/>
        </w:rPr>
        <w:t>comprehensive</w:t>
      </w:r>
      <w:proofErr w:type="spellEnd"/>
      <w:r w:rsidRPr="000B3DE5">
        <w:rPr>
          <w:rFonts w:ascii="Arial" w:hAnsi="Arial" w:cs="Arial"/>
          <w:lang w:val="mk-MK"/>
        </w:rPr>
        <w:t xml:space="preserve"> </w:t>
      </w:r>
      <w:proofErr w:type="spellStart"/>
      <w:r w:rsidRPr="000B3DE5">
        <w:rPr>
          <w:rFonts w:ascii="Arial" w:hAnsi="Arial" w:cs="Arial"/>
          <w:lang w:val="mk-MK"/>
        </w:rPr>
        <w:t>income</w:t>
      </w:r>
      <w:proofErr w:type="spellEnd"/>
      <w:r w:rsidRPr="000B3DE5">
        <w:rPr>
          <w:rFonts w:ascii="Arial" w:hAnsi="Arial" w:cs="Arial"/>
          <w:lang w:val="mk-MK"/>
        </w:rPr>
        <w:t xml:space="preserve">, </w:t>
      </w:r>
      <w:proofErr w:type="spellStart"/>
      <w:r w:rsidRPr="000B3DE5">
        <w:rPr>
          <w:rFonts w:ascii="Arial" w:hAnsi="Arial" w:cs="Arial"/>
          <w:lang w:val="mk-MK"/>
        </w:rPr>
        <w:t>except</w:t>
      </w:r>
      <w:proofErr w:type="spellEnd"/>
      <w:r w:rsidRPr="000B3DE5">
        <w:rPr>
          <w:rFonts w:ascii="Arial" w:hAnsi="Arial" w:cs="Arial"/>
          <w:lang w:val="mk-MK"/>
        </w:rPr>
        <w:t xml:space="preserve"> </w:t>
      </w:r>
      <w:proofErr w:type="spellStart"/>
      <w:r w:rsidRPr="000B3DE5">
        <w:rPr>
          <w:rFonts w:ascii="Arial" w:hAnsi="Arial" w:cs="Arial"/>
          <w:lang w:val="mk-MK"/>
        </w:rPr>
        <w:t>for</w:t>
      </w:r>
      <w:proofErr w:type="spellEnd"/>
      <w:r w:rsidRPr="000B3DE5">
        <w:rPr>
          <w:rFonts w:ascii="Arial" w:hAnsi="Arial" w:cs="Arial"/>
          <w:lang w:val="mk-MK"/>
        </w:rPr>
        <w:t xml:space="preserve"> </w:t>
      </w:r>
      <w:proofErr w:type="spellStart"/>
      <w:r w:rsidRPr="000B3DE5">
        <w:rPr>
          <w:rFonts w:ascii="Arial" w:hAnsi="Arial" w:cs="Arial"/>
          <w:lang w:val="mk-MK"/>
        </w:rPr>
        <w:t>impairment</w:t>
      </w:r>
      <w:proofErr w:type="spellEnd"/>
      <w:r w:rsidRPr="000B3DE5">
        <w:rPr>
          <w:rFonts w:ascii="Arial" w:hAnsi="Arial" w:cs="Arial"/>
          <w:lang w:val="mk-MK"/>
        </w:rPr>
        <w:t xml:space="preserve"> </w:t>
      </w:r>
      <w:proofErr w:type="spellStart"/>
      <w:r w:rsidRPr="000B3DE5">
        <w:rPr>
          <w:rFonts w:ascii="Arial" w:hAnsi="Arial" w:cs="Arial"/>
          <w:lang w:val="mk-MK"/>
        </w:rPr>
        <w:t>losses</w:t>
      </w:r>
      <w:proofErr w:type="spellEnd"/>
      <w:r w:rsidRPr="000B3DE5">
        <w:rPr>
          <w:rFonts w:ascii="Arial" w:hAnsi="Arial" w:cs="Arial"/>
          <w:lang w:val="mk-MK"/>
        </w:rPr>
        <w:t xml:space="preserve"> </w:t>
      </w:r>
      <w:proofErr w:type="spellStart"/>
      <w:r w:rsidRPr="000B3DE5">
        <w:rPr>
          <w:rFonts w:ascii="Arial" w:hAnsi="Arial" w:cs="Arial"/>
          <w:lang w:val="mk-MK"/>
        </w:rPr>
        <w:t>and</w:t>
      </w:r>
      <w:proofErr w:type="spellEnd"/>
      <w:r w:rsidRPr="000B3DE5">
        <w:rPr>
          <w:rFonts w:ascii="Arial" w:hAnsi="Arial" w:cs="Arial"/>
          <w:lang w:val="mk-MK"/>
        </w:rPr>
        <w:t xml:space="preserve"> </w:t>
      </w:r>
      <w:proofErr w:type="spellStart"/>
      <w:r w:rsidRPr="000B3DE5">
        <w:rPr>
          <w:rFonts w:ascii="Arial" w:hAnsi="Arial" w:cs="Arial"/>
          <w:lang w:val="mk-MK"/>
        </w:rPr>
        <w:t>foreign</w:t>
      </w:r>
      <w:proofErr w:type="spellEnd"/>
      <w:r w:rsidRPr="000B3DE5">
        <w:rPr>
          <w:rFonts w:ascii="Arial" w:hAnsi="Arial" w:cs="Arial"/>
          <w:lang w:val="mk-MK"/>
        </w:rPr>
        <w:t xml:space="preserve"> </w:t>
      </w:r>
      <w:proofErr w:type="spellStart"/>
      <w:r w:rsidRPr="000B3DE5">
        <w:rPr>
          <w:rFonts w:ascii="Arial" w:hAnsi="Arial" w:cs="Arial"/>
          <w:lang w:val="mk-MK"/>
        </w:rPr>
        <w:t>exchange</w:t>
      </w:r>
      <w:proofErr w:type="spellEnd"/>
      <w:r w:rsidRPr="000B3DE5">
        <w:rPr>
          <w:rFonts w:ascii="Arial" w:hAnsi="Arial" w:cs="Arial"/>
          <w:lang w:val="mk-MK"/>
        </w:rPr>
        <w:t xml:space="preserve"> </w:t>
      </w:r>
      <w:proofErr w:type="spellStart"/>
      <w:r w:rsidRPr="000B3DE5">
        <w:rPr>
          <w:rFonts w:ascii="Arial" w:hAnsi="Arial" w:cs="Arial"/>
          <w:lang w:val="mk-MK"/>
        </w:rPr>
        <w:t>gains</w:t>
      </w:r>
      <w:proofErr w:type="spellEnd"/>
      <w:r w:rsidRPr="000B3DE5">
        <w:rPr>
          <w:rFonts w:ascii="Arial" w:hAnsi="Arial" w:cs="Arial"/>
          <w:lang w:val="mk-MK"/>
        </w:rPr>
        <w:t xml:space="preserve"> </w:t>
      </w:r>
      <w:proofErr w:type="spellStart"/>
      <w:r w:rsidRPr="000B3DE5">
        <w:rPr>
          <w:rFonts w:ascii="Arial" w:hAnsi="Arial" w:cs="Arial"/>
          <w:lang w:val="mk-MK"/>
        </w:rPr>
        <w:t>and</w:t>
      </w:r>
      <w:proofErr w:type="spellEnd"/>
      <w:r w:rsidRPr="000B3DE5">
        <w:rPr>
          <w:rFonts w:ascii="Arial" w:hAnsi="Arial" w:cs="Arial"/>
          <w:lang w:val="mk-MK"/>
        </w:rPr>
        <w:t xml:space="preserve"> </w:t>
      </w:r>
      <w:proofErr w:type="spellStart"/>
      <w:r w:rsidRPr="000B3DE5">
        <w:rPr>
          <w:rFonts w:ascii="Arial" w:hAnsi="Arial" w:cs="Arial"/>
          <w:lang w:val="mk-MK"/>
        </w:rPr>
        <w:t>losses</w:t>
      </w:r>
      <w:proofErr w:type="spellEnd"/>
      <w:r w:rsidRPr="000B3DE5">
        <w:rPr>
          <w:rFonts w:ascii="Arial" w:hAnsi="Arial" w:cs="Arial"/>
          <w:lang w:val="mk-MK"/>
        </w:rPr>
        <w:t xml:space="preserve"> </w:t>
      </w:r>
      <w:proofErr w:type="spellStart"/>
      <w:r w:rsidRPr="000B3DE5">
        <w:rPr>
          <w:rFonts w:ascii="Arial" w:hAnsi="Arial" w:cs="Arial"/>
          <w:lang w:val="mk-MK"/>
        </w:rPr>
        <w:t>on</w:t>
      </w:r>
      <w:proofErr w:type="spellEnd"/>
      <w:r w:rsidRPr="000B3DE5">
        <w:rPr>
          <w:rFonts w:ascii="Arial" w:hAnsi="Arial" w:cs="Arial"/>
          <w:lang w:val="mk-MK"/>
        </w:rPr>
        <w:t xml:space="preserve"> </w:t>
      </w:r>
      <w:proofErr w:type="spellStart"/>
      <w:r w:rsidRPr="000B3DE5">
        <w:rPr>
          <w:rFonts w:ascii="Arial" w:hAnsi="Arial" w:cs="Arial"/>
          <w:lang w:val="mk-MK"/>
        </w:rPr>
        <w:t>monetary</w:t>
      </w:r>
      <w:proofErr w:type="spellEnd"/>
      <w:r w:rsidRPr="000B3DE5">
        <w:rPr>
          <w:rFonts w:ascii="Arial" w:hAnsi="Arial" w:cs="Arial"/>
          <w:lang w:val="mk-MK"/>
        </w:rPr>
        <w:t xml:space="preserve"> </w:t>
      </w:r>
      <w:proofErr w:type="spellStart"/>
      <w:r w:rsidRPr="000B3DE5">
        <w:rPr>
          <w:rFonts w:ascii="Arial" w:hAnsi="Arial" w:cs="Arial"/>
          <w:lang w:val="mk-MK"/>
        </w:rPr>
        <w:t>items</w:t>
      </w:r>
      <w:proofErr w:type="spellEnd"/>
      <w:r w:rsidRPr="000B3DE5">
        <w:rPr>
          <w:rFonts w:ascii="Arial" w:hAnsi="Arial" w:cs="Arial"/>
          <w:lang w:val="mk-MK"/>
        </w:rPr>
        <w:t xml:space="preserve"> </w:t>
      </w:r>
      <w:proofErr w:type="spellStart"/>
      <w:r w:rsidRPr="000B3DE5">
        <w:rPr>
          <w:rFonts w:ascii="Arial" w:hAnsi="Arial" w:cs="Arial"/>
          <w:lang w:val="mk-MK"/>
        </w:rPr>
        <w:t>such</w:t>
      </w:r>
      <w:proofErr w:type="spellEnd"/>
      <w:r w:rsidRPr="000B3DE5">
        <w:rPr>
          <w:rFonts w:ascii="Arial" w:hAnsi="Arial" w:cs="Arial"/>
          <w:lang w:val="mk-MK"/>
        </w:rPr>
        <w:t xml:space="preserve"> </w:t>
      </w:r>
      <w:proofErr w:type="spellStart"/>
      <w:r w:rsidRPr="000B3DE5">
        <w:rPr>
          <w:rFonts w:ascii="Arial" w:hAnsi="Arial" w:cs="Arial"/>
          <w:lang w:val="mk-MK"/>
        </w:rPr>
        <w:t>as</w:t>
      </w:r>
      <w:proofErr w:type="spellEnd"/>
      <w:r w:rsidRPr="000B3DE5">
        <w:rPr>
          <w:rFonts w:ascii="Arial" w:hAnsi="Arial" w:cs="Arial"/>
          <w:lang w:val="mk-MK"/>
        </w:rPr>
        <w:t xml:space="preserve"> </w:t>
      </w:r>
      <w:proofErr w:type="spellStart"/>
      <w:r w:rsidRPr="000B3DE5">
        <w:rPr>
          <w:rFonts w:ascii="Arial" w:hAnsi="Arial" w:cs="Arial"/>
          <w:lang w:val="mk-MK"/>
        </w:rPr>
        <w:t>debt</w:t>
      </w:r>
      <w:proofErr w:type="spellEnd"/>
      <w:r w:rsidRPr="000B3DE5">
        <w:rPr>
          <w:rFonts w:ascii="Arial" w:hAnsi="Arial" w:cs="Arial"/>
          <w:lang w:val="mk-MK"/>
        </w:rPr>
        <w:t xml:space="preserve"> </w:t>
      </w:r>
      <w:proofErr w:type="spellStart"/>
      <w:r w:rsidRPr="000B3DE5">
        <w:rPr>
          <w:rFonts w:ascii="Arial" w:hAnsi="Arial" w:cs="Arial"/>
          <w:lang w:val="mk-MK"/>
        </w:rPr>
        <w:t>securities</w:t>
      </w:r>
      <w:proofErr w:type="spellEnd"/>
      <w:r w:rsidRPr="000B3DE5">
        <w:rPr>
          <w:rFonts w:ascii="Arial" w:hAnsi="Arial" w:cs="Arial"/>
          <w:lang w:val="mk-MK"/>
        </w:rPr>
        <w:t xml:space="preserve">, </w:t>
      </w:r>
      <w:proofErr w:type="spellStart"/>
      <w:r w:rsidRPr="000B3DE5">
        <w:rPr>
          <w:rFonts w:ascii="Arial" w:hAnsi="Arial" w:cs="Arial"/>
          <w:lang w:val="mk-MK"/>
        </w:rPr>
        <w:t>which</w:t>
      </w:r>
      <w:proofErr w:type="spellEnd"/>
      <w:r w:rsidRPr="000B3DE5">
        <w:rPr>
          <w:rFonts w:ascii="Arial" w:hAnsi="Arial" w:cs="Arial"/>
          <w:lang w:val="mk-MK"/>
        </w:rPr>
        <w:t xml:space="preserve"> </w:t>
      </w:r>
      <w:proofErr w:type="spellStart"/>
      <w:r w:rsidRPr="000B3DE5">
        <w:rPr>
          <w:rFonts w:ascii="Arial" w:hAnsi="Arial" w:cs="Arial"/>
          <w:lang w:val="mk-MK"/>
        </w:rPr>
        <w:t>are</w:t>
      </w:r>
      <w:proofErr w:type="spellEnd"/>
      <w:r w:rsidRPr="000B3DE5">
        <w:rPr>
          <w:rFonts w:ascii="Arial" w:hAnsi="Arial" w:cs="Arial"/>
          <w:lang w:val="mk-MK"/>
        </w:rPr>
        <w:t xml:space="preserve"> </w:t>
      </w:r>
      <w:proofErr w:type="spellStart"/>
      <w:r w:rsidRPr="000B3DE5">
        <w:rPr>
          <w:rFonts w:ascii="Arial" w:hAnsi="Arial" w:cs="Arial"/>
          <w:lang w:val="mk-MK"/>
        </w:rPr>
        <w:t>recognised</w:t>
      </w:r>
      <w:proofErr w:type="spellEnd"/>
      <w:r w:rsidRPr="000B3DE5">
        <w:rPr>
          <w:rFonts w:ascii="Arial" w:hAnsi="Arial" w:cs="Arial"/>
          <w:lang w:val="mk-MK"/>
        </w:rPr>
        <w:t xml:space="preserve"> </w:t>
      </w:r>
      <w:proofErr w:type="spellStart"/>
      <w:r w:rsidRPr="000B3DE5">
        <w:rPr>
          <w:rFonts w:ascii="Arial" w:hAnsi="Arial" w:cs="Arial"/>
          <w:lang w:val="mk-MK"/>
        </w:rPr>
        <w:t>in</w:t>
      </w:r>
      <w:proofErr w:type="spellEnd"/>
      <w:r w:rsidRPr="000B3DE5">
        <w:rPr>
          <w:rFonts w:ascii="Arial" w:hAnsi="Arial" w:cs="Arial"/>
          <w:lang w:val="mk-MK"/>
        </w:rPr>
        <w:t xml:space="preserve"> </w:t>
      </w:r>
      <w:proofErr w:type="spellStart"/>
      <w:r w:rsidRPr="000B3DE5">
        <w:rPr>
          <w:rFonts w:ascii="Arial" w:hAnsi="Arial" w:cs="Arial"/>
          <w:lang w:val="mk-MK"/>
        </w:rPr>
        <w:t>profit</w:t>
      </w:r>
      <w:proofErr w:type="spellEnd"/>
      <w:r w:rsidRPr="000B3DE5">
        <w:rPr>
          <w:rFonts w:ascii="Arial" w:hAnsi="Arial" w:cs="Arial"/>
          <w:lang w:val="mk-MK"/>
        </w:rPr>
        <w:t xml:space="preserve"> </w:t>
      </w:r>
      <w:proofErr w:type="spellStart"/>
      <w:r w:rsidRPr="000B3DE5">
        <w:rPr>
          <w:rFonts w:ascii="Arial" w:hAnsi="Arial" w:cs="Arial"/>
          <w:lang w:val="mk-MK"/>
        </w:rPr>
        <w:t>or</w:t>
      </w:r>
      <w:proofErr w:type="spellEnd"/>
      <w:r w:rsidRPr="000B3DE5">
        <w:rPr>
          <w:rFonts w:ascii="Arial" w:hAnsi="Arial" w:cs="Arial"/>
          <w:lang w:val="mk-MK"/>
        </w:rPr>
        <w:t xml:space="preserve"> </w:t>
      </w:r>
      <w:proofErr w:type="spellStart"/>
      <w:r w:rsidRPr="000B3DE5">
        <w:rPr>
          <w:rFonts w:ascii="Arial" w:hAnsi="Arial" w:cs="Arial"/>
          <w:lang w:val="mk-MK"/>
        </w:rPr>
        <w:t>loss</w:t>
      </w:r>
      <w:proofErr w:type="spellEnd"/>
      <w:r w:rsidRPr="000B3DE5">
        <w:rPr>
          <w:rFonts w:ascii="Arial" w:hAnsi="Arial" w:cs="Arial"/>
          <w:lang w:val="mk-MK"/>
        </w:rPr>
        <w:t>.</w:t>
      </w:r>
    </w:p>
    <w:p w14:paraId="626F206E" w14:textId="7E319AF2" w:rsidR="006557D5" w:rsidRPr="00CE3053" w:rsidRDefault="006557D5" w:rsidP="006557D5">
      <w:pPr>
        <w:pStyle w:val="BodyText"/>
        <w:jc w:val="both"/>
        <w:rPr>
          <w:rFonts w:ascii="Arial" w:hAnsi="Arial" w:cs="Arial"/>
          <w:lang w:val="mk-MK"/>
        </w:rPr>
      </w:pPr>
      <w:proofErr w:type="spellStart"/>
      <w:r w:rsidRPr="000B3DE5">
        <w:rPr>
          <w:rFonts w:ascii="Arial" w:hAnsi="Arial" w:cs="Arial"/>
          <w:lang w:val="mk-MK"/>
        </w:rPr>
        <w:t>When</w:t>
      </w:r>
      <w:proofErr w:type="spellEnd"/>
      <w:r w:rsidRPr="000B3DE5">
        <w:rPr>
          <w:rFonts w:ascii="Arial" w:hAnsi="Arial" w:cs="Arial"/>
          <w:lang w:val="mk-MK"/>
        </w:rPr>
        <w:t xml:space="preserve"> </w:t>
      </w:r>
      <w:proofErr w:type="spellStart"/>
      <w:r w:rsidRPr="000B3DE5">
        <w:rPr>
          <w:rFonts w:ascii="Arial" w:hAnsi="Arial" w:cs="Arial"/>
          <w:lang w:val="mk-MK"/>
        </w:rPr>
        <w:t>financial</w:t>
      </w:r>
      <w:proofErr w:type="spellEnd"/>
      <w:r w:rsidRPr="000B3DE5">
        <w:rPr>
          <w:rFonts w:ascii="Arial" w:hAnsi="Arial" w:cs="Arial"/>
          <w:lang w:val="mk-MK"/>
        </w:rPr>
        <w:t xml:space="preserve"> </w:t>
      </w:r>
      <w:proofErr w:type="spellStart"/>
      <w:r w:rsidRPr="000B3DE5">
        <w:rPr>
          <w:rFonts w:ascii="Arial" w:hAnsi="Arial" w:cs="Arial"/>
          <w:lang w:val="mk-MK"/>
        </w:rPr>
        <w:t>assets</w:t>
      </w:r>
      <w:proofErr w:type="spellEnd"/>
      <w:r w:rsidRPr="000B3DE5">
        <w:rPr>
          <w:rFonts w:ascii="Arial" w:hAnsi="Arial" w:cs="Arial"/>
          <w:lang w:val="mk-MK"/>
        </w:rPr>
        <w:t xml:space="preserve"> </w:t>
      </w:r>
      <w:proofErr w:type="spellStart"/>
      <w:r w:rsidRPr="000B3DE5">
        <w:rPr>
          <w:rFonts w:ascii="Arial" w:hAnsi="Arial" w:cs="Arial"/>
          <w:lang w:val="mk-MK"/>
        </w:rPr>
        <w:t>available</w:t>
      </w:r>
      <w:proofErr w:type="spellEnd"/>
      <w:r>
        <w:rPr>
          <w:rFonts w:ascii="Arial" w:hAnsi="Arial" w:cs="Arial"/>
          <w:lang w:val="en-US"/>
        </w:rPr>
        <w:t xml:space="preserve"> </w:t>
      </w:r>
      <w:proofErr w:type="spellStart"/>
      <w:r w:rsidRPr="000B3DE5">
        <w:rPr>
          <w:rFonts w:ascii="Arial" w:hAnsi="Arial" w:cs="Arial"/>
          <w:lang w:val="mk-MK"/>
        </w:rPr>
        <w:t>for</w:t>
      </w:r>
      <w:proofErr w:type="spellEnd"/>
      <w:r>
        <w:rPr>
          <w:rFonts w:ascii="Arial" w:hAnsi="Arial" w:cs="Arial"/>
          <w:lang w:val="en-US"/>
        </w:rPr>
        <w:t xml:space="preserve"> </w:t>
      </w:r>
      <w:proofErr w:type="spellStart"/>
      <w:r w:rsidRPr="000B3DE5">
        <w:rPr>
          <w:rFonts w:ascii="Arial" w:hAnsi="Arial" w:cs="Arial"/>
          <w:lang w:val="mk-MK"/>
        </w:rPr>
        <w:t>sale</w:t>
      </w:r>
      <w:proofErr w:type="spellEnd"/>
      <w:r w:rsidRPr="000B3DE5">
        <w:rPr>
          <w:rFonts w:ascii="Arial" w:hAnsi="Arial" w:cs="Arial"/>
          <w:lang w:val="mk-MK"/>
        </w:rPr>
        <w:t xml:space="preserve"> </w:t>
      </w:r>
      <w:proofErr w:type="spellStart"/>
      <w:r w:rsidRPr="000B3DE5">
        <w:rPr>
          <w:rFonts w:ascii="Arial" w:hAnsi="Arial" w:cs="Arial"/>
          <w:lang w:val="mk-MK"/>
        </w:rPr>
        <w:t>are</w:t>
      </w:r>
      <w:proofErr w:type="spellEnd"/>
      <w:r w:rsidRPr="000B3DE5">
        <w:rPr>
          <w:rFonts w:ascii="Arial" w:hAnsi="Arial" w:cs="Arial"/>
          <w:lang w:val="mk-MK"/>
        </w:rPr>
        <w:t xml:space="preserve"> </w:t>
      </w:r>
      <w:proofErr w:type="spellStart"/>
      <w:r w:rsidRPr="000B3DE5">
        <w:rPr>
          <w:rFonts w:ascii="Arial" w:hAnsi="Arial" w:cs="Arial"/>
          <w:lang w:val="mk-MK"/>
        </w:rPr>
        <w:t>sold</w:t>
      </w:r>
      <w:proofErr w:type="spellEnd"/>
      <w:r w:rsidRPr="000B3DE5">
        <w:rPr>
          <w:rFonts w:ascii="Arial" w:hAnsi="Arial" w:cs="Arial"/>
          <w:lang w:val="mk-MK"/>
        </w:rPr>
        <w:t xml:space="preserve"> </w:t>
      </w:r>
      <w:proofErr w:type="spellStart"/>
      <w:r w:rsidRPr="000B3DE5">
        <w:rPr>
          <w:rFonts w:ascii="Arial" w:hAnsi="Arial" w:cs="Arial"/>
          <w:lang w:val="mk-MK"/>
        </w:rPr>
        <w:t>or</w:t>
      </w:r>
      <w:proofErr w:type="spellEnd"/>
      <w:r w:rsidRPr="000B3DE5">
        <w:rPr>
          <w:rFonts w:ascii="Arial" w:hAnsi="Arial" w:cs="Arial"/>
          <w:lang w:val="mk-MK"/>
        </w:rPr>
        <w:t xml:space="preserve"> </w:t>
      </w:r>
      <w:proofErr w:type="spellStart"/>
      <w:r w:rsidRPr="000B3DE5">
        <w:rPr>
          <w:rFonts w:ascii="Arial" w:hAnsi="Arial" w:cs="Arial"/>
          <w:lang w:val="mk-MK"/>
        </w:rPr>
        <w:t>impaired</w:t>
      </w:r>
      <w:proofErr w:type="spellEnd"/>
      <w:r w:rsidRPr="000B3DE5">
        <w:rPr>
          <w:rFonts w:ascii="Arial" w:hAnsi="Arial" w:cs="Arial"/>
          <w:lang w:val="mk-MK"/>
        </w:rPr>
        <w:t xml:space="preserve">, </w:t>
      </w:r>
      <w:proofErr w:type="spellStart"/>
      <w:r w:rsidRPr="000B3DE5">
        <w:rPr>
          <w:rFonts w:ascii="Arial" w:hAnsi="Arial" w:cs="Arial"/>
          <w:lang w:val="mk-MK"/>
        </w:rPr>
        <w:t>the</w:t>
      </w:r>
      <w:proofErr w:type="spellEnd"/>
      <w:r w:rsidRPr="000B3DE5">
        <w:rPr>
          <w:rFonts w:ascii="Arial" w:hAnsi="Arial" w:cs="Arial"/>
          <w:lang w:val="mk-MK"/>
        </w:rPr>
        <w:t xml:space="preserve"> </w:t>
      </w:r>
      <w:proofErr w:type="spellStart"/>
      <w:r w:rsidRPr="000B3DE5">
        <w:rPr>
          <w:rFonts w:ascii="Arial" w:hAnsi="Arial" w:cs="Arial"/>
          <w:lang w:val="mk-MK"/>
        </w:rPr>
        <w:t>cumulative</w:t>
      </w:r>
      <w:proofErr w:type="spellEnd"/>
      <w:r w:rsidRPr="000B3DE5">
        <w:rPr>
          <w:rFonts w:ascii="Arial" w:hAnsi="Arial" w:cs="Arial"/>
          <w:lang w:val="mk-MK"/>
        </w:rPr>
        <w:t xml:space="preserve"> </w:t>
      </w:r>
      <w:proofErr w:type="spellStart"/>
      <w:r w:rsidRPr="000B3DE5">
        <w:rPr>
          <w:rFonts w:ascii="Arial" w:hAnsi="Arial" w:cs="Arial"/>
          <w:lang w:val="mk-MK"/>
        </w:rPr>
        <w:t>gains</w:t>
      </w:r>
      <w:proofErr w:type="spellEnd"/>
      <w:r w:rsidRPr="000B3DE5">
        <w:rPr>
          <w:rFonts w:ascii="Arial" w:hAnsi="Arial" w:cs="Arial"/>
          <w:lang w:val="mk-MK"/>
        </w:rPr>
        <w:t xml:space="preserve"> </w:t>
      </w:r>
      <w:proofErr w:type="spellStart"/>
      <w:r w:rsidRPr="000B3DE5">
        <w:rPr>
          <w:rFonts w:ascii="Arial" w:hAnsi="Arial" w:cs="Arial"/>
          <w:lang w:val="mk-MK"/>
        </w:rPr>
        <w:t>or</w:t>
      </w:r>
      <w:proofErr w:type="spellEnd"/>
      <w:r w:rsidRPr="000B3DE5">
        <w:rPr>
          <w:rFonts w:ascii="Arial" w:hAnsi="Arial" w:cs="Arial"/>
          <w:lang w:val="mk-MK"/>
        </w:rPr>
        <w:t xml:space="preserve"> </w:t>
      </w:r>
      <w:proofErr w:type="spellStart"/>
      <w:r w:rsidRPr="000B3DE5">
        <w:rPr>
          <w:rFonts w:ascii="Arial" w:hAnsi="Arial" w:cs="Arial"/>
          <w:lang w:val="mk-MK"/>
        </w:rPr>
        <w:t>losses</w:t>
      </w:r>
      <w:proofErr w:type="spellEnd"/>
      <w:r w:rsidRPr="000B3DE5">
        <w:rPr>
          <w:rFonts w:ascii="Arial" w:hAnsi="Arial" w:cs="Arial"/>
          <w:lang w:val="mk-MK"/>
        </w:rPr>
        <w:t xml:space="preserve"> </w:t>
      </w:r>
      <w:proofErr w:type="spellStart"/>
      <w:r w:rsidRPr="000B3DE5">
        <w:rPr>
          <w:rFonts w:ascii="Arial" w:hAnsi="Arial" w:cs="Arial"/>
          <w:lang w:val="mk-MK"/>
        </w:rPr>
        <w:t>previously</w:t>
      </w:r>
      <w:proofErr w:type="spellEnd"/>
      <w:r w:rsidRPr="000B3DE5">
        <w:rPr>
          <w:rFonts w:ascii="Arial" w:hAnsi="Arial" w:cs="Arial"/>
          <w:lang w:val="mk-MK"/>
        </w:rPr>
        <w:t xml:space="preserve"> </w:t>
      </w:r>
      <w:proofErr w:type="spellStart"/>
      <w:r w:rsidRPr="000B3DE5">
        <w:rPr>
          <w:rFonts w:ascii="Arial" w:hAnsi="Arial" w:cs="Arial"/>
          <w:lang w:val="mk-MK"/>
        </w:rPr>
        <w:t>recognised</w:t>
      </w:r>
      <w:proofErr w:type="spellEnd"/>
      <w:r w:rsidRPr="000B3DE5">
        <w:rPr>
          <w:rFonts w:ascii="Arial" w:hAnsi="Arial" w:cs="Arial"/>
          <w:lang w:val="mk-MK"/>
        </w:rPr>
        <w:t xml:space="preserve"> </w:t>
      </w:r>
      <w:proofErr w:type="spellStart"/>
      <w:r w:rsidRPr="000B3DE5">
        <w:rPr>
          <w:rFonts w:ascii="Arial" w:hAnsi="Arial" w:cs="Arial"/>
          <w:lang w:val="mk-MK"/>
        </w:rPr>
        <w:t>in</w:t>
      </w:r>
      <w:proofErr w:type="spellEnd"/>
      <w:r w:rsidRPr="000B3DE5">
        <w:rPr>
          <w:rFonts w:ascii="Arial" w:hAnsi="Arial" w:cs="Arial"/>
          <w:lang w:val="mk-MK"/>
        </w:rPr>
        <w:t xml:space="preserve"> </w:t>
      </w:r>
      <w:proofErr w:type="spellStart"/>
      <w:r w:rsidRPr="000B3DE5">
        <w:rPr>
          <w:rFonts w:ascii="Arial" w:hAnsi="Arial" w:cs="Arial"/>
          <w:lang w:val="mk-MK"/>
        </w:rPr>
        <w:t>comprehensive</w:t>
      </w:r>
      <w:proofErr w:type="spellEnd"/>
      <w:r w:rsidRPr="000B3DE5">
        <w:rPr>
          <w:rFonts w:ascii="Arial" w:hAnsi="Arial" w:cs="Arial"/>
          <w:lang w:val="mk-MK"/>
        </w:rPr>
        <w:t xml:space="preserve"> </w:t>
      </w:r>
      <w:proofErr w:type="spellStart"/>
      <w:r w:rsidRPr="000B3DE5">
        <w:rPr>
          <w:rFonts w:ascii="Arial" w:hAnsi="Arial" w:cs="Arial"/>
          <w:lang w:val="mk-MK"/>
        </w:rPr>
        <w:t>income</w:t>
      </w:r>
      <w:proofErr w:type="spellEnd"/>
      <w:r w:rsidRPr="000B3DE5">
        <w:rPr>
          <w:rFonts w:ascii="Arial" w:hAnsi="Arial" w:cs="Arial"/>
          <w:lang w:val="mk-MK"/>
        </w:rPr>
        <w:t xml:space="preserve"> </w:t>
      </w:r>
      <w:proofErr w:type="spellStart"/>
      <w:r w:rsidRPr="000B3DE5">
        <w:rPr>
          <w:rFonts w:ascii="Arial" w:hAnsi="Arial" w:cs="Arial"/>
          <w:lang w:val="mk-MK"/>
        </w:rPr>
        <w:t>are</w:t>
      </w:r>
      <w:proofErr w:type="spellEnd"/>
      <w:r w:rsidRPr="000B3DE5">
        <w:rPr>
          <w:rFonts w:ascii="Arial" w:hAnsi="Arial" w:cs="Arial"/>
          <w:lang w:val="mk-MK"/>
        </w:rPr>
        <w:t xml:space="preserve"> </w:t>
      </w:r>
      <w:proofErr w:type="spellStart"/>
      <w:r w:rsidRPr="000B3DE5">
        <w:rPr>
          <w:rFonts w:ascii="Arial" w:hAnsi="Arial" w:cs="Arial"/>
          <w:lang w:val="mk-MK"/>
        </w:rPr>
        <w:t>recognised</w:t>
      </w:r>
      <w:proofErr w:type="spellEnd"/>
      <w:r w:rsidRPr="000B3DE5">
        <w:rPr>
          <w:rFonts w:ascii="Arial" w:hAnsi="Arial" w:cs="Arial"/>
          <w:lang w:val="mk-MK"/>
        </w:rPr>
        <w:t xml:space="preserve"> </w:t>
      </w:r>
      <w:proofErr w:type="spellStart"/>
      <w:r w:rsidRPr="000B3DE5">
        <w:rPr>
          <w:rFonts w:ascii="Arial" w:hAnsi="Arial" w:cs="Arial"/>
          <w:lang w:val="mk-MK"/>
        </w:rPr>
        <w:t>in</w:t>
      </w:r>
      <w:proofErr w:type="spellEnd"/>
      <w:r w:rsidRPr="000B3DE5">
        <w:rPr>
          <w:rFonts w:ascii="Arial" w:hAnsi="Arial" w:cs="Arial"/>
          <w:lang w:val="mk-MK"/>
        </w:rPr>
        <w:t xml:space="preserve"> </w:t>
      </w:r>
      <w:proofErr w:type="spellStart"/>
      <w:r w:rsidRPr="000B3DE5">
        <w:rPr>
          <w:rFonts w:ascii="Arial" w:hAnsi="Arial" w:cs="Arial"/>
          <w:lang w:val="mk-MK"/>
        </w:rPr>
        <w:t>the</w:t>
      </w:r>
      <w:proofErr w:type="spellEnd"/>
      <w:r w:rsidRPr="000B3DE5">
        <w:rPr>
          <w:rFonts w:ascii="Arial" w:hAnsi="Arial" w:cs="Arial"/>
          <w:lang w:val="mk-MK"/>
        </w:rPr>
        <w:t xml:space="preserve"> </w:t>
      </w:r>
      <w:proofErr w:type="spellStart"/>
      <w:r w:rsidRPr="000B3DE5">
        <w:rPr>
          <w:rFonts w:ascii="Arial" w:hAnsi="Arial" w:cs="Arial"/>
          <w:lang w:val="mk-MK"/>
        </w:rPr>
        <w:t>profit</w:t>
      </w:r>
      <w:proofErr w:type="spellEnd"/>
      <w:r w:rsidRPr="000B3DE5">
        <w:rPr>
          <w:rFonts w:ascii="Arial" w:hAnsi="Arial" w:cs="Arial"/>
          <w:lang w:val="mk-MK"/>
        </w:rPr>
        <w:t xml:space="preserve"> </w:t>
      </w:r>
      <w:proofErr w:type="spellStart"/>
      <w:r w:rsidRPr="000B3DE5">
        <w:rPr>
          <w:rFonts w:ascii="Arial" w:hAnsi="Arial" w:cs="Arial"/>
          <w:lang w:val="mk-MK"/>
        </w:rPr>
        <w:t>or</w:t>
      </w:r>
      <w:proofErr w:type="spellEnd"/>
      <w:r w:rsidRPr="000B3DE5">
        <w:rPr>
          <w:rFonts w:ascii="Arial" w:hAnsi="Arial" w:cs="Arial"/>
          <w:lang w:val="mk-MK"/>
        </w:rPr>
        <w:t xml:space="preserve"> </w:t>
      </w:r>
      <w:proofErr w:type="spellStart"/>
      <w:r w:rsidRPr="000B3DE5">
        <w:rPr>
          <w:rFonts w:ascii="Arial" w:hAnsi="Arial" w:cs="Arial"/>
          <w:lang w:val="mk-MK"/>
        </w:rPr>
        <w:t>loss</w:t>
      </w:r>
      <w:proofErr w:type="spellEnd"/>
      <w:r w:rsidRPr="000B3DE5">
        <w:rPr>
          <w:rFonts w:ascii="Arial" w:hAnsi="Arial" w:cs="Arial"/>
          <w:lang w:val="mk-MK"/>
        </w:rPr>
        <w:t xml:space="preserve">. </w:t>
      </w:r>
      <w:proofErr w:type="spellStart"/>
      <w:r w:rsidRPr="000B3DE5">
        <w:rPr>
          <w:rFonts w:ascii="Arial" w:hAnsi="Arial" w:cs="Arial"/>
          <w:lang w:val="mk-MK"/>
        </w:rPr>
        <w:t>Where</w:t>
      </w:r>
      <w:proofErr w:type="spellEnd"/>
      <w:r w:rsidRPr="000B3DE5">
        <w:rPr>
          <w:rFonts w:ascii="Arial" w:hAnsi="Arial" w:cs="Arial"/>
          <w:lang w:val="mk-MK"/>
        </w:rPr>
        <w:t xml:space="preserve"> </w:t>
      </w:r>
      <w:proofErr w:type="spellStart"/>
      <w:r w:rsidRPr="000B3DE5">
        <w:rPr>
          <w:rFonts w:ascii="Arial" w:hAnsi="Arial" w:cs="Arial"/>
          <w:lang w:val="mk-MK"/>
        </w:rPr>
        <w:t>financial</w:t>
      </w:r>
      <w:proofErr w:type="spellEnd"/>
      <w:r w:rsidRPr="000B3DE5">
        <w:rPr>
          <w:rFonts w:ascii="Arial" w:hAnsi="Arial" w:cs="Arial"/>
          <w:lang w:val="mk-MK"/>
        </w:rPr>
        <w:t xml:space="preserve"> </w:t>
      </w:r>
      <w:proofErr w:type="spellStart"/>
      <w:r w:rsidRPr="000B3DE5">
        <w:rPr>
          <w:rFonts w:ascii="Arial" w:hAnsi="Arial" w:cs="Arial"/>
          <w:lang w:val="mk-MK"/>
        </w:rPr>
        <w:t>assets</w:t>
      </w:r>
      <w:proofErr w:type="spellEnd"/>
      <w:r w:rsidRPr="000B3DE5">
        <w:rPr>
          <w:rFonts w:ascii="Arial" w:hAnsi="Arial" w:cs="Arial"/>
          <w:lang w:val="mk-MK"/>
        </w:rPr>
        <w:t xml:space="preserve"> </w:t>
      </w:r>
      <w:proofErr w:type="spellStart"/>
      <w:r w:rsidRPr="000B3DE5">
        <w:rPr>
          <w:rFonts w:ascii="Arial" w:hAnsi="Arial" w:cs="Arial"/>
          <w:lang w:val="mk-MK"/>
        </w:rPr>
        <w:t>available</w:t>
      </w:r>
      <w:proofErr w:type="spellEnd"/>
      <w:r w:rsidRPr="000B3DE5">
        <w:rPr>
          <w:rFonts w:ascii="Arial" w:hAnsi="Arial" w:cs="Arial"/>
          <w:lang w:val="mk-MK"/>
        </w:rPr>
        <w:t xml:space="preserve"> </w:t>
      </w:r>
      <w:r>
        <w:rPr>
          <w:rFonts w:ascii="Arial" w:hAnsi="Arial" w:cs="Arial"/>
          <w:lang w:val="en-US"/>
        </w:rPr>
        <w:t xml:space="preserve"> </w:t>
      </w:r>
      <w:proofErr w:type="spellStart"/>
      <w:r w:rsidRPr="000B3DE5">
        <w:rPr>
          <w:rFonts w:ascii="Arial" w:hAnsi="Arial" w:cs="Arial"/>
          <w:lang w:val="mk-MK"/>
        </w:rPr>
        <w:t>for</w:t>
      </w:r>
      <w:proofErr w:type="spellEnd"/>
      <w:r w:rsidRPr="000B3DE5">
        <w:rPr>
          <w:rFonts w:ascii="Arial" w:hAnsi="Arial" w:cs="Arial"/>
          <w:lang w:val="mk-MK"/>
        </w:rPr>
        <w:t xml:space="preserve"> </w:t>
      </w:r>
      <w:proofErr w:type="spellStart"/>
      <w:r w:rsidRPr="000B3DE5">
        <w:rPr>
          <w:rFonts w:ascii="Arial" w:hAnsi="Arial" w:cs="Arial"/>
          <w:lang w:val="mk-MK"/>
        </w:rPr>
        <w:t>sale</w:t>
      </w:r>
      <w:proofErr w:type="spellEnd"/>
      <w:r w:rsidRPr="000B3DE5">
        <w:rPr>
          <w:rFonts w:ascii="Arial" w:hAnsi="Arial" w:cs="Arial"/>
          <w:lang w:val="mk-MK"/>
        </w:rPr>
        <w:t xml:space="preserve"> </w:t>
      </w:r>
      <w:proofErr w:type="spellStart"/>
      <w:r w:rsidRPr="000B3DE5">
        <w:rPr>
          <w:rFonts w:ascii="Arial" w:hAnsi="Arial" w:cs="Arial"/>
          <w:lang w:val="mk-MK"/>
        </w:rPr>
        <w:t>are</w:t>
      </w:r>
      <w:proofErr w:type="spellEnd"/>
      <w:r w:rsidRPr="000B3DE5">
        <w:rPr>
          <w:rFonts w:ascii="Arial" w:hAnsi="Arial" w:cs="Arial"/>
          <w:lang w:val="mk-MK"/>
        </w:rPr>
        <w:t xml:space="preserve"> </w:t>
      </w:r>
      <w:proofErr w:type="spellStart"/>
      <w:r w:rsidRPr="000B3DE5">
        <w:rPr>
          <w:rFonts w:ascii="Arial" w:hAnsi="Arial" w:cs="Arial"/>
          <w:lang w:val="mk-MK"/>
        </w:rPr>
        <w:t>interest</w:t>
      </w:r>
      <w:proofErr w:type="spellEnd"/>
      <w:r w:rsidRPr="000B3DE5">
        <w:rPr>
          <w:rFonts w:ascii="Arial" w:hAnsi="Arial" w:cs="Arial"/>
          <w:lang w:val="mk-MK"/>
        </w:rPr>
        <w:t xml:space="preserve"> </w:t>
      </w:r>
      <w:proofErr w:type="spellStart"/>
      <w:r w:rsidRPr="000B3DE5">
        <w:rPr>
          <w:rFonts w:ascii="Arial" w:hAnsi="Arial" w:cs="Arial"/>
          <w:lang w:val="mk-MK"/>
        </w:rPr>
        <w:t>bearing</w:t>
      </w:r>
      <w:proofErr w:type="spellEnd"/>
      <w:r w:rsidRPr="000B3DE5">
        <w:rPr>
          <w:rFonts w:ascii="Arial" w:hAnsi="Arial" w:cs="Arial"/>
          <w:lang w:val="mk-MK"/>
        </w:rPr>
        <w:t xml:space="preserve">, </w:t>
      </w:r>
      <w:proofErr w:type="spellStart"/>
      <w:r w:rsidRPr="000B3DE5">
        <w:rPr>
          <w:rFonts w:ascii="Arial" w:hAnsi="Arial" w:cs="Arial"/>
          <w:lang w:val="mk-MK"/>
        </w:rPr>
        <w:t>interest</w:t>
      </w:r>
      <w:proofErr w:type="spellEnd"/>
      <w:r w:rsidRPr="000B3DE5">
        <w:rPr>
          <w:rFonts w:ascii="Arial" w:hAnsi="Arial" w:cs="Arial"/>
          <w:lang w:val="mk-MK"/>
        </w:rPr>
        <w:t xml:space="preserve"> </w:t>
      </w:r>
      <w:proofErr w:type="spellStart"/>
      <w:r w:rsidRPr="000B3DE5">
        <w:rPr>
          <w:rFonts w:ascii="Arial" w:hAnsi="Arial" w:cs="Arial"/>
          <w:lang w:val="mk-MK"/>
        </w:rPr>
        <w:t>calculated</w:t>
      </w:r>
      <w:proofErr w:type="spellEnd"/>
      <w:r w:rsidRPr="000B3DE5">
        <w:rPr>
          <w:rFonts w:ascii="Arial" w:hAnsi="Arial" w:cs="Arial"/>
          <w:lang w:val="mk-MK"/>
        </w:rPr>
        <w:t xml:space="preserve"> </w:t>
      </w:r>
      <w:proofErr w:type="spellStart"/>
      <w:r w:rsidRPr="000B3DE5">
        <w:rPr>
          <w:rFonts w:ascii="Arial" w:hAnsi="Arial" w:cs="Arial"/>
          <w:lang w:val="mk-MK"/>
        </w:rPr>
        <w:t>using</w:t>
      </w:r>
      <w:proofErr w:type="spellEnd"/>
      <w:r w:rsidRPr="000B3DE5">
        <w:rPr>
          <w:rFonts w:ascii="Arial" w:hAnsi="Arial" w:cs="Arial"/>
          <w:lang w:val="mk-MK"/>
        </w:rPr>
        <w:t xml:space="preserve"> </w:t>
      </w:r>
      <w:proofErr w:type="spellStart"/>
      <w:r w:rsidRPr="000B3DE5">
        <w:rPr>
          <w:rFonts w:ascii="Arial" w:hAnsi="Arial" w:cs="Arial"/>
          <w:lang w:val="mk-MK"/>
        </w:rPr>
        <w:t>the</w:t>
      </w:r>
      <w:proofErr w:type="spellEnd"/>
      <w:r w:rsidRPr="000B3DE5">
        <w:rPr>
          <w:rFonts w:ascii="Arial" w:hAnsi="Arial" w:cs="Arial"/>
          <w:lang w:val="mk-MK"/>
        </w:rPr>
        <w:t xml:space="preserve"> </w:t>
      </w:r>
      <w:proofErr w:type="spellStart"/>
      <w:r w:rsidRPr="000B3DE5">
        <w:rPr>
          <w:rFonts w:ascii="Arial" w:hAnsi="Arial" w:cs="Arial"/>
          <w:lang w:val="mk-MK"/>
        </w:rPr>
        <w:t>effective</w:t>
      </w:r>
      <w:proofErr w:type="spellEnd"/>
      <w:r w:rsidRPr="000B3DE5">
        <w:rPr>
          <w:rFonts w:ascii="Arial" w:hAnsi="Arial" w:cs="Arial"/>
          <w:lang w:val="mk-MK"/>
        </w:rPr>
        <w:t xml:space="preserve"> </w:t>
      </w:r>
      <w:proofErr w:type="spellStart"/>
      <w:r w:rsidRPr="000B3DE5">
        <w:rPr>
          <w:rFonts w:ascii="Arial" w:hAnsi="Arial" w:cs="Arial"/>
          <w:lang w:val="mk-MK"/>
        </w:rPr>
        <w:t>interest</w:t>
      </w:r>
      <w:proofErr w:type="spellEnd"/>
      <w:r w:rsidRPr="000B3DE5">
        <w:rPr>
          <w:rFonts w:ascii="Arial" w:hAnsi="Arial" w:cs="Arial"/>
          <w:lang w:val="mk-MK"/>
        </w:rPr>
        <w:t xml:space="preserve"> </w:t>
      </w:r>
      <w:proofErr w:type="spellStart"/>
      <w:r w:rsidRPr="000B3DE5">
        <w:rPr>
          <w:rFonts w:ascii="Arial" w:hAnsi="Arial" w:cs="Arial"/>
          <w:lang w:val="mk-MK"/>
        </w:rPr>
        <w:t>method</w:t>
      </w:r>
      <w:proofErr w:type="spellEnd"/>
      <w:r w:rsidRPr="000B3DE5">
        <w:rPr>
          <w:rFonts w:ascii="Arial" w:hAnsi="Arial" w:cs="Arial"/>
          <w:lang w:val="mk-MK"/>
        </w:rPr>
        <w:t xml:space="preserve"> </w:t>
      </w:r>
      <w:proofErr w:type="spellStart"/>
      <w:r w:rsidRPr="000B3DE5">
        <w:rPr>
          <w:rFonts w:ascii="Arial" w:hAnsi="Arial" w:cs="Arial"/>
          <w:lang w:val="mk-MK"/>
        </w:rPr>
        <w:t>is</w:t>
      </w:r>
      <w:proofErr w:type="spellEnd"/>
      <w:r w:rsidRPr="000B3DE5">
        <w:rPr>
          <w:rFonts w:ascii="Arial" w:hAnsi="Arial" w:cs="Arial"/>
          <w:lang w:val="mk-MK"/>
        </w:rPr>
        <w:t xml:space="preserve"> </w:t>
      </w:r>
      <w:proofErr w:type="spellStart"/>
      <w:r w:rsidRPr="000B3DE5">
        <w:rPr>
          <w:rFonts w:ascii="Arial" w:hAnsi="Arial" w:cs="Arial"/>
          <w:lang w:val="mk-MK"/>
        </w:rPr>
        <w:t>recognised</w:t>
      </w:r>
      <w:proofErr w:type="spellEnd"/>
      <w:r w:rsidRPr="000B3DE5">
        <w:rPr>
          <w:rFonts w:ascii="Arial" w:hAnsi="Arial" w:cs="Arial"/>
          <w:lang w:val="mk-MK"/>
        </w:rPr>
        <w:t xml:space="preserve"> </w:t>
      </w:r>
      <w:proofErr w:type="spellStart"/>
      <w:r w:rsidRPr="000B3DE5">
        <w:rPr>
          <w:rFonts w:ascii="Arial" w:hAnsi="Arial" w:cs="Arial"/>
          <w:lang w:val="mk-MK"/>
        </w:rPr>
        <w:t>in</w:t>
      </w:r>
      <w:proofErr w:type="spellEnd"/>
      <w:r w:rsidRPr="000B3DE5">
        <w:rPr>
          <w:rFonts w:ascii="Arial" w:hAnsi="Arial" w:cs="Arial"/>
          <w:lang w:val="mk-MK"/>
        </w:rPr>
        <w:t xml:space="preserve"> </w:t>
      </w:r>
      <w:proofErr w:type="spellStart"/>
      <w:r w:rsidRPr="000B3DE5">
        <w:rPr>
          <w:rFonts w:ascii="Arial" w:hAnsi="Arial" w:cs="Arial"/>
          <w:lang w:val="mk-MK"/>
        </w:rPr>
        <w:t>profit</w:t>
      </w:r>
      <w:proofErr w:type="spellEnd"/>
      <w:r w:rsidRPr="000B3DE5">
        <w:rPr>
          <w:rFonts w:ascii="Arial" w:hAnsi="Arial" w:cs="Arial"/>
          <w:lang w:val="mk-MK"/>
        </w:rPr>
        <w:t xml:space="preserve"> </w:t>
      </w:r>
      <w:proofErr w:type="spellStart"/>
      <w:r w:rsidRPr="000B3DE5">
        <w:rPr>
          <w:rFonts w:ascii="Arial" w:hAnsi="Arial" w:cs="Arial"/>
          <w:lang w:val="mk-MK"/>
        </w:rPr>
        <w:t>or</w:t>
      </w:r>
      <w:proofErr w:type="spellEnd"/>
      <w:r w:rsidRPr="000B3DE5">
        <w:rPr>
          <w:rFonts w:ascii="Arial" w:hAnsi="Arial" w:cs="Arial"/>
          <w:lang w:val="mk-MK"/>
        </w:rPr>
        <w:t xml:space="preserve"> </w:t>
      </w:r>
      <w:proofErr w:type="spellStart"/>
      <w:r w:rsidRPr="000B3DE5">
        <w:rPr>
          <w:rFonts w:ascii="Arial" w:hAnsi="Arial" w:cs="Arial"/>
          <w:lang w:val="mk-MK"/>
        </w:rPr>
        <w:t>loss</w:t>
      </w:r>
      <w:proofErr w:type="spellEnd"/>
      <w:r w:rsidRPr="000B3DE5">
        <w:rPr>
          <w:rFonts w:ascii="Arial" w:hAnsi="Arial" w:cs="Arial"/>
          <w:lang w:val="mk-MK"/>
        </w:rPr>
        <w:t>.</w:t>
      </w:r>
    </w:p>
    <w:p w14:paraId="76431CC3" w14:textId="3C845818" w:rsidR="00815E65" w:rsidRPr="001E6526" w:rsidRDefault="000B3DE5" w:rsidP="0061511C">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Pr>
          <w:rFonts w:ascii="Arial" w:hAnsi="Arial" w:cs="Arial"/>
          <w:b/>
          <w:color w:val="4F2D7F"/>
          <w:sz w:val="18"/>
          <w:lang w:val="en-US"/>
        </w:rPr>
        <w:t>Impairment of financial assets</w:t>
      </w:r>
    </w:p>
    <w:p w14:paraId="07B3528A" w14:textId="0C89A394" w:rsidR="00815E65" w:rsidRPr="000B3DE5" w:rsidRDefault="000B3DE5" w:rsidP="00815E65">
      <w:pPr>
        <w:pStyle w:val="Heading4"/>
        <w:jc w:val="both"/>
        <w:rPr>
          <w:rFonts w:ascii="Arial" w:hAnsi="Arial" w:cs="Arial"/>
          <w:lang w:val="en-US"/>
        </w:rPr>
      </w:pPr>
      <w:r>
        <w:rPr>
          <w:rFonts w:ascii="Arial" w:hAnsi="Arial" w:cs="Arial"/>
          <w:lang w:val="en-US"/>
        </w:rPr>
        <w:t>Assets carried at amortized cost</w:t>
      </w:r>
    </w:p>
    <w:p w14:paraId="4B12BF17" w14:textId="603FAE4F" w:rsidR="005F6CB2" w:rsidRPr="005F6CB2" w:rsidRDefault="005F6CB2" w:rsidP="00815E65">
      <w:pPr>
        <w:pStyle w:val="BodyText"/>
        <w:jc w:val="both"/>
        <w:rPr>
          <w:rFonts w:ascii="Arial" w:hAnsi="Arial" w:cs="Arial"/>
          <w:lang w:val="en-US"/>
        </w:rPr>
      </w:pPr>
      <w:proofErr w:type="spellStart"/>
      <w:r w:rsidRPr="005F6CB2">
        <w:rPr>
          <w:rFonts w:ascii="Arial" w:hAnsi="Arial" w:cs="Arial"/>
          <w:lang w:val="mk-MK"/>
        </w:rPr>
        <w:t>The</w:t>
      </w:r>
      <w:proofErr w:type="spellEnd"/>
      <w:r w:rsidRPr="005F6CB2">
        <w:rPr>
          <w:rFonts w:ascii="Arial" w:hAnsi="Arial" w:cs="Arial"/>
          <w:lang w:val="mk-MK"/>
        </w:rPr>
        <w:t xml:space="preserve"> </w:t>
      </w:r>
      <w:proofErr w:type="spellStart"/>
      <w:r w:rsidRPr="005F6CB2">
        <w:rPr>
          <w:rFonts w:ascii="Arial" w:hAnsi="Arial" w:cs="Arial"/>
          <w:lang w:val="mk-MK"/>
        </w:rPr>
        <w:t>Fund</w:t>
      </w:r>
      <w:proofErr w:type="spellEnd"/>
      <w:r w:rsidRPr="005F6CB2">
        <w:rPr>
          <w:rFonts w:ascii="Arial" w:hAnsi="Arial" w:cs="Arial"/>
          <w:lang w:val="mk-MK"/>
        </w:rPr>
        <w:t xml:space="preserve"> </w:t>
      </w:r>
      <w:proofErr w:type="spellStart"/>
      <w:r w:rsidRPr="005F6CB2">
        <w:rPr>
          <w:rFonts w:ascii="Arial" w:hAnsi="Arial" w:cs="Arial"/>
          <w:lang w:val="mk-MK"/>
        </w:rPr>
        <w:t>assesses</w:t>
      </w:r>
      <w:proofErr w:type="spellEnd"/>
      <w:r w:rsidRPr="005F6CB2">
        <w:rPr>
          <w:rFonts w:ascii="Arial" w:hAnsi="Arial" w:cs="Arial"/>
          <w:lang w:val="mk-MK"/>
        </w:rPr>
        <w:t xml:space="preserve"> </w:t>
      </w:r>
      <w:proofErr w:type="spellStart"/>
      <w:r w:rsidRPr="005F6CB2">
        <w:rPr>
          <w:rFonts w:ascii="Arial" w:hAnsi="Arial" w:cs="Arial"/>
          <w:lang w:val="mk-MK"/>
        </w:rPr>
        <w:t>at</w:t>
      </w:r>
      <w:proofErr w:type="spellEnd"/>
      <w:r w:rsidRPr="005F6CB2">
        <w:rPr>
          <w:rFonts w:ascii="Arial" w:hAnsi="Arial" w:cs="Arial"/>
          <w:lang w:val="mk-MK"/>
        </w:rPr>
        <w:t xml:space="preserve"> </w:t>
      </w:r>
      <w:proofErr w:type="spellStart"/>
      <w:r w:rsidRPr="005F6CB2">
        <w:rPr>
          <w:rFonts w:ascii="Arial" w:hAnsi="Arial" w:cs="Arial"/>
          <w:lang w:val="mk-MK"/>
        </w:rPr>
        <w:t>each</w:t>
      </w:r>
      <w:proofErr w:type="spellEnd"/>
      <w:r w:rsidRPr="005F6CB2">
        <w:rPr>
          <w:rFonts w:ascii="Arial" w:hAnsi="Arial" w:cs="Arial"/>
          <w:lang w:val="mk-MK"/>
        </w:rPr>
        <w:t xml:space="preserve"> </w:t>
      </w:r>
      <w:proofErr w:type="spellStart"/>
      <w:r w:rsidRPr="005F6CB2">
        <w:rPr>
          <w:rFonts w:ascii="Arial" w:hAnsi="Arial" w:cs="Arial"/>
          <w:lang w:val="mk-MK"/>
        </w:rPr>
        <w:t>Statement</w:t>
      </w:r>
      <w:proofErr w:type="spellEnd"/>
      <w:r w:rsidRPr="005F6CB2">
        <w:rPr>
          <w:rFonts w:ascii="Arial" w:hAnsi="Arial" w:cs="Arial"/>
          <w:lang w:val="mk-MK"/>
        </w:rPr>
        <w:t xml:space="preserve"> </w:t>
      </w:r>
      <w:proofErr w:type="spellStart"/>
      <w:r w:rsidRPr="005F6CB2">
        <w:rPr>
          <w:rFonts w:ascii="Arial" w:hAnsi="Arial" w:cs="Arial"/>
          <w:lang w:val="mk-MK"/>
        </w:rPr>
        <w:t>of</w:t>
      </w:r>
      <w:proofErr w:type="spellEnd"/>
      <w:r w:rsidRPr="005F6CB2">
        <w:rPr>
          <w:rFonts w:ascii="Arial" w:hAnsi="Arial" w:cs="Arial"/>
          <w:lang w:val="mk-MK"/>
        </w:rPr>
        <w:t xml:space="preserve"> </w:t>
      </w:r>
      <w:proofErr w:type="spellStart"/>
      <w:r w:rsidRPr="005F6CB2">
        <w:rPr>
          <w:rFonts w:ascii="Arial" w:hAnsi="Arial" w:cs="Arial"/>
          <w:lang w:val="mk-MK"/>
        </w:rPr>
        <w:t>financial</w:t>
      </w:r>
      <w:proofErr w:type="spellEnd"/>
      <w:r w:rsidRPr="005F6CB2">
        <w:rPr>
          <w:rFonts w:ascii="Arial" w:hAnsi="Arial" w:cs="Arial"/>
          <w:lang w:val="mk-MK"/>
        </w:rPr>
        <w:t xml:space="preserve"> </w:t>
      </w:r>
      <w:proofErr w:type="spellStart"/>
      <w:r w:rsidRPr="005F6CB2">
        <w:rPr>
          <w:rFonts w:ascii="Arial" w:hAnsi="Arial" w:cs="Arial"/>
          <w:lang w:val="mk-MK"/>
        </w:rPr>
        <w:t>position</w:t>
      </w:r>
      <w:proofErr w:type="spellEnd"/>
      <w:r w:rsidRPr="005F6CB2">
        <w:rPr>
          <w:rFonts w:ascii="Arial" w:hAnsi="Arial" w:cs="Arial"/>
          <w:lang w:val="mk-MK"/>
        </w:rPr>
        <w:t xml:space="preserve"> </w:t>
      </w:r>
      <w:proofErr w:type="spellStart"/>
      <w:r w:rsidRPr="005F6CB2">
        <w:rPr>
          <w:rFonts w:ascii="Arial" w:hAnsi="Arial" w:cs="Arial"/>
          <w:lang w:val="mk-MK"/>
        </w:rPr>
        <w:t>date</w:t>
      </w:r>
      <w:proofErr w:type="spellEnd"/>
      <w:r w:rsidRPr="005F6CB2">
        <w:rPr>
          <w:rFonts w:ascii="Arial" w:hAnsi="Arial" w:cs="Arial"/>
          <w:lang w:val="mk-MK"/>
        </w:rPr>
        <w:t xml:space="preserve"> </w:t>
      </w:r>
      <w:proofErr w:type="spellStart"/>
      <w:r w:rsidRPr="005F6CB2">
        <w:rPr>
          <w:rFonts w:ascii="Arial" w:hAnsi="Arial" w:cs="Arial"/>
          <w:lang w:val="mk-MK"/>
        </w:rPr>
        <w:t>whether</w:t>
      </w:r>
      <w:proofErr w:type="spellEnd"/>
      <w:r w:rsidRPr="005F6CB2">
        <w:rPr>
          <w:rFonts w:ascii="Arial" w:hAnsi="Arial" w:cs="Arial"/>
          <w:lang w:val="mk-MK"/>
        </w:rPr>
        <w:t xml:space="preserve"> </w:t>
      </w:r>
      <w:proofErr w:type="spellStart"/>
      <w:r w:rsidRPr="005F6CB2">
        <w:rPr>
          <w:rFonts w:ascii="Arial" w:hAnsi="Arial" w:cs="Arial"/>
          <w:lang w:val="mk-MK"/>
        </w:rPr>
        <w:t>there</w:t>
      </w:r>
      <w:proofErr w:type="spellEnd"/>
      <w:r w:rsidRPr="005F6CB2">
        <w:rPr>
          <w:rFonts w:ascii="Arial" w:hAnsi="Arial" w:cs="Arial"/>
          <w:lang w:val="mk-MK"/>
        </w:rPr>
        <w:t xml:space="preserve"> </w:t>
      </w:r>
      <w:proofErr w:type="spellStart"/>
      <w:r w:rsidRPr="005F6CB2">
        <w:rPr>
          <w:rFonts w:ascii="Arial" w:hAnsi="Arial" w:cs="Arial"/>
          <w:lang w:val="mk-MK"/>
        </w:rPr>
        <w:t>is</w:t>
      </w:r>
      <w:proofErr w:type="spellEnd"/>
      <w:r w:rsidRPr="005F6CB2">
        <w:rPr>
          <w:rFonts w:ascii="Arial" w:hAnsi="Arial" w:cs="Arial"/>
          <w:lang w:val="mk-MK"/>
        </w:rPr>
        <w:t xml:space="preserve"> </w:t>
      </w:r>
      <w:proofErr w:type="spellStart"/>
      <w:r w:rsidRPr="005F6CB2">
        <w:rPr>
          <w:rFonts w:ascii="Arial" w:hAnsi="Arial" w:cs="Arial"/>
          <w:lang w:val="mk-MK"/>
        </w:rPr>
        <w:t>objective</w:t>
      </w:r>
      <w:proofErr w:type="spellEnd"/>
      <w:r w:rsidRPr="005F6CB2">
        <w:rPr>
          <w:rFonts w:ascii="Arial" w:hAnsi="Arial" w:cs="Arial"/>
          <w:lang w:val="mk-MK"/>
        </w:rPr>
        <w:t xml:space="preserve"> </w:t>
      </w:r>
      <w:proofErr w:type="spellStart"/>
      <w:r w:rsidRPr="005F6CB2">
        <w:rPr>
          <w:rFonts w:ascii="Arial" w:hAnsi="Arial" w:cs="Arial"/>
          <w:lang w:val="mk-MK"/>
        </w:rPr>
        <w:t>evidence</w:t>
      </w:r>
      <w:proofErr w:type="spellEnd"/>
      <w:r w:rsidRPr="005F6CB2">
        <w:rPr>
          <w:rFonts w:ascii="Arial" w:hAnsi="Arial" w:cs="Arial"/>
          <w:lang w:val="mk-MK"/>
        </w:rPr>
        <w:t xml:space="preserve"> </w:t>
      </w:r>
      <w:proofErr w:type="spellStart"/>
      <w:r w:rsidRPr="005F6CB2">
        <w:rPr>
          <w:rFonts w:ascii="Arial" w:hAnsi="Arial" w:cs="Arial"/>
          <w:lang w:val="mk-MK"/>
        </w:rPr>
        <w:t>that</w:t>
      </w:r>
      <w:proofErr w:type="spellEnd"/>
      <w:r w:rsidRPr="005F6CB2">
        <w:rPr>
          <w:rFonts w:ascii="Arial" w:hAnsi="Arial" w:cs="Arial"/>
          <w:lang w:val="mk-MK"/>
        </w:rPr>
        <w:t xml:space="preserve"> a </w:t>
      </w:r>
      <w:proofErr w:type="spellStart"/>
      <w:r w:rsidRPr="005F6CB2">
        <w:rPr>
          <w:rFonts w:ascii="Arial" w:hAnsi="Arial" w:cs="Arial"/>
          <w:lang w:val="mk-MK"/>
        </w:rPr>
        <w:t>financial</w:t>
      </w:r>
      <w:proofErr w:type="spellEnd"/>
      <w:r w:rsidRPr="005F6CB2">
        <w:rPr>
          <w:rFonts w:ascii="Arial" w:hAnsi="Arial" w:cs="Arial"/>
          <w:lang w:val="mk-MK"/>
        </w:rPr>
        <w:t xml:space="preserve"> </w:t>
      </w:r>
      <w:proofErr w:type="spellStart"/>
      <w:r w:rsidRPr="005F6CB2">
        <w:rPr>
          <w:rFonts w:ascii="Arial" w:hAnsi="Arial" w:cs="Arial"/>
          <w:lang w:val="mk-MK"/>
        </w:rPr>
        <w:t>asset</w:t>
      </w:r>
      <w:proofErr w:type="spellEnd"/>
      <w:r w:rsidRPr="005F6CB2">
        <w:rPr>
          <w:rFonts w:ascii="Arial" w:hAnsi="Arial" w:cs="Arial"/>
          <w:lang w:val="mk-MK"/>
        </w:rPr>
        <w:t xml:space="preserve"> </w:t>
      </w:r>
      <w:proofErr w:type="spellStart"/>
      <w:r w:rsidRPr="005F6CB2">
        <w:rPr>
          <w:rFonts w:ascii="Arial" w:hAnsi="Arial" w:cs="Arial"/>
          <w:lang w:val="mk-MK"/>
        </w:rPr>
        <w:t>is</w:t>
      </w:r>
      <w:proofErr w:type="spellEnd"/>
      <w:r w:rsidRPr="005F6CB2">
        <w:rPr>
          <w:rFonts w:ascii="Arial" w:hAnsi="Arial" w:cs="Arial"/>
          <w:lang w:val="mk-MK"/>
        </w:rPr>
        <w:t xml:space="preserve"> </w:t>
      </w:r>
      <w:proofErr w:type="spellStart"/>
      <w:r w:rsidRPr="005F6CB2">
        <w:rPr>
          <w:rFonts w:ascii="Arial" w:hAnsi="Arial" w:cs="Arial"/>
          <w:lang w:val="mk-MK"/>
        </w:rPr>
        <w:t>impaired</w:t>
      </w:r>
      <w:proofErr w:type="spellEnd"/>
      <w:r w:rsidRPr="005F6CB2">
        <w:rPr>
          <w:rFonts w:ascii="Arial" w:hAnsi="Arial" w:cs="Arial"/>
          <w:lang w:val="mk-MK"/>
        </w:rPr>
        <w:t xml:space="preserve">. A </w:t>
      </w:r>
      <w:proofErr w:type="spellStart"/>
      <w:r w:rsidRPr="005F6CB2">
        <w:rPr>
          <w:rFonts w:ascii="Arial" w:hAnsi="Arial" w:cs="Arial"/>
          <w:lang w:val="mk-MK"/>
        </w:rPr>
        <w:t>financial</w:t>
      </w:r>
      <w:proofErr w:type="spellEnd"/>
      <w:r w:rsidRPr="005F6CB2">
        <w:rPr>
          <w:rFonts w:ascii="Arial" w:hAnsi="Arial" w:cs="Arial"/>
          <w:lang w:val="mk-MK"/>
        </w:rPr>
        <w:t xml:space="preserve"> </w:t>
      </w:r>
      <w:proofErr w:type="spellStart"/>
      <w:r w:rsidRPr="005F6CB2">
        <w:rPr>
          <w:rFonts w:ascii="Arial" w:hAnsi="Arial" w:cs="Arial"/>
          <w:lang w:val="mk-MK"/>
        </w:rPr>
        <w:t>asset</w:t>
      </w:r>
      <w:proofErr w:type="spellEnd"/>
      <w:r w:rsidRPr="005F6CB2">
        <w:rPr>
          <w:rFonts w:ascii="Arial" w:hAnsi="Arial" w:cs="Arial"/>
          <w:lang w:val="mk-MK"/>
        </w:rPr>
        <w:t xml:space="preserve"> </w:t>
      </w:r>
      <w:proofErr w:type="spellStart"/>
      <w:r w:rsidRPr="005F6CB2">
        <w:rPr>
          <w:rFonts w:ascii="Arial" w:hAnsi="Arial" w:cs="Arial"/>
          <w:lang w:val="mk-MK"/>
        </w:rPr>
        <w:t>or</w:t>
      </w:r>
      <w:proofErr w:type="spellEnd"/>
      <w:r w:rsidRPr="005F6CB2">
        <w:rPr>
          <w:rFonts w:ascii="Arial" w:hAnsi="Arial" w:cs="Arial"/>
          <w:lang w:val="mk-MK"/>
        </w:rPr>
        <w:t xml:space="preserve"> a </w:t>
      </w:r>
      <w:proofErr w:type="spellStart"/>
      <w:r w:rsidRPr="005F6CB2">
        <w:rPr>
          <w:rFonts w:ascii="Arial" w:hAnsi="Arial" w:cs="Arial"/>
          <w:lang w:val="mk-MK"/>
        </w:rPr>
        <w:t>group</w:t>
      </w:r>
      <w:proofErr w:type="spellEnd"/>
      <w:r w:rsidRPr="005F6CB2">
        <w:rPr>
          <w:rFonts w:ascii="Arial" w:hAnsi="Arial" w:cs="Arial"/>
          <w:lang w:val="mk-MK"/>
        </w:rPr>
        <w:t xml:space="preserve"> </w:t>
      </w:r>
      <w:proofErr w:type="spellStart"/>
      <w:r w:rsidRPr="005F6CB2">
        <w:rPr>
          <w:rFonts w:ascii="Arial" w:hAnsi="Arial" w:cs="Arial"/>
          <w:lang w:val="mk-MK"/>
        </w:rPr>
        <w:t>of</w:t>
      </w:r>
      <w:proofErr w:type="spellEnd"/>
      <w:r w:rsidRPr="005F6CB2">
        <w:rPr>
          <w:rFonts w:ascii="Arial" w:hAnsi="Arial" w:cs="Arial"/>
          <w:lang w:val="mk-MK"/>
        </w:rPr>
        <w:t xml:space="preserve"> </w:t>
      </w:r>
      <w:proofErr w:type="spellStart"/>
      <w:r w:rsidRPr="005F6CB2">
        <w:rPr>
          <w:rFonts w:ascii="Arial" w:hAnsi="Arial" w:cs="Arial"/>
          <w:lang w:val="mk-MK"/>
        </w:rPr>
        <w:t>financial</w:t>
      </w:r>
      <w:proofErr w:type="spellEnd"/>
      <w:r w:rsidRPr="005F6CB2">
        <w:rPr>
          <w:rFonts w:ascii="Arial" w:hAnsi="Arial" w:cs="Arial"/>
          <w:lang w:val="mk-MK"/>
        </w:rPr>
        <w:t xml:space="preserve"> </w:t>
      </w:r>
      <w:proofErr w:type="spellStart"/>
      <w:r w:rsidRPr="005F6CB2">
        <w:rPr>
          <w:rFonts w:ascii="Arial" w:hAnsi="Arial" w:cs="Arial"/>
          <w:lang w:val="mk-MK"/>
        </w:rPr>
        <w:t>assets</w:t>
      </w:r>
      <w:proofErr w:type="spellEnd"/>
      <w:r w:rsidRPr="005F6CB2">
        <w:rPr>
          <w:rFonts w:ascii="Arial" w:hAnsi="Arial" w:cs="Arial"/>
          <w:lang w:val="mk-MK"/>
        </w:rPr>
        <w:t xml:space="preserve"> </w:t>
      </w:r>
      <w:proofErr w:type="spellStart"/>
      <w:r w:rsidRPr="005F6CB2">
        <w:rPr>
          <w:rFonts w:ascii="Arial" w:hAnsi="Arial" w:cs="Arial"/>
          <w:lang w:val="mk-MK"/>
        </w:rPr>
        <w:t>is</w:t>
      </w:r>
      <w:proofErr w:type="spellEnd"/>
      <w:r w:rsidRPr="005F6CB2">
        <w:rPr>
          <w:rFonts w:ascii="Arial" w:hAnsi="Arial" w:cs="Arial"/>
          <w:lang w:val="mk-MK"/>
        </w:rPr>
        <w:t xml:space="preserve"> </w:t>
      </w:r>
      <w:proofErr w:type="spellStart"/>
      <w:r w:rsidRPr="005F6CB2">
        <w:rPr>
          <w:rFonts w:ascii="Arial" w:hAnsi="Arial" w:cs="Arial"/>
          <w:lang w:val="mk-MK"/>
        </w:rPr>
        <w:t>impaired</w:t>
      </w:r>
      <w:proofErr w:type="spellEnd"/>
      <w:r w:rsidRPr="005F6CB2">
        <w:rPr>
          <w:rFonts w:ascii="Arial" w:hAnsi="Arial" w:cs="Arial"/>
          <w:lang w:val="mk-MK"/>
        </w:rPr>
        <w:t xml:space="preserve"> </w:t>
      </w:r>
      <w:proofErr w:type="spellStart"/>
      <w:r w:rsidRPr="005F6CB2">
        <w:rPr>
          <w:rFonts w:ascii="Arial" w:hAnsi="Arial" w:cs="Arial"/>
          <w:lang w:val="mk-MK"/>
        </w:rPr>
        <w:t>and</w:t>
      </w:r>
      <w:proofErr w:type="spellEnd"/>
      <w:r w:rsidRPr="005F6CB2">
        <w:rPr>
          <w:rFonts w:ascii="Arial" w:hAnsi="Arial" w:cs="Arial"/>
          <w:lang w:val="mk-MK"/>
        </w:rPr>
        <w:t xml:space="preserve"> </w:t>
      </w:r>
      <w:proofErr w:type="spellStart"/>
      <w:r w:rsidRPr="005F6CB2">
        <w:rPr>
          <w:rFonts w:ascii="Arial" w:hAnsi="Arial" w:cs="Arial"/>
          <w:lang w:val="mk-MK"/>
        </w:rPr>
        <w:t>impairment</w:t>
      </w:r>
      <w:proofErr w:type="spellEnd"/>
      <w:r w:rsidRPr="005F6CB2">
        <w:rPr>
          <w:rFonts w:ascii="Arial" w:hAnsi="Arial" w:cs="Arial"/>
          <w:lang w:val="mk-MK"/>
        </w:rPr>
        <w:t xml:space="preserve"> </w:t>
      </w:r>
      <w:proofErr w:type="spellStart"/>
      <w:r w:rsidRPr="005F6CB2">
        <w:rPr>
          <w:rFonts w:ascii="Arial" w:hAnsi="Arial" w:cs="Arial"/>
          <w:lang w:val="mk-MK"/>
        </w:rPr>
        <w:t>losses</w:t>
      </w:r>
      <w:proofErr w:type="spellEnd"/>
      <w:r w:rsidRPr="005F6CB2">
        <w:rPr>
          <w:rFonts w:ascii="Arial" w:hAnsi="Arial" w:cs="Arial"/>
          <w:lang w:val="mk-MK"/>
        </w:rPr>
        <w:t xml:space="preserve"> </w:t>
      </w:r>
      <w:proofErr w:type="spellStart"/>
      <w:r w:rsidRPr="005F6CB2">
        <w:rPr>
          <w:rFonts w:ascii="Arial" w:hAnsi="Arial" w:cs="Arial"/>
          <w:lang w:val="mk-MK"/>
        </w:rPr>
        <w:t>are</w:t>
      </w:r>
      <w:proofErr w:type="spellEnd"/>
      <w:r w:rsidRPr="005F6CB2">
        <w:rPr>
          <w:rFonts w:ascii="Arial" w:hAnsi="Arial" w:cs="Arial"/>
          <w:lang w:val="mk-MK"/>
        </w:rPr>
        <w:t xml:space="preserve"> </w:t>
      </w:r>
      <w:proofErr w:type="spellStart"/>
      <w:r w:rsidRPr="005F6CB2">
        <w:rPr>
          <w:rFonts w:ascii="Arial" w:hAnsi="Arial" w:cs="Arial"/>
          <w:lang w:val="mk-MK"/>
        </w:rPr>
        <w:t>incurred</w:t>
      </w:r>
      <w:proofErr w:type="spellEnd"/>
      <w:r w:rsidRPr="005F6CB2">
        <w:rPr>
          <w:rFonts w:ascii="Arial" w:hAnsi="Arial" w:cs="Arial"/>
          <w:lang w:val="mk-MK"/>
        </w:rPr>
        <w:t xml:space="preserve"> </w:t>
      </w:r>
      <w:proofErr w:type="spellStart"/>
      <w:r w:rsidRPr="005F6CB2">
        <w:rPr>
          <w:rFonts w:ascii="Arial" w:hAnsi="Arial" w:cs="Arial"/>
          <w:lang w:val="mk-MK"/>
        </w:rPr>
        <w:t>only</w:t>
      </w:r>
      <w:proofErr w:type="spellEnd"/>
      <w:r w:rsidRPr="005F6CB2">
        <w:rPr>
          <w:rFonts w:ascii="Arial" w:hAnsi="Arial" w:cs="Arial"/>
          <w:lang w:val="mk-MK"/>
        </w:rPr>
        <w:t xml:space="preserve"> </w:t>
      </w:r>
      <w:proofErr w:type="spellStart"/>
      <w:r w:rsidRPr="005F6CB2">
        <w:rPr>
          <w:rFonts w:ascii="Arial" w:hAnsi="Arial" w:cs="Arial"/>
          <w:lang w:val="mk-MK"/>
        </w:rPr>
        <w:t>if</w:t>
      </w:r>
      <w:proofErr w:type="spellEnd"/>
      <w:r w:rsidRPr="005F6CB2">
        <w:rPr>
          <w:rFonts w:ascii="Arial" w:hAnsi="Arial" w:cs="Arial"/>
          <w:lang w:val="mk-MK"/>
        </w:rPr>
        <w:t xml:space="preserve"> </w:t>
      </w:r>
      <w:proofErr w:type="spellStart"/>
      <w:r w:rsidRPr="005F6CB2">
        <w:rPr>
          <w:rFonts w:ascii="Arial" w:hAnsi="Arial" w:cs="Arial"/>
          <w:lang w:val="mk-MK"/>
        </w:rPr>
        <w:t>there</w:t>
      </w:r>
      <w:proofErr w:type="spellEnd"/>
      <w:r w:rsidRPr="005F6CB2">
        <w:rPr>
          <w:rFonts w:ascii="Arial" w:hAnsi="Arial" w:cs="Arial"/>
          <w:lang w:val="mk-MK"/>
        </w:rPr>
        <w:t xml:space="preserve"> </w:t>
      </w:r>
      <w:proofErr w:type="spellStart"/>
      <w:r w:rsidRPr="005F6CB2">
        <w:rPr>
          <w:rFonts w:ascii="Arial" w:hAnsi="Arial" w:cs="Arial"/>
          <w:lang w:val="mk-MK"/>
        </w:rPr>
        <w:t>is</w:t>
      </w:r>
      <w:proofErr w:type="spellEnd"/>
      <w:r w:rsidRPr="005F6CB2">
        <w:rPr>
          <w:rFonts w:ascii="Arial" w:hAnsi="Arial" w:cs="Arial"/>
          <w:lang w:val="mk-MK"/>
        </w:rPr>
        <w:t xml:space="preserve"> </w:t>
      </w:r>
      <w:proofErr w:type="spellStart"/>
      <w:r w:rsidRPr="005F6CB2">
        <w:rPr>
          <w:rFonts w:ascii="Arial" w:hAnsi="Arial" w:cs="Arial"/>
          <w:lang w:val="mk-MK"/>
        </w:rPr>
        <w:t>objective</w:t>
      </w:r>
      <w:proofErr w:type="spellEnd"/>
      <w:r w:rsidRPr="005F6CB2">
        <w:rPr>
          <w:rFonts w:ascii="Arial" w:hAnsi="Arial" w:cs="Arial"/>
          <w:lang w:val="mk-MK"/>
        </w:rPr>
        <w:t xml:space="preserve"> </w:t>
      </w:r>
      <w:proofErr w:type="spellStart"/>
      <w:r w:rsidRPr="005F6CB2">
        <w:rPr>
          <w:rFonts w:ascii="Arial" w:hAnsi="Arial" w:cs="Arial"/>
          <w:lang w:val="mk-MK"/>
        </w:rPr>
        <w:t>evidence</w:t>
      </w:r>
      <w:proofErr w:type="spellEnd"/>
      <w:r w:rsidRPr="005F6CB2">
        <w:rPr>
          <w:rFonts w:ascii="Arial" w:hAnsi="Arial" w:cs="Arial"/>
          <w:lang w:val="mk-MK"/>
        </w:rPr>
        <w:t xml:space="preserve"> </w:t>
      </w:r>
      <w:proofErr w:type="spellStart"/>
      <w:r w:rsidRPr="005F6CB2">
        <w:rPr>
          <w:rFonts w:ascii="Arial" w:hAnsi="Arial" w:cs="Arial"/>
          <w:lang w:val="mk-MK"/>
        </w:rPr>
        <w:t>of</w:t>
      </w:r>
      <w:proofErr w:type="spellEnd"/>
      <w:r w:rsidRPr="005F6CB2">
        <w:rPr>
          <w:rFonts w:ascii="Arial" w:hAnsi="Arial" w:cs="Arial"/>
          <w:lang w:val="mk-MK"/>
        </w:rPr>
        <w:t xml:space="preserve"> </w:t>
      </w:r>
      <w:proofErr w:type="spellStart"/>
      <w:r w:rsidRPr="005F6CB2">
        <w:rPr>
          <w:rFonts w:ascii="Arial" w:hAnsi="Arial" w:cs="Arial"/>
          <w:lang w:val="mk-MK"/>
        </w:rPr>
        <w:t>impairment</w:t>
      </w:r>
      <w:proofErr w:type="spellEnd"/>
      <w:r w:rsidRPr="005F6CB2">
        <w:rPr>
          <w:rFonts w:ascii="Arial" w:hAnsi="Arial" w:cs="Arial"/>
          <w:lang w:val="mk-MK"/>
        </w:rPr>
        <w:t xml:space="preserve"> </w:t>
      </w:r>
      <w:proofErr w:type="spellStart"/>
      <w:r w:rsidRPr="005F6CB2">
        <w:rPr>
          <w:rFonts w:ascii="Arial" w:hAnsi="Arial" w:cs="Arial"/>
          <w:lang w:val="mk-MK"/>
        </w:rPr>
        <w:t>as</w:t>
      </w:r>
      <w:proofErr w:type="spellEnd"/>
      <w:r w:rsidRPr="005F6CB2">
        <w:rPr>
          <w:rFonts w:ascii="Arial" w:hAnsi="Arial" w:cs="Arial"/>
          <w:lang w:val="mk-MK"/>
        </w:rPr>
        <w:t xml:space="preserve"> a </w:t>
      </w:r>
      <w:proofErr w:type="spellStart"/>
      <w:r w:rsidRPr="005F6CB2">
        <w:rPr>
          <w:rFonts w:ascii="Arial" w:hAnsi="Arial" w:cs="Arial"/>
          <w:lang w:val="mk-MK"/>
        </w:rPr>
        <w:t>result</w:t>
      </w:r>
      <w:proofErr w:type="spellEnd"/>
      <w:r w:rsidRPr="005F6CB2">
        <w:rPr>
          <w:rFonts w:ascii="Arial" w:hAnsi="Arial" w:cs="Arial"/>
          <w:lang w:val="mk-MK"/>
        </w:rPr>
        <w:t xml:space="preserve"> </w:t>
      </w:r>
      <w:proofErr w:type="spellStart"/>
      <w:r w:rsidRPr="005F6CB2">
        <w:rPr>
          <w:rFonts w:ascii="Arial" w:hAnsi="Arial" w:cs="Arial"/>
          <w:lang w:val="mk-MK"/>
        </w:rPr>
        <w:t>of</w:t>
      </w:r>
      <w:proofErr w:type="spellEnd"/>
      <w:r w:rsidRPr="005F6CB2">
        <w:rPr>
          <w:rFonts w:ascii="Arial" w:hAnsi="Arial" w:cs="Arial"/>
          <w:lang w:val="mk-MK"/>
        </w:rPr>
        <w:t xml:space="preserve"> </w:t>
      </w:r>
      <w:proofErr w:type="spellStart"/>
      <w:r w:rsidRPr="005F6CB2">
        <w:rPr>
          <w:rFonts w:ascii="Arial" w:hAnsi="Arial" w:cs="Arial"/>
          <w:lang w:val="mk-MK"/>
        </w:rPr>
        <w:t>one</w:t>
      </w:r>
      <w:proofErr w:type="spellEnd"/>
      <w:r w:rsidRPr="005F6CB2">
        <w:rPr>
          <w:rFonts w:ascii="Arial" w:hAnsi="Arial" w:cs="Arial"/>
          <w:lang w:val="mk-MK"/>
        </w:rPr>
        <w:t xml:space="preserve"> </w:t>
      </w:r>
      <w:proofErr w:type="spellStart"/>
      <w:r w:rsidRPr="005F6CB2">
        <w:rPr>
          <w:rFonts w:ascii="Arial" w:hAnsi="Arial" w:cs="Arial"/>
          <w:lang w:val="mk-MK"/>
        </w:rPr>
        <w:t>or</w:t>
      </w:r>
      <w:proofErr w:type="spellEnd"/>
      <w:r w:rsidRPr="005F6CB2">
        <w:rPr>
          <w:rFonts w:ascii="Arial" w:hAnsi="Arial" w:cs="Arial"/>
          <w:lang w:val="mk-MK"/>
        </w:rPr>
        <w:t xml:space="preserve"> </w:t>
      </w:r>
      <w:proofErr w:type="spellStart"/>
      <w:r w:rsidRPr="005F6CB2">
        <w:rPr>
          <w:rFonts w:ascii="Arial" w:hAnsi="Arial" w:cs="Arial"/>
          <w:lang w:val="mk-MK"/>
        </w:rPr>
        <w:t>more</w:t>
      </w:r>
      <w:proofErr w:type="spellEnd"/>
      <w:r w:rsidRPr="005F6CB2">
        <w:rPr>
          <w:rFonts w:ascii="Arial" w:hAnsi="Arial" w:cs="Arial"/>
          <w:lang w:val="mk-MK"/>
        </w:rPr>
        <w:t xml:space="preserve"> </w:t>
      </w:r>
      <w:proofErr w:type="spellStart"/>
      <w:r w:rsidRPr="005F6CB2">
        <w:rPr>
          <w:rFonts w:ascii="Arial" w:hAnsi="Arial" w:cs="Arial"/>
          <w:lang w:val="mk-MK"/>
        </w:rPr>
        <w:t>events</w:t>
      </w:r>
      <w:proofErr w:type="spellEnd"/>
      <w:r w:rsidRPr="005F6CB2">
        <w:rPr>
          <w:rFonts w:ascii="Arial" w:hAnsi="Arial" w:cs="Arial"/>
          <w:lang w:val="mk-MK"/>
        </w:rPr>
        <w:t xml:space="preserve"> </w:t>
      </w:r>
      <w:proofErr w:type="spellStart"/>
      <w:r w:rsidRPr="005F6CB2">
        <w:rPr>
          <w:rFonts w:ascii="Arial" w:hAnsi="Arial" w:cs="Arial"/>
          <w:lang w:val="mk-MK"/>
        </w:rPr>
        <w:t>that</w:t>
      </w:r>
      <w:proofErr w:type="spellEnd"/>
      <w:r w:rsidRPr="005F6CB2">
        <w:rPr>
          <w:rFonts w:ascii="Arial" w:hAnsi="Arial" w:cs="Arial"/>
          <w:lang w:val="mk-MK"/>
        </w:rPr>
        <w:t xml:space="preserve"> </w:t>
      </w:r>
      <w:proofErr w:type="spellStart"/>
      <w:r w:rsidRPr="005F6CB2">
        <w:rPr>
          <w:rFonts w:ascii="Arial" w:hAnsi="Arial" w:cs="Arial"/>
          <w:lang w:val="mk-MK"/>
        </w:rPr>
        <w:t>occurred</w:t>
      </w:r>
      <w:proofErr w:type="spellEnd"/>
      <w:r w:rsidRPr="005F6CB2">
        <w:rPr>
          <w:rFonts w:ascii="Arial" w:hAnsi="Arial" w:cs="Arial"/>
          <w:lang w:val="mk-MK"/>
        </w:rPr>
        <w:t xml:space="preserve"> </w:t>
      </w:r>
      <w:proofErr w:type="spellStart"/>
      <w:r w:rsidRPr="005F6CB2">
        <w:rPr>
          <w:rFonts w:ascii="Arial" w:hAnsi="Arial" w:cs="Arial"/>
          <w:lang w:val="mk-MK"/>
        </w:rPr>
        <w:t>after</w:t>
      </w:r>
      <w:proofErr w:type="spellEnd"/>
      <w:r w:rsidRPr="005F6CB2">
        <w:rPr>
          <w:rFonts w:ascii="Arial" w:hAnsi="Arial" w:cs="Arial"/>
          <w:lang w:val="mk-MK"/>
        </w:rPr>
        <w:t xml:space="preserve"> </w:t>
      </w:r>
      <w:proofErr w:type="spellStart"/>
      <w:r w:rsidRPr="005F6CB2">
        <w:rPr>
          <w:rFonts w:ascii="Arial" w:hAnsi="Arial" w:cs="Arial"/>
          <w:lang w:val="mk-MK"/>
        </w:rPr>
        <w:t>the</w:t>
      </w:r>
      <w:proofErr w:type="spellEnd"/>
      <w:r w:rsidRPr="005F6CB2">
        <w:rPr>
          <w:rFonts w:ascii="Arial" w:hAnsi="Arial" w:cs="Arial"/>
          <w:lang w:val="mk-MK"/>
        </w:rPr>
        <w:t xml:space="preserve"> </w:t>
      </w:r>
      <w:proofErr w:type="spellStart"/>
      <w:r w:rsidRPr="005F6CB2">
        <w:rPr>
          <w:rFonts w:ascii="Arial" w:hAnsi="Arial" w:cs="Arial"/>
          <w:lang w:val="mk-MK"/>
        </w:rPr>
        <w:t>initial</w:t>
      </w:r>
      <w:proofErr w:type="spellEnd"/>
      <w:r w:rsidRPr="005F6CB2">
        <w:rPr>
          <w:rFonts w:ascii="Arial" w:hAnsi="Arial" w:cs="Arial"/>
          <w:lang w:val="mk-MK"/>
        </w:rPr>
        <w:t xml:space="preserve"> </w:t>
      </w:r>
      <w:proofErr w:type="spellStart"/>
      <w:r w:rsidRPr="005F6CB2">
        <w:rPr>
          <w:rFonts w:ascii="Arial" w:hAnsi="Arial" w:cs="Arial"/>
          <w:lang w:val="mk-MK"/>
        </w:rPr>
        <w:t>recognition</w:t>
      </w:r>
      <w:proofErr w:type="spellEnd"/>
      <w:r w:rsidRPr="005F6CB2">
        <w:rPr>
          <w:rFonts w:ascii="Arial" w:hAnsi="Arial" w:cs="Arial"/>
          <w:lang w:val="mk-MK"/>
        </w:rPr>
        <w:t xml:space="preserve"> </w:t>
      </w:r>
      <w:proofErr w:type="spellStart"/>
      <w:r w:rsidRPr="005F6CB2">
        <w:rPr>
          <w:rFonts w:ascii="Arial" w:hAnsi="Arial" w:cs="Arial"/>
          <w:lang w:val="mk-MK"/>
        </w:rPr>
        <w:t>of</w:t>
      </w:r>
      <w:proofErr w:type="spellEnd"/>
      <w:r w:rsidRPr="005F6CB2">
        <w:rPr>
          <w:rFonts w:ascii="Arial" w:hAnsi="Arial" w:cs="Arial"/>
          <w:lang w:val="mk-MK"/>
        </w:rPr>
        <w:t xml:space="preserve"> </w:t>
      </w:r>
      <w:proofErr w:type="spellStart"/>
      <w:r w:rsidRPr="005F6CB2">
        <w:rPr>
          <w:rFonts w:ascii="Arial" w:hAnsi="Arial" w:cs="Arial"/>
          <w:lang w:val="mk-MK"/>
        </w:rPr>
        <w:t>the</w:t>
      </w:r>
      <w:proofErr w:type="spellEnd"/>
      <w:r w:rsidRPr="005F6CB2">
        <w:rPr>
          <w:rFonts w:ascii="Arial" w:hAnsi="Arial" w:cs="Arial"/>
          <w:lang w:val="mk-MK"/>
        </w:rPr>
        <w:t xml:space="preserve"> </w:t>
      </w:r>
      <w:proofErr w:type="spellStart"/>
      <w:r w:rsidRPr="005F6CB2">
        <w:rPr>
          <w:rFonts w:ascii="Arial" w:hAnsi="Arial" w:cs="Arial"/>
          <w:lang w:val="mk-MK"/>
        </w:rPr>
        <w:t>asset</w:t>
      </w:r>
      <w:proofErr w:type="spellEnd"/>
      <w:r w:rsidRPr="005F6CB2">
        <w:rPr>
          <w:rFonts w:ascii="Arial" w:hAnsi="Arial" w:cs="Arial"/>
          <w:lang w:val="mk-MK"/>
        </w:rPr>
        <w:t xml:space="preserve"> (a ‘</w:t>
      </w:r>
      <w:proofErr w:type="spellStart"/>
      <w:r w:rsidRPr="005F6CB2">
        <w:rPr>
          <w:rFonts w:ascii="Arial" w:hAnsi="Arial" w:cs="Arial"/>
          <w:lang w:val="mk-MK"/>
        </w:rPr>
        <w:t>loss</w:t>
      </w:r>
      <w:proofErr w:type="spellEnd"/>
      <w:r w:rsidRPr="005F6CB2">
        <w:rPr>
          <w:rFonts w:ascii="Arial" w:hAnsi="Arial" w:cs="Arial"/>
          <w:lang w:val="mk-MK"/>
        </w:rPr>
        <w:t xml:space="preserve"> </w:t>
      </w:r>
      <w:proofErr w:type="spellStart"/>
      <w:r w:rsidRPr="005F6CB2">
        <w:rPr>
          <w:rFonts w:ascii="Arial" w:hAnsi="Arial" w:cs="Arial"/>
          <w:lang w:val="mk-MK"/>
        </w:rPr>
        <w:t>event</w:t>
      </w:r>
      <w:proofErr w:type="spellEnd"/>
      <w:r w:rsidRPr="005F6CB2">
        <w:rPr>
          <w:rFonts w:ascii="Arial" w:hAnsi="Arial" w:cs="Arial"/>
          <w:lang w:val="mk-MK"/>
        </w:rPr>
        <w:t xml:space="preserve">’) </w:t>
      </w:r>
      <w:proofErr w:type="spellStart"/>
      <w:r w:rsidRPr="005F6CB2">
        <w:rPr>
          <w:rFonts w:ascii="Arial" w:hAnsi="Arial" w:cs="Arial"/>
          <w:lang w:val="mk-MK"/>
        </w:rPr>
        <w:t>and</w:t>
      </w:r>
      <w:proofErr w:type="spellEnd"/>
      <w:r w:rsidRPr="005F6CB2">
        <w:rPr>
          <w:rFonts w:ascii="Arial" w:hAnsi="Arial" w:cs="Arial"/>
          <w:lang w:val="mk-MK"/>
        </w:rPr>
        <w:t xml:space="preserve"> </w:t>
      </w:r>
      <w:proofErr w:type="spellStart"/>
      <w:r w:rsidRPr="005F6CB2">
        <w:rPr>
          <w:rFonts w:ascii="Arial" w:hAnsi="Arial" w:cs="Arial"/>
          <w:lang w:val="mk-MK"/>
        </w:rPr>
        <w:t>that</w:t>
      </w:r>
      <w:proofErr w:type="spellEnd"/>
      <w:r w:rsidRPr="005F6CB2">
        <w:rPr>
          <w:rFonts w:ascii="Arial" w:hAnsi="Arial" w:cs="Arial"/>
          <w:lang w:val="mk-MK"/>
        </w:rPr>
        <w:t xml:space="preserve"> </w:t>
      </w:r>
      <w:proofErr w:type="spellStart"/>
      <w:r w:rsidRPr="005F6CB2">
        <w:rPr>
          <w:rFonts w:ascii="Arial" w:hAnsi="Arial" w:cs="Arial"/>
          <w:lang w:val="mk-MK"/>
        </w:rPr>
        <w:t>loss</w:t>
      </w:r>
      <w:proofErr w:type="spellEnd"/>
      <w:r w:rsidRPr="005F6CB2">
        <w:rPr>
          <w:rFonts w:ascii="Arial" w:hAnsi="Arial" w:cs="Arial"/>
          <w:lang w:val="mk-MK"/>
        </w:rPr>
        <w:t xml:space="preserve"> </w:t>
      </w:r>
      <w:proofErr w:type="spellStart"/>
      <w:r w:rsidRPr="005F6CB2">
        <w:rPr>
          <w:rFonts w:ascii="Arial" w:hAnsi="Arial" w:cs="Arial"/>
          <w:lang w:val="mk-MK"/>
        </w:rPr>
        <w:t>event</w:t>
      </w:r>
      <w:proofErr w:type="spellEnd"/>
      <w:r w:rsidRPr="005F6CB2">
        <w:rPr>
          <w:rFonts w:ascii="Arial" w:hAnsi="Arial" w:cs="Arial"/>
          <w:lang w:val="mk-MK"/>
        </w:rPr>
        <w:t xml:space="preserve"> (</w:t>
      </w:r>
      <w:proofErr w:type="spellStart"/>
      <w:r w:rsidRPr="005F6CB2">
        <w:rPr>
          <w:rFonts w:ascii="Arial" w:hAnsi="Arial" w:cs="Arial"/>
          <w:lang w:val="mk-MK"/>
        </w:rPr>
        <w:t>or</w:t>
      </w:r>
      <w:proofErr w:type="spellEnd"/>
      <w:r w:rsidRPr="005F6CB2">
        <w:rPr>
          <w:rFonts w:ascii="Arial" w:hAnsi="Arial" w:cs="Arial"/>
          <w:lang w:val="mk-MK"/>
        </w:rPr>
        <w:t xml:space="preserve"> </w:t>
      </w:r>
      <w:proofErr w:type="spellStart"/>
      <w:r w:rsidRPr="005F6CB2">
        <w:rPr>
          <w:rFonts w:ascii="Arial" w:hAnsi="Arial" w:cs="Arial"/>
          <w:lang w:val="mk-MK"/>
        </w:rPr>
        <w:t>events</w:t>
      </w:r>
      <w:proofErr w:type="spellEnd"/>
      <w:r w:rsidRPr="005F6CB2">
        <w:rPr>
          <w:rFonts w:ascii="Arial" w:hAnsi="Arial" w:cs="Arial"/>
          <w:lang w:val="mk-MK"/>
        </w:rPr>
        <w:t xml:space="preserve">) </w:t>
      </w:r>
      <w:proofErr w:type="spellStart"/>
      <w:r w:rsidRPr="005F6CB2">
        <w:rPr>
          <w:rFonts w:ascii="Arial" w:hAnsi="Arial" w:cs="Arial"/>
          <w:lang w:val="mk-MK"/>
        </w:rPr>
        <w:t>has</w:t>
      </w:r>
      <w:proofErr w:type="spellEnd"/>
      <w:r w:rsidRPr="005F6CB2">
        <w:rPr>
          <w:rFonts w:ascii="Arial" w:hAnsi="Arial" w:cs="Arial"/>
          <w:lang w:val="mk-MK"/>
        </w:rPr>
        <w:t xml:space="preserve"> </w:t>
      </w:r>
      <w:proofErr w:type="spellStart"/>
      <w:r w:rsidRPr="005F6CB2">
        <w:rPr>
          <w:rFonts w:ascii="Arial" w:hAnsi="Arial" w:cs="Arial"/>
          <w:lang w:val="mk-MK"/>
        </w:rPr>
        <w:t>an</w:t>
      </w:r>
      <w:proofErr w:type="spellEnd"/>
      <w:r w:rsidRPr="005F6CB2">
        <w:rPr>
          <w:rFonts w:ascii="Arial" w:hAnsi="Arial" w:cs="Arial"/>
          <w:lang w:val="mk-MK"/>
        </w:rPr>
        <w:t xml:space="preserve"> </w:t>
      </w:r>
      <w:proofErr w:type="spellStart"/>
      <w:r w:rsidRPr="005F6CB2">
        <w:rPr>
          <w:rFonts w:ascii="Arial" w:hAnsi="Arial" w:cs="Arial"/>
          <w:lang w:val="mk-MK"/>
        </w:rPr>
        <w:t>impact</w:t>
      </w:r>
      <w:proofErr w:type="spellEnd"/>
      <w:r w:rsidRPr="005F6CB2">
        <w:rPr>
          <w:rFonts w:ascii="Arial" w:hAnsi="Arial" w:cs="Arial"/>
          <w:lang w:val="mk-MK"/>
        </w:rPr>
        <w:t xml:space="preserve"> </w:t>
      </w:r>
      <w:proofErr w:type="spellStart"/>
      <w:r w:rsidRPr="005F6CB2">
        <w:rPr>
          <w:rFonts w:ascii="Arial" w:hAnsi="Arial" w:cs="Arial"/>
          <w:lang w:val="mk-MK"/>
        </w:rPr>
        <w:t>on</w:t>
      </w:r>
      <w:proofErr w:type="spellEnd"/>
      <w:r w:rsidRPr="005F6CB2">
        <w:rPr>
          <w:rFonts w:ascii="Arial" w:hAnsi="Arial" w:cs="Arial"/>
          <w:lang w:val="mk-MK"/>
        </w:rPr>
        <w:t xml:space="preserve"> </w:t>
      </w:r>
      <w:proofErr w:type="spellStart"/>
      <w:r w:rsidRPr="005F6CB2">
        <w:rPr>
          <w:rFonts w:ascii="Arial" w:hAnsi="Arial" w:cs="Arial"/>
          <w:lang w:val="mk-MK"/>
        </w:rPr>
        <w:t>the</w:t>
      </w:r>
      <w:proofErr w:type="spellEnd"/>
      <w:r w:rsidRPr="005F6CB2">
        <w:rPr>
          <w:rFonts w:ascii="Arial" w:hAnsi="Arial" w:cs="Arial"/>
          <w:lang w:val="mk-MK"/>
        </w:rPr>
        <w:t xml:space="preserve"> </w:t>
      </w:r>
      <w:proofErr w:type="spellStart"/>
      <w:r w:rsidRPr="005F6CB2">
        <w:rPr>
          <w:rFonts w:ascii="Arial" w:hAnsi="Arial" w:cs="Arial"/>
          <w:lang w:val="mk-MK"/>
        </w:rPr>
        <w:t>estimated</w:t>
      </w:r>
      <w:proofErr w:type="spellEnd"/>
      <w:r w:rsidRPr="005F6CB2">
        <w:rPr>
          <w:rFonts w:ascii="Arial" w:hAnsi="Arial" w:cs="Arial"/>
          <w:lang w:val="mk-MK"/>
        </w:rPr>
        <w:t xml:space="preserve"> </w:t>
      </w:r>
      <w:proofErr w:type="spellStart"/>
      <w:r w:rsidRPr="005F6CB2">
        <w:rPr>
          <w:rFonts w:ascii="Arial" w:hAnsi="Arial" w:cs="Arial"/>
          <w:lang w:val="mk-MK"/>
        </w:rPr>
        <w:t>future</w:t>
      </w:r>
      <w:proofErr w:type="spellEnd"/>
      <w:r w:rsidRPr="005F6CB2">
        <w:rPr>
          <w:rFonts w:ascii="Arial" w:hAnsi="Arial" w:cs="Arial"/>
          <w:lang w:val="mk-MK"/>
        </w:rPr>
        <w:t xml:space="preserve"> </w:t>
      </w:r>
      <w:proofErr w:type="spellStart"/>
      <w:r w:rsidRPr="005F6CB2">
        <w:rPr>
          <w:rFonts w:ascii="Arial" w:hAnsi="Arial" w:cs="Arial"/>
          <w:lang w:val="mk-MK"/>
        </w:rPr>
        <w:t>cash</w:t>
      </w:r>
      <w:proofErr w:type="spellEnd"/>
      <w:r w:rsidRPr="005F6CB2">
        <w:rPr>
          <w:rFonts w:ascii="Arial" w:hAnsi="Arial" w:cs="Arial"/>
          <w:lang w:val="mk-MK"/>
        </w:rPr>
        <w:t xml:space="preserve"> </w:t>
      </w:r>
      <w:proofErr w:type="spellStart"/>
      <w:r w:rsidRPr="005F6CB2">
        <w:rPr>
          <w:rFonts w:ascii="Arial" w:hAnsi="Arial" w:cs="Arial"/>
          <w:lang w:val="mk-MK"/>
        </w:rPr>
        <w:t>flows</w:t>
      </w:r>
      <w:proofErr w:type="spellEnd"/>
      <w:r w:rsidRPr="005F6CB2">
        <w:rPr>
          <w:rFonts w:ascii="Arial" w:hAnsi="Arial" w:cs="Arial"/>
          <w:lang w:val="mk-MK"/>
        </w:rPr>
        <w:t xml:space="preserve"> </w:t>
      </w:r>
      <w:proofErr w:type="spellStart"/>
      <w:r w:rsidRPr="005F6CB2">
        <w:rPr>
          <w:rFonts w:ascii="Arial" w:hAnsi="Arial" w:cs="Arial"/>
          <w:lang w:val="mk-MK"/>
        </w:rPr>
        <w:t>of</w:t>
      </w:r>
      <w:proofErr w:type="spellEnd"/>
      <w:r w:rsidRPr="005F6CB2">
        <w:rPr>
          <w:rFonts w:ascii="Arial" w:hAnsi="Arial" w:cs="Arial"/>
          <w:lang w:val="mk-MK"/>
        </w:rPr>
        <w:t xml:space="preserve"> </w:t>
      </w:r>
      <w:proofErr w:type="spellStart"/>
      <w:r w:rsidRPr="005F6CB2">
        <w:rPr>
          <w:rFonts w:ascii="Arial" w:hAnsi="Arial" w:cs="Arial"/>
          <w:lang w:val="mk-MK"/>
        </w:rPr>
        <w:t>the</w:t>
      </w:r>
      <w:proofErr w:type="spellEnd"/>
      <w:r w:rsidRPr="005F6CB2">
        <w:rPr>
          <w:rFonts w:ascii="Arial" w:hAnsi="Arial" w:cs="Arial"/>
          <w:lang w:val="mk-MK"/>
        </w:rPr>
        <w:t xml:space="preserve"> </w:t>
      </w:r>
      <w:proofErr w:type="spellStart"/>
      <w:r w:rsidRPr="005F6CB2">
        <w:rPr>
          <w:rFonts w:ascii="Arial" w:hAnsi="Arial" w:cs="Arial"/>
          <w:lang w:val="mk-MK"/>
        </w:rPr>
        <w:t>financial</w:t>
      </w:r>
      <w:proofErr w:type="spellEnd"/>
      <w:r w:rsidRPr="005F6CB2">
        <w:rPr>
          <w:rFonts w:ascii="Arial" w:hAnsi="Arial" w:cs="Arial"/>
          <w:lang w:val="mk-MK"/>
        </w:rPr>
        <w:t xml:space="preserve"> </w:t>
      </w:r>
      <w:proofErr w:type="spellStart"/>
      <w:r w:rsidRPr="005F6CB2">
        <w:rPr>
          <w:rFonts w:ascii="Arial" w:hAnsi="Arial" w:cs="Arial"/>
          <w:lang w:val="mk-MK"/>
        </w:rPr>
        <w:t>asset</w:t>
      </w:r>
      <w:proofErr w:type="spellEnd"/>
      <w:r w:rsidRPr="005F6CB2">
        <w:rPr>
          <w:rFonts w:ascii="Arial" w:hAnsi="Arial" w:cs="Arial"/>
          <w:lang w:val="mk-MK"/>
        </w:rPr>
        <w:t xml:space="preserve"> </w:t>
      </w:r>
      <w:proofErr w:type="spellStart"/>
      <w:r w:rsidRPr="005F6CB2">
        <w:rPr>
          <w:rFonts w:ascii="Arial" w:hAnsi="Arial" w:cs="Arial"/>
          <w:lang w:val="mk-MK"/>
        </w:rPr>
        <w:t>or</w:t>
      </w:r>
      <w:proofErr w:type="spellEnd"/>
      <w:r w:rsidRPr="005F6CB2">
        <w:rPr>
          <w:rFonts w:ascii="Arial" w:hAnsi="Arial" w:cs="Arial"/>
          <w:lang w:val="mk-MK"/>
        </w:rPr>
        <w:t xml:space="preserve"> </w:t>
      </w:r>
      <w:proofErr w:type="spellStart"/>
      <w:r w:rsidRPr="005F6CB2">
        <w:rPr>
          <w:rFonts w:ascii="Arial" w:hAnsi="Arial" w:cs="Arial"/>
          <w:lang w:val="mk-MK"/>
        </w:rPr>
        <w:t>group</w:t>
      </w:r>
      <w:proofErr w:type="spellEnd"/>
      <w:r w:rsidRPr="005F6CB2">
        <w:rPr>
          <w:rFonts w:ascii="Arial" w:hAnsi="Arial" w:cs="Arial"/>
          <w:lang w:val="mk-MK"/>
        </w:rPr>
        <w:t xml:space="preserve"> </w:t>
      </w:r>
      <w:proofErr w:type="spellStart"/>
      <w:r w:rsidRPr="005F6CB2">
        <w:rPr>
          <w:rFonts w:ascii="Arial" w:hAnsi="Arial" w:cs="Arial"/>
          <w:lang w:val="mk-MK"/>
        </w:rPr>
        <w:t>of</w:t>
      </w:r>
      <w:proofErr w:type="spellEnd"/>
      <w:r w:rsidRPr="005F6CB2">
        <w:rPr>
          <w:rFonts w:ascii="Arial" w:hAnsi="Arial" w:cs="Arial"/>
          <w:lang w:val="mk-MK"/>
        </w:rPr>
        <w:t xml:space="preserve"> </w:t>
      </w:r>
      <w:proofErr w:type="spellStart"/>
      <w:r w:rsidRPr="005F6CB2">
        <w:rPr>
          <w:rFonts w:ascii="Arial" w:hAnsi="Arial" w:cs="Arial"/>
          <w:lang w:val="mk-MK"/>
        </w:rPr>
        <w:t>financial</w:t>
      </w:r>
      <w:proofErr w:type="spellEnd"/>
      <w:r w:rsidRPr="005F6CB2">
        <w:rPr>
          <w:rFonts w:ascii="Arial" w:hAnsi="Arial" w:cs="Arial"/>
          <w:lang w:val="mk-MK"/>
        </w:rPr>
        <w:t xml:space="preserve"> </w:t>
      </w:r>
      <w:proofErr w:type="spellStart"/>
      <w:r w:rsidRPr="005F6CB2">
        <w:rPr>
          <w:rFonts w:ascii="Arial" w:hAnsi="Arial" w:cs="Arial"/>
          <w:lang w:val="mk-MK"/>
        </w:rPr>
        <w:t>assets</w:t>
      </w:r>
      <w:proofErr w:type="spellEnd"/>
      <w:r w:rsidRPr="005F6CB2">
        <w:rPr>
          <w:rFonts w:ascii="Arial" w:hAnsi="Arial" w:cs="Arial"/>
          <w:lang w:val="mk-MK"/>
        </w:rPr>
        <w:t xml:space="preserve"> </w:t>
      </w:r>
      <w:proofErr w:type="spellStart"/>
      <w:r w:rsidRPr="005F6CB2">
        <w:rPr>
          <w:rFonts w:ascii="Arial" w:hAnsi="Arial" w:cs="Arial"/>
          <w:lang w:val="mk-MK"/>
        </w:rPr>
        <w:t>that</w:t>
      </w:r>
      <w:proofErr w:type="spellEnd"/>
      <w:r w:rsidRPr="005F6CB2">
        <w:rPr>
          <w:rFonts w:ascii="Arial" w:hAnsi="Arial" w:cs="Arial"/>
          <w:lang w:val="mk-MK"/>
        </w:rPr>
        <w:t xml:space="preserve"> </w:t>
      </w:r>
      <w:proofErr w:type="spellStart"/>
      <w:r w:rsidRPr="005F6CB2">
        <w:rPr>
          <w:rFonts w:ascii="Arial" w:hAnsi="Arial" w:cs="Arial"/>
          <w:lang w:val="mk-MK"/>
        </w:rPr>
        <w:t>can</w:t>
      </w:r>
      <w:proofErr w:type="spellEnd"/>
      <w:r w:rsidRPr="005F6CB2">
        <w:rPr>
          <w:rFonts w:ascii="Arial" w:hAnsi="Arial" w:cs="Arial"/>
          <w:lang w:val="mk-MK"/>
        </w:rPr>
        <w:t xml:space="preserve"> </w:t>
      </w:r>
      <w:proofErr w:type="spellStart"/>
      <w:r w:rsidRPr="005F6CB2">
        <w:rPr>
          <w:rFonts w:ascii="Arial" w:hAnsi="Arial" w:cs="Arial"/>
          <w:lang w:val="mk-MK"/>
        </w:rPr>
        <w:t>be</w:t>
      </w:r>
      <w:proofErr w:type="spellEnd"/>
      <w:r w:rsidRPr="005F6CB2">
        <w:rPr>
          <w:rFonts w:ascii="Arial" w:hAnsi="Arial" w:cs="Arial"/>
          <w:lang w:val="mk-MK"/>
        </w:rPr>
        <w:t xml:space="preserve"> </w:t>
      </w:r>
      <w:proofErr w:type="spellStart"/>
      <w:r w:rsidRPr="005F6CB2">
        <w:rPr>
          <w:rFonts w:ascii="Arial" w:hAnsi="Arial" w:cs="Arial"/>
          <w:lang w:val="mk-MK"/>
        </w:rPr>
        <w:t>reliably</w:t>
      </w:r>
      <w:proofErr w:type="spellEnd"/>
      <w:r w:rsidRPr="005F6CB2">
        <w:rPr>
          <w:rFonts w:ascii="Arial" w:hAnsi="Arial" w:cs="Arial"/>
          <w:lang w:val="mk-MK"/>
        </w:rPr>
        <w:t xml:space="preserve"> </w:t>
      </w:r>
      <w:proofErr w:type="spellStart"/>
      <w:r w:rsidRPr="005F6CB2">
        <w:rPr>
          <w:rFonts w:ascii="Arial" w:hAnsi="Arial" w:cs="Arial"/>
          <w:lang w:val="mk-MK"/>
        </w:rPr>
        <w:t>estimated</w:t>
      </w:r>
      <w:proofErr w:type="spellEnd"/>
      <w:r w:rsidRPr="005F6CB2">
        <w:rPr>
          <w:rFonts w:ascii="Arial" w:hAnsi="Arial" w:cs="Arial"/>
          <w:lang w:val="mk-MK"/>
        </w:rPr>
        <w:t>.</w:t>
      </w:r>
    </w:p>
    <w:p w14:paraId="6D926057" w14:textId="5B32C13C" w:rsidR="000B05FC" w:rsidRPr="00CE3053" w:rsidRDefault="000B05FC" w:rsidP="00815E65">
      <w:pPr>
        <w:pStyle w:val="BodyText"/>
        <w:jc w:val="both"/>
        <w:rPr>
          <w:rFonts w:ascii="Arial" w:hAnsi="Arial" w:cs="Arial"/>
          <w:lang w:val="mk-MK"/>
        </w:rPr>
      </w:pP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Fund</w:t>
      </w:r>
      <w:proofErr w:type="spellEnd"/>
      <w:r w:rsidRPr="000B05FC">
        <w:rPr>
          <w:rFonts w:ascii="Arial" w:hAnsi="Arial" w:cs="Arial"/>
          <w:lang w:val="mk-MK"/>
        </w:rPr>
        <w:t xml:space="preserve"> </w:t>
      </w:r>
      <w:proofErr w:type="spellStart"/>
      <w:r w:rsidRPr="000B05FC">
        <w:rPr>
          <w:rFonts w:ascii="Arial" w:hAnsi="Arial" w:cs="Arial"/>
          <w:lang w:val="mk-MK"/>
        </w:rPr>
        <w:t>assesses</w:t>
      </w:r>
      <w:proofErr w:type="spellEnd"/>
      <w:r w:rsidRPr="000B05FC">
        <w:rPr>
          <w:rFonts w:ascii="Arial" w:hAnsi="Arial" w:cs="Arial"/>
          <w:lang w:val="mk-MK"/>
        </w:rPr>
        <w:t xml:space="preserve"> </w:t>
      </w: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existence</w:t>
      </w:r>
      <w:proofErr w:type="spellEnd"/>
      <w:r w:rsidRPr="000B05FC">
        <w:rPr>
          <w:rFonts w:ascii="Arial" w:hAnsi="Arial" w:cs="Arial"/>
          <w:lang w:val="mk-MK"/>
        </w:rPr>
        <w:t xml:space="preserve"> </w:t>
      </w:r>
      <w:proofErr w:type="spellStart"/>
      <w:r w:rsidRPr="000B05FC">
        <w:rPr>
          <w:rFonts w:ascii="Arial" w:hAnsi="Arial" w:cs="Arial"/>
          <w:lang w:val="mk-MK"/>
        </w:rPr>
        <w:t>of</w:t>
      </w:r>
      <w:proofErr w:type="spellEnd"/>
      <w:r w:rsidRPr="000B05FC">
        <w:rPr>
          <w:rFonts w:ascii="Arial" w:hAnsi="Arial" w:cs="Arial"/>
          <w:lang w:val="mk-MK"/>
        </w:rPr>
        <w:t xml:space="preserve"> </w:t>
      </w:r>
      <w:proofErr w:type="spellStart"/>
      <w:r w:rsidRPr="000B05FC">
        <w:rPr>
          <w:rFonts w:ascii="Arial" w:hAnsi="Arial" w:cs="Arial"/>
          <w:lang w:val="mk-MK"/>
        </w:rPr>
        <w:t>objective</w:t>
      </w:r>
      <w:proofErr w:type="spellEnd"/>
      <w:r w:rsidRPr="000B05FC">
        <w:rPr>
          <w:rFonts w:ascii="Arial" w:hAnsi="Arial" w:cs="Arial"/>
          <w:lang w:val="mk-MK"/>
        </w:rPr>
        <w:t xml:space="preserve"> </w:t>
      </w:r>
      <w:proofErr w:type="spellStart"/>
      <w:r w:rsidRPr="000B05FC">
        <w:rPr>
          <w:rFonts w:ascii="Arial" w:hAnsi="Arial" w:cs="Arial"/>
          <w:lang w:val="mk-MK"/>
        </w:rPr>
        <w:t>evidence</w:t>
      </w:r>
      <w:proofErr w:type="spellEnd"/>
      <w:r w:rsidRPr="000B05FC">
        <w:rPr>
          <w:rFonts w:ascii="Arial" w:hAnsi="Arial" w:cs="Arial"/>
          <w:lang w:val="mk-MK"/>
        </w:rPr>
        <w:t xml:space="preserve"> </w:t>
      </w:r>
      <w:proofErr w:type="spellStart"/>
      <w:r w:rsidRPr="000B05FC">
        <w:rPr>
          <w:rFonts w:ascii="Arial" w:hAnsi="Arial" w:cs="Arial"/>
          <w:lang w:val="mk-MK"/>
        </w:rPr>
        <w:t>for</w:t>
      </w:r>
      <w:proofErr w:type="spellEnd"/>
      <w:r w:rsidRPr="000B05FC">
        <w:rPr>
          <w:rFonts w:ascii="Arial" w:hAnsi="Arial" w:cs="Arial"/>
          <w:lang w:val="mk-MK"/>
        </w:rPr>
        <w:t xml:space="preserve"> </w:t>
      </w:r>
      <w:proofErr w:type="spellStart"/>
      <w:r w:rsidRPr="000B05FC">
        <w:rPr>
          <w:rFonts w:ascii="Arial" w:hAnsi="Arial" w:cs="Arial"/>
          <w:lang w:val="mk-MK"/>
        </w:rPr>
        <w:t>impairment</w:t>
      </w:r>
      <w:proofErr w:type="spellEnd"/>
      <w:r w:rsidRPr="000B05FC">
        <w:rPr>
          <w:rFonts w:ascii="Arial" w:hAnsi="Arial" w:cs="Arial"/>
          <w:lang w:val="mk-MK"/>
        </w:rPr>
        <w:t xml:space="preserve"> </w:t>
      </w:r>
      <w:proofErr w:type="spellStart"/>
      <w:r w:rsidRPr="000B05FC">
        <w:rPr>
          <w:rFonts w:ascii="Arial" w:hAnsi="Arial" w:cs="Arial"/>
          <w:lang w:val="mk-MK"/>
        </w:rPr>
        <w:t>on</w:t>
      </w:r>
      <w:proofErr w:type="spellEnd"/>
      <w:r w:rsidRPr="000B05FC">
        <w:rPr>
          <w:rFonts w:ascii="Arial" w:hAnsi="Arial" w:cs="Arial"/>
          <w:lang w:val="mk-MK"/>
        </w:rPr>
        <w:t xml:space="preserve"> </w:t>
      </w:r>
      <w:proofErr w:type="spellStart"/>
      <w:r w:rsidRPr="000B05FC">
        <w:rPr>
          <w:rFonts w:ascii="Arial" w:hAnsi="Arial" w:cs="Arial"/>
          <w:lang w:val="mk-MK"/>
        </w:rPr>
        <w:t>individual</w:t>
      </w:r>
      <w:proofErr w:type="spellEnd"/>
      <w:r w:rsidRPr="000B05FC">
        <w:rPr>
          <w:rFonts w:ascii="Arial" w:hAnsi="Arial" w:cs="Arial"/>
          <w:lang w:val="mk-MK"/>
        </w:rPr>
        <w:t xml:space="preserve"> </w:t>
      </w:r>
      <w:proofErr w:type="spellStart"/>
      <w:r w:rsidRPr="000B05FC">
        <w:rPr>
          <w:rFonts w:ascii="Arial" w:hAnsi="Arial" w:cs="Arial"/>
          <w:lang w:val="mk-MK"/>
        </w:rPr>
        <w:t>basis</w:t>
      </w:r>
      <w:proofErr w:type="spellEnd"/>
      <w:r w:rsidRPr="000B05FC">
        <w:rPr>
          <w:rFonts w:ascii="Arial" w:hAnsi="Arial" w:cs="Arial"/>
          <w:lang w:val="mk-MK"/>
        </w:rPr>
        <w:t xml:space="preserve"> </w:t>
      </w:r>
      <w:proofErr w:type="spellStart"/>
      <w:r w:rsidRPr="000B05FC">
        <w:rPr>
          <w:rFonts w:ascii="Arial" w:hAnsi="Arial" w:cs="Arial"/>
          <w:lang w:val="mk-MK"/>
        </w:rPr>
        <w:t>for</w:t>
      </w:r>
      <w:proofErr w:type="spellEnd"/>
      <w:r w:rsidRPr="000B05FC">
        <w:rPr>
          <w:rFonts w:ascii="Arial" w:hAnsi="Arial" w:cs="Arial"/>
          <w:lang w:val="mk-MK"/>
        </w:rPr>
        <w:t xml:space="preserve"> </w:t>
      </w:r>
      <w:proofErr w:type="spellStart"/>
      <w:r w:rsidRPr="000B05FC">
        <w:rPr>
          <w:rFonts w:ascii="Arial" w:hAnsi="Arial" w:cs="Arial"/>
          <w:lang w:val="mk-MK"/>
        </w:rPr>
        <w:t>individually</w:t>
      </w:r>
      <w:proofErr w:type="spellEnd"/>
      <w:r w:rsidRPr="000B05FC">
        <w:rPr>
          <w:rFonts w:ascii="Arial" w:hAnsi="Arial" w:cs="Arial"/>
          <w:lang w:val="mk-MK"/>
        </w:rPr>
        <w:t xml:space="preserve"> </w:t>
      </w:r>
      <w:proofErr w:type="spellStart"/>
      <w:r w:rsidRPr="000B05FC">
        <w:rPr>
          <w:rFonts w:ascii="Arial" w:hAnsi="Arial" w:cs="Arial"/>
          <w:lang w:val="mk-MK"/>
        </w:rPr>
        <w:t>significant</w:t>
      </w:r>
      <w:proofErr w:type="spellEnd"/>
      <w:r w:rsidRPr="000B05FC">
        <w:rPr>
          <w:rFonts w:ascii="Arial" w:hAnsi="Arial" w:cs="Arial"/>
          <w:lang w:val="mk-MK"/>
        </w:rPr>
        <w:t xml:space="preserve"> </w:t>
      </w:r>
      <w:proofErr w:type="spellStart"/>
      <w:r w:rsidRPr="000B05FC">
        <w:rPr>
          <w:rFonts w:ascii="Arial" w:hAnsi="Arial" w:cs="Arial"/>
          <w:lang w:val="mk-MK"/>
        </w:rPr>
        <w:t>financial</w:t>
      </w:r>
      <w:proofErr w:type="spellEnd"/>
      <w:r w:rsidRPr="000B05FC">
        <w:rPr>
          <w:rFonts w:ascii="Arial" w:hAnsi="Arial" w:cs="Arial"/>
          <w:lang w:val="mk-MK"/>
        </w:rPr>
        <w:t xml:space="preserve"> </w:t>
      </w:r>
      <w:proofErr w:type="spellStart"/>
      <w:r w:rsidRPr="000B05FC">
        <w:rPr>
          <w:rFonts w:ascii="Arial" w:hAnsi="Arial" w:cs="Arial"/>
          <w:lang w:val="mk-MK"/>
        </w:rPr>
        <w:t>assets</w:t>
      </w:r>
      <w:proofErr w:type="spellEnd"/>
      <w:r w:rsidRPr="000B05FC">
        <w:rPr>
          <w:rFonts w:ascii="Arial" w:hAnsi="Arial" w:cs="Arial"/>
          <w:lang w:val="mk-MK"/>
        </w:rPr>
        <w:t xml:space="preserve"> </w:t>
      </w:r>
      <w:proofErr w:type="spellStart"/>
      <w:r w:rsidRPr="000B05FC">
        <w:rPr>
          <w:rFonts w:ascii="Arial" w:hAnsi="Arial" w:cs="Arial"/>
          <w:lang w:val="mk-MK"/>
        </w:rPr>
        <w:t>and</w:t>
      </w:r>
      <w:proofErr w:type="spellEnd"/>
      <w:r w:rsidRPr="000B05FC">
        <w:rPr>
          <w:rFonts w:ascii="Arial" w:hAnsi="Arial" w:cs="Arial"/>
          <w:lang w:val="mk-MK"/>
        </w:rPr>
        <w:t xml:space="preserve"> </w:t>
      </w:r>
      <w:proofErr w:type="spellStart"/>
      <w:r w:rsidRPr="000B05FC">
        <w:rPr>
          <w:rFonts w:ascii="Arial" w:hAnsi="Arial" w:cs="Arial"/>
          <w:lang w:val="mk-MK"/>
        </w:rPr>
        <w:t>individually</w:t>
      </w:r>
      <w:proofErr w:type="spellEnd"/>
      <w:r w:rsidRPr="000B05FC">
        <w:rPr>
          <w:rFonts w:ascii="Arial" w:hAnsi="Arial" w:cs="Arial"/>
          <w:lang w:val="mk-MK"/>
        </w:rPr>
        <w:t xml:space="preserve"> </w:t>
      </w:r>
      <w:proofErr w:type="spellStart"/>
      <w:r w:rsidRPr="000B05FC">
        <w:rPr>
          <w:rFonts w:ascii="Arial" w:hAnsi="Arial" w:cs="Arial"/>
          <w:lang w:val="mk-MK"/>
        </w:rPr>
        <w:t>or</w:t>
      </w:r>
      <w:proofErr w:type="spellEnd"/>
      <w:r w:rsidRPr="000B05FC">
        <w:rPr>
          <w:rFonts w:ascii="Arial" w:hAnsi="Arial" w:cs="Arial"/>
          <w:lang w:val="mk-MK"/>
        </w:rPr>
        <w:t xml:space="preserve"> </w:t>
      </w:r>
      <w:proofErr w:type="spellStart"/>
      <w:r w:rsidRPr="000B05FC">
        <w:rPr>
          <w:rFonts w:ascii="Arial" w:hAnsi="Arial" w:cs="Arial"/>
          <w:lang w:val="mk-MK"/>
        </w:rPr>
        <w:t>collectively</w:t>
      </w:r>
      <w:proofErr w:type="spellEnd"/>
      <w:r w:rsidRPr="000B05FC">
        <w:rPr>
          <w:rFonts w:ascii="Arial" w:hAnsi="Arial" w:cs="Arial"/>
          <w:lang w:val="mk-MK"/>
        </w:rPr>
        <w:t xml:space="preserve"> </w:t>
      </w:r>
      <w:proofErr w:type="spellStart"/>
      <w:r w:rsidRPr="000B05FC">
        <w:rPr>
          <w:rFonts w:ascii="Arial" w:hAnsi="Arial" w:cs="Arial"/>
          <w:lang w:val="mk-MK"/>
        </w:rPr>
        <w:t>for</w:t>
      </w:r>
      <w:proofErr w:type="spellEnd"/>
      <w:r w:rsidRPr="000B05FC">
        <w:rPr>
          <w:rFonts w:ascii="Arial" w:hAnsi="Arial" w:cs="Arial"/>
          <w:lang w:val="mk-MK"/>
        </w:rPr>
        <w:t xml:space="preserve"> </w:t>
      </w:r>
      <w:proofErr w:type="spellStart"/>
      <w:r w:rsidRPr="000B05FC">
        <w:rPr>
          <w:rFonts w:ascii="Arial" w:hAnsi="Arial" w:cs="Arial"/>
          <w:lang w:val="mk-MK"/>
        </w:rPr>
        <w:t>financial</w:t>
      </w:r>
      <w:proofErr w:type="spellEnd"/>
      <w:r w:rsidRPr="000B05FC">
        <w:rPr>
          <w:rFonts w:ascii="Arial" w:hAnsi="Arial" w:cs="Arial"/>
          <w:lang w:val="mk-MK"/>
        </w:rPr>
        <w:t xml:space="preserve"> </w:t>
      </w:r>
      <w:proofErr w:type="spellStart"/>
      <w:r w:rsidRPr="000B05FC">
        <w:rPr>
          <w:rFonts w:ascii="Arial" w:hAnsi="Arial" w:cs="Arial"/>
          <w:lang w:val="mk-MK"/>
        </w:rPr>
        <w:t>assets</w:t>
      </w:r>
      <w:proofErr w:type="spellEnd"/>
      <w:r w:rsidRPr="000B05FC">
        <w:rPr>
          <w:rFonts w:ascii="Arial" w:hAnsi="Arial" w:cs="Arial"/>
          <w:lang w:val="mk-MK"/>
        </w:rPr>
        <w:t xml:space="preserve"> </w:t>
      </w:r>
      <w:proofErr w:type="spellStart"/>
      <w:r w:rsidRPr="000B05FC">
        <w:rPr>
          <w:rFonts w:ascii="Arial" w:hAnsi="Arial" w:cs="Arial"/>
          <w:lang w:val="mk-MK"/>
        </w:rPr>
        <w:t>that</w:t>
      </w:r>
      <w:proofErr w:type="spellEnd"/>
      <w:r w:rsidRPr="000B05FC">
        <w:rPr>
          <w:rFonts w:ascii="Arial" w:hAnsi="Arial" w:cs="Arial"/>
          <w:lang w:val="mk-MK"/>
        </w:rPr>
        <w:t xml:space="preserve"> </w:t>
      </w:r>
      <w:proofErr w:type="spellStart"/>
      <w:r w:rsidRPr="000B05FC">
        <w:rPr>
          <w:rFonts w:ascii="Arial" w:hAnsi="Arial" w:cs="Arial"/>
          <w:lang w:val="mk-MK"/>
        </w:rPr>
        <w:t>are</w:t>
      </w:r>
      <w:proofErr w:type="spellEnd"/>
      <w:r w:rsidRPr="000B05FC">
        <w:rPr>
          <w:rFonts w:ascii="Arial" w:hAnsi="Arial" w:cs="Arial"/>
          <w:lang w:val="mk-MK"/>
        </w:rPr>
        <w:t xml:space="preserve"> </w:t>
      </w:r>
      <w:proofErr w:type="spellStart"/>
      <w:r w:rsidRPr="000B05FC">
        <w:rPr>
          <w:rFonts w:ascii="Arial" w:hAnsi="Arial" w:cs="Arial"/>
          <w:lang w:val="mk-MK"/>
        </w:rPr>
        <w:t>not</w:t>
      </w:r>
      <w:proofErr w:type="spellEnd"/>
      <w:r w:rsidRPr="000B05FC">
        <w:rPr>
          <w:rFonts w:ascii="Arial" w:hAnsi="Arial" w:cs="Arial"/>
          <w:lang w:val="mk-MK"/>
        </w:rPr>
        <w:t xml:space="preserve"> </w:t>
      </w:r>
      <w:proofErr w:type="spellStart"/>
      <w:r w:rsidRPr="000B05FC">
        <w:rPr>
          <w:rFonts w:ascii="Arial" w:hAnsi="Arial" w:cs="Arial"/>
          <w:lang w:val="mk-MK"/>
        </w:rPr>
        <w:t>individually</w:t>
      </w:r>
      <w:proofErr w:type="spellEnd"/>
      <w:r w:rsidRPr="000B05FC">
        <w:rPr>
          <w:rFonts w:ascii="Arial" w:hAnsi="Arial" w:cs="Arial"/>
          <w:lang w:val="mk-MK"/>
        </w:rPr>
        <w:t xml:space="preserve"> </w:t>
      </w:r>
      <w:proofErr w:type="spellStart"/>
      <w:r w:rsidRPr="000B05FC">
        <w:rPr>
          <w:rFonts w:ascii="Arial" w:hAnsi="Arial" w:cs="Arial"/>
          <w:lang w:val="mk-MK"/>
        </w:rPr>
        <w:t>significant</w:t>
      </w:r>
      <w:proofErr w:type="spellEnd"/>
      <w:r w:rsidRPr="000B05FC">
        <w:rPr>
          <w:rFonts w:ascii="Arial" w:hAnsi="Arial" w:cs="Arial"/>
          <w:lang w:val="mk-MK"/>
        </w:rPr>
        <w:t xml:space="preserve">. </w:t>
      </w:r>
      <w:proofErr w:type="spellStart"/>
      <w:r w:rsidRPr="000B05FC">
        <w:rPr>
          <w:rFonts w:ascii="Arial" w:hAnsi="Arial" w:cs="Arial"/>
          <w:lang w:val="mk-MK"/>
        </w:rPr>
        <w:t>If</w:t>
      </w:r>
      <w:proofErr w:type="spellEnd"/>
      <w:r w:rsidRPr="000B05FC">
        <w:rPr>
          <w:rFonts w:ascii="Arial" w:hAnsi="Arial" w:cs="Arial"/>
          <w:lang w:val="mk-MK"/>
        </w:rPr>
        <w:t xml:space="preserve"> </w:t>
      </w: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Fund</w:t>
      </w:r>
      <w:proofErr w:type="spellEnd"/>
      <w:r w:rsidRPr="000B05FC">
        <w:rPr>
          <w:rFonts w:ascii="Arial" w:hAnsi="Arial" w:cs="Arial"/>
          <w:lang w:val="mk-MK"/>
        </w:rPr>
        <w:t xml:space="preserve"> </w:t>
      </w:r>
      <w:proofErr w:type="spellStart"/>
      <w:r w:rsidRPr="000B05FC">
        <w:rPr>
          <w:rFonts w:ascii="Arial" w:hAnsi="Arial" w:cs="Arial"/>
          <w:lang w:val="mk-MK"/>
        </w:rPr>
        <w:t>determines</w:t>
      </w:r>
      <w:proofErr w:type="spellEnd"/>
      <w:r w:rsidRPr="000B05FC">
        <w:rPr>
          <w:rFonts w:ascii="Arial" w:hAnsi="Arial" w:cs="Arial"/>
          <w:lang w:val="mk-MK"/>
        </w:rPr>
        <w:t xml:space="preserve"> </w:t>
      </w:r>
      <w:proofErr w:type="spellStart"/>
      <w:r w:rsidRPr="000B05FC">
        <w:rPr>
          <w:rFonts w:ascii="Arial" w:hAnsi="Arial" w:cs="Arial"/>
          <w:lang w:val="mk-MK"/>
        </w:rPr>
        <w:t>that</w:t>
      </w:r>
      <w:proofErr w:type="spellEnd"/>
      <w:r w:rsidRPr="000B05FC">
        <w:rPr>
          <w:rFonts w:ascii="Arial" w:hAnsi="Arial" w:cs="Arial"/>
          <w:lang w:val="mk-MK"/>
        </w:rPr>
        <w:t xml:space="preserve"> </w:t>
      </w:r>
      <w:proofErr w:type="spellStart"/>
      <w:r w:rsidRPr="000B05FC">
        <w:rPr>
          <w:rFonts w:ascii="Arial" w:hAnsi="Arial" w:cs="Arial"/>
          <w:lang w:val="mk-MK"/>
        </w:rPr>
        <w:t>no</w:t>
      </w:r>
      <w:proofErr w:type="spellEnd"/>
      <w:r w:rsidRPr="000B05FC">
        <w:rPr>
          <w:rFonts w:ascii="Arial" w:hAnsi="Arial" w:cs="Arial"/>
          <w:lang w:val="mk-MK"/>
        </w:rPr>
        <w:t xml:space="preserve"> </w:t>
      </w:r>
      <w:proofErr w:type="spellStart"/>
      <w:r w:rsidRPr="000B05FC">
        <w:rPr>
          <w:rFonts w:ascii="Arial" w:hAnsi="Arial" w:cs="Arial"/>
          <w:lang w:val="mk-MK"/>
        </w:rPr>
        <w:t>objective</w:t>
      </w:r>
      <w:proofErr w:type="spellEnd"/>
      <w:r w:rsidRPr="000B05FC">
        <w:rPr>
          <w:rFonts w:ascii="Arial" w:hAnsi="Arial" w:cs="Arial"/>
          <w:lang w:val="mk-MK"/>
        </w:rPr>
        <w:t xml:space="preserve"> </w:t>
      </w:r>
      <w:proofErr w:type="spellStart"/>
      <w:r w:rsidRPr="000B05FC">
        <w:rPr>
          <w:rFonts w:ascii="Arial" w:hAnsi="Arial" w:cs="Arial"/>
          <w:lang w:val="mk-MK"/>
        </w:rPr>
        <w:t>evidence</w:t>
      </w:r>
      <w:proofErr w:type="spellEnd"/>
      <w:r w:rsidRPr="000B05FC">
        <w:rPr>
          <w:rFonts w:ascii="Arial" w:hAnsi="Arial" w:cs="Arial"/>
          <w:lang w:val="mk-MK"/>
        </w:rPr>
        <w:t xml:space="preserve"> </w:t>
      </w:r>
      <w:proofErr w:type="spellStart"/>
      <w:r w:rsidRPr="000B05FC">
        <w:rPr>
          <w:rFonts w:ascii="Arial" w:hAnsi="Arial" w:cs="Arial"/>
          <w:lang w:val="mk-MK"/>
        </w:rPr>
        <w:t>of</w:t>
      </w:r>
      <w:proofErr w:type="spellEnd"/>
      <w:r w:rsidRPr="000B05FC">
        <w:rPr>
          <w:rFonts w:ascii="Arial" w:hAnsi="Arial" w:cs="Arial"/>
          <w:lang w:val="mk-MK"/>
        </w:rPr>
        <w:t xml:space="preserve"> </w:t>
      </w:r>
      <w:proofErr w:type="spellStart"/>
      <w:r w:rsidRPr="000B05FC">
        <w:rPr>
          <w:rFonts w:ascii="Arial" w:hAnsi="Arial" w:cs="Arial"/>
          <w:lang w:val="mk-MK"/>
        </w:rPr>
        <w:t>impairment</w:t>
      </w:r>
      <w:proofErr w:type="spellEnd"/>
      <w:r w:rsidRPr="000B05FC">
        <w:rPr>
          <w:rFonts w:ascii="Arial" w:hAnsi="Arial" w:cs="Arial"/>
          <w:lang w:val="mk-MK"/>
        </w:rPr>
        <w:t xml:space="preserve"> </w:t>
      </w:r>
      <w:proofErr w:type="spellStart"/>
      <w:r w:rsidRPr="000B05FC">
        <w:rPr>
          <w:rFonts w:ascii="Arial" w:hAnsi="Arial" w:cs="Arial"/>
          <w:lang w:val="mk-MK"/>
        </w:rPr>
        <w:t>exists</w:t>
      </w:r>
      <w:proofErr w:type="spellEnd"/>
      <w:r w:rsidRPr="000B05FC">
        <w:rPr>
          <w:rFonts w:ascii="Arial" w:hAnsi="Arial" w:cs="Arial"/>
          <w:lang w:val="mk-MK"/>
        </w:rPr>
        <w:t xml:space="preserve"> </w:t>
      </w:r>
      <w:proofErr w:type="spellStart"/>
      <w:r w:rsidRPr="000B05FC">
        <w:rPr>
          <w:rFonts w:ascii="Arial" w:hAnsi="Arial" w:cs="Arial"/>
          <w:lang w:val="mk-MK"/>
        </w:rPr>
        <w:t>for</w:t>
      </w:r>
      <w:proofErr w:type="spellEnd"/>
      <w:r w:rsidRPr="000B05FC">
        <w:rPr>
          <w:rFonts w:ascii="Arial" w:hAnsi="Arial" w:cs="Arial"/>
          <w:lang w:val="mk-MK"/>
        </w:rPr>
        <w:t xml:space="preserve"> </w:t>
      </w:r>
      <w:proofErr w:type="spellStart"/>
      <w:r w:rsidRPr="000B05FC">
        <w:rPr>
          <w:rFonts w:ascii="Arial" w:hAnsi="Arial" w:cs="Arial"/>
          <w:lang w:val="mk-MK"/>
        </w:rPr>
        <w:t>an</w:t>
      </w:r>
      <w:proofErr w:type="spellEnd"/>
      <w:r w:rsidRPr="000B05FC">
        <w:rPr>
          <w:rFonts w:ascii="Arial" w:hAnsi="Arial" w:cs="Arial"/>
          <w:lang w:val="mk-MK"/>
        </w:rPr>
        <w:t xml:space="preserve"> </w:t>
      </w:r>
      <w:proofErr w:type="spellStart"/>
      <w:r w:rsidRPr="000B05FC">
        <w:rPr>
          <w:rFonts w:ascii="Arial" w:hAnsi="Arial" w:cs="Arial"/>
          <w:lang w:val="mk-MK"/>
        </w:rPr>
        <w:t>individually</w:t>
      </w:r>
      <w:proofErr w:type="spellEnd"/>
      <w:r w:rsidRPr="000B05FC">
        <w:rPr>
          <w:rFonts w:ascii="Arial" w:hAnsi="Arial" w:cs="Arial"/>
          <w:lang w:val="mk-MK"/>
        </w:rPr>
        <w:t xml:space="preserve"> </w:t>
      </w:r>
      <w:proofErr w:type="spellStart"/>
      <w:r w:rsidRPr="000B05FC">
        <w:rPr>
          <w:rFonts w:ascii="Arial" w:hAnsi="Arial" w:cs="Arial"/>
          <w:lang w:val="mk-MK"/>
        </w:rPr>
        <w:t>assessed</w:t>
      </w:r>
      <w:proofErr w:type="spellEnd"/>
      <w:r w:rsidRPr="000B05FC">
        <w:rPr>
          <w:rFonts w:ascii="Arial" w:hAnsi="Arial" w:cs="Arial"/>
          <w:lang w:val="mk-MK"/>
        </w:rPr>
        <w:t xml:space="preserve"> </w:t>
      </w:r>
      <w:proofErr w:type="spellStart"/>
      <w:r w:rsidRPr="000B05FC">
        <w:rPr>
          <w:rFonts w:ascii="Arial" w:hAnsi="Arial" w:cs="Arial"/>
          <w:lang w:val="mk-MK"/>
        </w:rPr>
        <w:t>financial</w:t>
      </w:r>
      <w:proofErr w:type="spellEnd"/>
      <w:r w:rsidRPr="000B05FC">
        <w:rPr>
          <w:rFonts w:ascii="Arial" w:hAnsi="Arial" w:cs="Arial"/>
          <w:lang w:val="mk-MK"/>
        </w:rPr>
        <w:t xml:space="preserve"> </w:t>
      </w:r>
      <w:proofErr w:type="spellStart"/>
      <w:r w:rsidRPr="000B05FC">
        <w:rPr>
          <w:rFonts w:ascii="Arial" w:hAnsi="Arial" w:cs="Arial"/>
          <w:lang w:val="mk-MK"/>
        </w:rPr>
        <w:t>asset</w:t>
      </w:r>
      <w:proofErr w:type="spellEnd"/>
      <w:r w:rsidRPr="000B05FC">
        <w:rPr>
          <w:rFonts w:ascii="Arial" w:hAnsi="Arial" w:cs="Arial"/>
          <w:lang w:val="mk-MK"/>
        </w:rPr>
        <w:t xml:space="preserve">, </w:t>
      </w:r>
      <w:proofErr w:type="spellStart"/>
      <w:r w:rsidRPr="000B05FC">
        <w:rPr>
          <w:rFonts w:ascii="Arial" w:hAnsi="Arial" w:cs="Arial"/>
          <w:lang w:val="mk-MK"/>
        </w:rPr>
        <w:t>whether</w:t>
      </w:r>
      <w:proofErr w:type="spellEnd"/>
      <w:r w:rsidRPr="000B05FC">
        <w:rPr>
          <w:rFonts w:ascii="Arial" w:hAnsi="Arial" w:cs="Arial"/>
          <w:lang w:val="mk-MK"/>
        </w:rPr>
        <w:t xml:space="preserve"> </w:t>
      </w:r>
      <w:proofErr w:type="spellStart"/>
      <w:r w:rsidRPr="000B05FC">
        <w:rPr>
          <w:rFonts w:ascii="Arial" w:hAnsi="Arial" w:cs="Arial"/>
          <w:lang w:val="mk-MK"/>
        </w:rPr>
        <w:t>significant</w:t>
      </w:r>
      <w:proofErr w:type="spellEnd"/>
      <w:r w:rsidRPr="000B05FC">
        <w:rPr>
          <w:rFonts w:ascii="Arial" w:hAnsi="Arial" w:cs="Arial"/>
          <w:lang w:val="mk-MK"/>
        </w:rPr>
        <w:t xml:space="preserve"> </w:t>
      </w:r>
      <w:proofErr w:type="spellStart"/>
      <w:r w:rsidRPr="000B05FC">
        <w:rPr>
          <w:rFonts w:ascii="Arial" w:hAnsi="Arial" w:cs="Arial"/>
          <w:lang w:val="mk-MK"/>
        </w:rPr>
        <w:t>or</w:t>
      </w:r>
      <w:proofErr w:type="spellEnd"/>
      <w:r w:rsidRPr="000B05FC">
        <w:rPr>
          <w:rFonts w:ascii="Arial" w:hAnsi="Arial" w:cs="Arial"/>
          <w:lang w:val="mk-MK"/>
        </w:rPr>
        <w:t xml:space="preserve"> </w:t>
      </w:r>
      <w:proofErr w:type="spellStart"/>
      <w:r w:rsidRPr="000B05FC">
        <w:rPr>
          <w:rFonts w:ascii="Arial" w:hAnsi="Arial" w:cs="Arial"/>
          <w:lang w:val="mk-MK"/>
        </w:rPr>
        <w:t>not</w:t>
      </w:r>
      <w:proofErr w:type="spellEnd"/>
      <w:r w:rsidRPr="000B05FC">
        <w:rPr>
          <w:rFonts w:ascii="Arial" w:hAnsi="Arial" w:cs="Arial"/>
          <w:lang w:val="mk-MK"/>
        </w:rPr>
        <w:t xml:space="preserve">, </w:t>
      </w:r>
      <w:proofErr w:type="spellStart"/>
      <w:r w:rsidRPr="000B05FC">
        <w:rPr>
          <w:rFonts w:ascii="Arial" w:hAnsi="Arial" w:cs="Arial"/>
          <w:lang w:val="mk-MK"/>
        </w:rPr>
        <w:t>it</w:t>
      </w:r>
      <w:proofErr w:type="spellEnd"/>
      <w:r w:rsidRPr="000B05FC">
        <w:rPr>
          <w:rFonts w:ascii="Arial" w:hAnsi="Arial" w:cs="Arial"/>
          <w:lang w:val="mk-MK"/>
        </w:rPr>
        <w:t xml:space="preserve"> </w:t>
      </w:r>
      <w:proofErr w:type="spellStart"/>
      <w:r w:rsidRPr="000B05FC">
        <w:rPr>
          <w:rFonts w:ascii="Arial" w:hAnsi="Arial" w:cs="Arial"/>
          <w:lang w:val="mk-MK"/>
        </w:rPr>
        <w:t>includes</w:t>
      </w:r>
      <w:proofErr w:type="spellEnd"/>
      <w:r w:rsidRPr="000B05FC">
        <w:rPr>
          <w:rFonts w:ascii="Arial" w:hAnsi="Arial" w:cs="Arial"/>
          <w:lang w:val="mk-MK"/>
        </w:rPr>
        <w:t xml:space="preserve"> </w:t>
      </w: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asset</w:t>
      </w:r>
      <w:proofErr w:type="spellEnd"/>
      <w:r w:rsidRPr="000B05FC">
        <w:rPr>
          <w:rFonts w:ascii="Arial" w:hAnsi="Arial" w:cs="Arial"/>
          <w:lang w:val="mk-MK"/>
        </w:rPr>
        <w:t xml:space="preserve"> </w:t>
      </w:r>
      <w:proofErr w:type="spellStart"/>
      <w:r w:rsidRPr="000B05FC">
        <w:rPr>
          <w:rFonts w:ascii="Arial" w:hAnsi="Arial" w:cs="Arial"/>
          <w:lang w:val="mk-MK"/>
        </w:rPr>
        <w:t>in</w:t>
      </w:r>
      <w:proofErr w:type="spellEnd"/>
      <w:r w:rsidRPr="000B05FC">
        <w:rPr>
          <w:rFonts w:ascii="Arial" w:hAnsi="Arial" w:cs="Arial"/>
          <w:lang w:val="mk-MK"/>
        </w:rPr>
        <w:t xml:space="preserve"> a </w:t>
      </w:r>
      <w:proofErr w:type="spellStart"/>
      <w:r w:rsidRPr="000B05FC">
        <w:rPr>
          <w:rFonts w:ascii="Arial" w:hAnsi="Arial" w:cs="Arial"/>
          <w:lang w:val="mk-MK"/>
        </w:rPr>
        <w:t>group</w:t>
      </w:r>
      <w:proofErr w:type="spellEnd"/>
      <w:r w:rsidRPr="000B05FC">
        <w:rPr>
          <w:rFonts w:ascii="Arial" w:hAnsi="Arial" w:cs="Arial"/>
          <w:lang w:val="mk-MK"/>
        </w:rPr>
        <w:t xml:space="preserve"> </w:t>
      </w:r>
      <w:proofErr w:type="spellStart"/>
      <w:r w:rsidRPr="000B05FC">
        <w:rPr>
          <w:rFonts w:ascii="Arial" w:hAnsi="Arial" w:cs="Arial"/>
          <w:lang w:val="mk-MK"/>
        </w:rPr>
        <w:t>of</w:t>
      </w:r>
      <w:proofErr w:type="spellEnd"/>
      <w:r w:rsidRPr="000B05FC">
        <w:rPr>
          <w:rFonts w:ascii="Arial" w:hAnsi="Arial" w:cs="Arial"/>
          <w:lang w:val="mk-MK"/>
        </w:rPr>
        <w:t xml:space="preserve"> </w:t>
      </w:r>
      <w:proofErr w:type="spellStart"/>
      <w:r w:rsidRPr="000B05FC">
        <w:rPr>
          <w:rFonts w:ascii="Arial" w:hAnsi="Arial" w:cs="Arial"/>
          <w:lang w:val="mk-MK"/>
        </w:rPr>
        <w:t>financial</w:t>
      </w:r>
      <w:proofErr w:type="spellEnd"/>
      <w:r w:rsidRPr="000B05FC">
        <w:rPr>
          <w:rFonts w:ascii="Arial" w:hAnsi="Arial" w:cs="Arial"/>
          <w:lang w:val="mk-MK"/>
        </w:rPr>
        <w:t xml:space="preserve"> </w:t>
      </w:r>
      <w:proofErr w:type="spellStart"/>
      <w:r w:rsidRPr="000B05FC">
        <w:rPr>
          <w:rFonts w:ascii="Arial" w:hAnsi="Arial" w:cs="Arial"/>
          <w:lang w:val="mk-MK"/>
        </w:rPr>
        <w:t>assets</w:t>
      </w:r>
      <w:proofErr w:type="spellEnd"/>
      <w:r w:rsidRPr="000B05FC">
        <w:rPr>
          <w:rFonts w:ascii="Arial" w:hAnsi="Arial" w:cs="Arial"/>
          <w:lang w:val="mk-MK"/>
        </w:rPr>
        <w:t xml:space="preserve"> </w:t>
      </w:r>
      <w:proofErr w:type="spellStart"/>
      <w:r w:rsidRPr="000B05FC">
        <w:rPr>
          <w:rFonts w:ascii="Arial" w:hAnsi="Arial" w:cs="Arial"/>
          <w:lang w:val="mk-MK"/>
        </w:rPr>
        <w:t>with</w:t>
      </w:r>
      <w:proofErr w:type="spellEnd"/>
      <w:r w:rsidRPr="000B05FC">
        <w:rPr>
          <w:rFonts w:ascii="Arial" w:hAnsi="Arial" w:cs="Arial"/>
          <w:lang w:val="mk-MK"/>
        </w:rPr>
        <w:t xml:space="preserve"> </w:t>
      </w:r>
      <w:proofErr w:type="spellStart"/>
      <w:r w:rsidRPr="000B05FC">
        <w:rPr>
          <w:rFonts w:ascii="Arial" w:hAnsi="Arial" w:cs="Arial"/>
          <w:lang w:val="mk-MK"/>
        </w:rPr>
        <w:t>similar</w:t>
      </w:r>
      <w:proofErr w:type="spellEnd"/>
      <w:r w:rsidRPr="000B05FC">
        <w:rPr>
          <w:rFonts w:ascii="Arial" w:hAnsi="Arial" w:cs="Arial"/>
          <w:lang w:val="mk-MK"/>
        </w:rPr>
        <w:t xml:space="preserve"> </w:t>
      </w:r>
      <w:proofErr w:type="spellStart"/>
      <w:r w:rsidRPr="000B05FC">
        <w:rPr>
          <w:rFonts w:ascii="Arial" w:hAnsi="Arial" w:cs="Arial"/>
          <w:lang w:val="mk-MK"/>
        </w:rPr>
        <w:t>credit</w:t>
      </w:r>
      <w:proofErr w:type="spellEnd"/>
      <w:r w:rsidRPr="000B05FC">
        <w:rPr>
          <w:rFonts w:ascii="Arial" w:hAnsi="Arial" w:cs="Arial"/>
          <w:lang w:val="mk-MK"/>
        </w:rPr>
        <w:t xml:space="preserve"> </w:t>
      </w:r>
      <w:proofErr w:type="spellStart"/>
      <w:r w:rsidRPr="000B05FC">
        <w:rPr>
          <w:rFonts w:ascii="Arial" w:hAnsi="Arial" w:cs="Arial"/>
          <w:lang w:val="mk-MK"/>
        </w:rPr>
        <w:t>risk</w:t>
      </w:r>
      <w:proofErr w:type="spellEnd"/>
      <w:r w:rsidRPr="000B05FC">
        <w:rPr>
          <w:rFonts w:ascii="Arial" w:hAnsi="Arial" w:cs="Arial"/>
          <w:lang w:val="mk-MK"/>
        </w:rPr>
        <w:t xml:space="preserve"> </w:t>
      </w:r>
      <w:proofErr w:type="spellStart"/>
      <w:r w:rsidRPr="000B05FC">
        <w:rPr>
          <w:rFonts w:ascii="Arial" w:hAnsi="Arial" w:cs="Arial"/>
          <w:lang w:val="mk-MK"/>
        </w:rPr>
        <w:t>characteristics</w:t>
      </w:r>
      <w:proofErr w:type="spellEnd"/>
      <w:r w:rsidRPr="000B05FC">
        <w:rPr>
          <w:rFonts w:ascii="Arial" w:hAnsi="Arial" w:cs="Arial"/>
          <w:lang w:val="mk-MK"/>
        </w:rPr>
        <w:t xml:space="preserve"> </w:t>
      </w:r>
      <w:proofErr w:type="spellStart"/>
      <w:r w:rsidRPr="000B05FC">
        <w:rPr>
          <w:rFonts w:ascii="Arial" w:hAnsi="Arial" w:cs="Arial"/>
          <w:lang w:val="mk-MK"/>
        </w:rPr>
        <w:t>and</w:t>
      </w:r>
      <w:proofErr w:type="spellEnd"/>
      <w:r w:rsidRPr="000B05FC">
        <w:rPr>
          <w:rFonts w:ascii="Arial" w:hAnsi="Arial" w:cs="Arial"/>
          <w:lang w:val="mk-MK"/>
        </w:rPr>
        <w:t xml:space="preserve"> </w:t>
      </w:r>
      <w:proofErr w:type="spellStart"/>
      <w:r w:rsidRPr="000B05FC">
        <w:rPr>
          <w:rFonts w:ascii="Arial" w:hAnsi="Arial" w:cs="Arial"/>
          <w:lang w:val="mk-MK"/>
        </w:rPr>
        <w:t>collectively</w:t>
      </w:r>
      <w:proofErr w:type="spellEnd"/>
      <w:r w:rsidRPr="000B05FC">
        <w:rPr>
          <w:rFonts w:ascii="Arial" w:hAnsi="Arial" w:cs="Arial"/>
          <w:lang w:val="mk-MK"/>
        </w:rPr>
        <w:t xml:space="preserve"> </w:t>
      </w:r>
      <w:proofErr w:type="spellStart"/>
      <w:r w:rsidRPr="000B05FC">
        <w:rPr>
          <w:rFonts w:ascii="Arial" w:hAnsi="Arial" w:cs="Arial"/>
          <w:lang w:val="mk-MK"/>
        </w:rPr>
        <w:t>assesses</w:t>
      </w:r>
      <w:proofErr w:type="spellEnd"/>
      <w:r w:rsidRPr="000B05FC">
        <w:rPr>
          <w:rFonts w:ascii="Arial" w:hAnsi="Arial" w:cs="Arial"/>
          <w:lang w:val="mk-MK"/>
        </w:rPr>
        <w:t xml:space="preserve"> </w:t>
      </w:r>
      <w:proofErr w:type="spellStart"/>
      <w:r w:rsidRPr="000B05FC">
        <w:rPr>
          <w:rFonts w:ascii="Arial" w:hAnsi="Arial" w:cs="Arial"/>
          <w:lang w:val="mk-MK"/>
        </w:rPr>
        <w:t>them</w:t>
      </w:r>
      <w:proofErr w:type="spellEnd"/>
      <w:r w:rsidRPr="000B05FC">
        <w:rPr>
          <w:rFonts w:ascii="Arial" w:hAnsi="Arial" w:cs="Arial"/>
          <w:lang w:val="mk-MK"/>
        </w:rPr>
        <w:t xml:space="preserve"> </w:t>
      </w:r>
      <w:proofErr w:type="spellStart"/>
      <w:r w:rsidRPr="000B05FC">
        <w:rPr>
          <w:rFonts w:ascii="Arial" w:hAnsi="Arial" w:cs="Arial"/>
          <w:lang w:val="mk-MK"/>
        </w:rPr>
        <w:t>for</w:t>
      </w:r>
      <w:proofErr w:type="spellEnd"/>
      <w:r w:rsidRPr="000B05FC">
        <w:rPr>
          <w:rFonts w:ascii="Arial" w:hAnsi="Arial" w:cs="Arial"/>
          <w:lang w:val="mk-MK"/>
        </w:rPr>
        <w:t xml:space="preserve"> </w:t>
      </w:r>
      <w:proofErr w:type="spellStart"/>
      <w:r w:rsidRPr="000B05FC">
        <w:rPr>
          <w:rFonts w:ascii="Arial" w:hAnsi="Arial" w:cs="Arial"/>
          <w:lang w:val="mk-MK"/>
        </w:rPr>
        <w:t>impairment</w:t>
      </w:r>
      <w:proofErr w:type="spellEnd"/>
      <w:r w:rsidRPr="000B05FC">
        <w:rPr>
          <w:rFonts w:ascii="Arial" w:hAnsi="Arial" w:cs="Arial"/>
          <w:lang w:val="mk-MK"/>
        </w:rPr>
        <w:t>.</w:t>
      </w:r>
    </w:p>
    <w:p w14:paraId="72B6639F" w14:textId="24E38153" w:rsidR="000B05FC" w:rsidRPr="00CE3053" w:rsidRDefault="000B05FC" w:rsidP="00815E65">
      <w:pPr>
        <w:pStyle w:val="BodyText"/>
        <w:jc w:val="both"/>
        <w:rPr>
          <w:rFonts w:ascii="Arial" w:hAnsi="Arial" w:cs="Arial"/>
          <w:lang w:val="mk-MK"/>
        </w:rPr>
      </w:pP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amount</w:t>
      </w:r>
      <w:proofErr w:type="spellEnd"/>
      <w:r w:rsidRPr="000B05FC">
        <w:rPr>
          <w:rFonts w:ascii="Arial" w:hAnsi="Arial" w:cs="Arial"/>
          <w:lang w:val="mk-MK"/>
        </w:rPr>
        <w:t xml:space="preserve"> </w:t>
      </w:r>
      <w:proofErr w:type="spellStart"/>
      <w:r w:rsidRPr="000B05FC">
        <w:rPr>
          <w:rFonts w:ascii="Arial" w:hAnsi="Arial" w:cs="Arial"/>
          <w:lang w:val="mk-MK"/>
        </w:rPr>
        <w:t>of</w:t>
      </w:r>
      <w:proofErr w:type="spellEnd"/>
      <w:r w:rsidRPr="000B05FC">
        <w:rPr>
          <w:rFonts w:ascii="Arial" w:hAnsi="Arial" w:cs="Arial"/>
          <w:lang w:val="mk-MK"/>
        </w:rPr>
        <w:t xml:space="preserve"> </w:t>
      </w:r>
      <w:proofErr w:type="spellStart"/>
      <w:r w:rsidRPr="000B05FC">
        <w:rPr>
          <w:rFonts w:ascii="Arial" w:hAnsi="Arial" w:cs="Arial"/>
          <w:lang w:val="mk-MK"/>
        </w:rPr>
        <w:t>impairment</w:t>
      </w:r>
      <w:proofErr w:type="spellEnd"/>
      <w:r w:rsidRPr="000B05FC">
        <w:rPr>
          <w:rFonts w:ascii="Arial" w:hAnsi="Arial" w:cs="Arial"/>
          <w:lang w:val="mk-MK"/>
        </w:rPr>
        <w:t xml:space="preserve"> </w:t>
      </w:r>
      <w:proofErr w:type="spellStart"/>
      <w:r w:rsidRPr="000B05FC">
        <w:rPr>
          <w:rFonts w:ascii="Arial" w:hAnsi="Arial" w:cs="Arial"/>
          <w:lang w:val="mk-MK"/>
        </w:rPr>
        <w:t>loss</w:t>
      </w:r>
      <w:proofErr w:type="spellEnd"/>
      <w:r w:rsidRPr="000B05FC">
        <w:rPr>
          <w:rFonts w:ascii="Arial" w:hAnsi="Arial" w:cs="Arial"/>
          <w:lang w:val="mk-MK"/>
        </w:rPr>
        <w:t xml:space="preserve"> </w:t>
      </w:r>
      <w:proofErr w:type="spellStart"/>
      <w:r w:rsidRPr="000B05FC">
        <w:rPr>
          <w:rFonts w:ascii="Arial" w:hAnsi="Arial" w:cs="Arial"/>
          <w:lang w:val="mk-MK"/>
        </w:rPr>
        <w:t>is</w:t>
      </w:r>
      <w:proofErr w:type="spellEnd"/>
      <w:r w:rsidRPr="000B05FC">
        <w:rPr>
          <w:rFonts w:ascii="Arial" w:hAnsi="Arial" w:cs="Arial"/>
          <w:lang w:val="mk-MK"/>
        </w:rPr>
        <w:t xml:space="preserve"> </w:t>
      </w:r>
      <w:proofErr w:type="spellStart"/>
      <w:r w:rsidRPr="000B05FC">
        <w:rPr>
          <w:rFonts w:ascii="Arial" w:hAnsi="Arial" w:cs="Arial"/>
          <w:lang w:val="mk-MK"/>
        </w:rPr>
        <w:t>measured</w:t>
      </w:r>
      <w:proofErr w:type="spellEnd"/>
      <w:r w:rsidRPr="000B05FC">
        <w:rPr>
          <w:rFonts w:ascii="Arial" w:hAnsi="Arial" w:cs="Arial"/>
          <w:lang w:val="mk-MK"/>
        </w:rPr>
        <w:t xml:space="preserve"> </w:t>
      </w:r>
      <w:proofErr w:type="spellStart"/>
      <w:r w:rsidRPr="000B05FC">
        <w:rPr>
          <w:rFonts w:ascii="Arial" w:hAnsi="Arial" w:cs="Arial"/>
          <w:lang w:val="mk-MK"/>
        </w:rPr>
        <w:t>as</w:t>
      </w:r>
      <w:proofErr w:type="spellEnd"/>
      <w:r w:rsidRPr="000B05FC">
        <w:rPr>
          <w:rFonts w:ascii="Arial" w:hAnsi="Arial" w:cs="Arial"/>
          <w:lang w:val="mk-MK"/>
        </w:rPr>
        <w:t xml:space="preserve"> </w:t>
      </w: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difference</w:t>
      </w:r>
      <w:proofErr w:type="spellEnd"/>
      <w:r w:rsidRPr="000B05FC">
        <w:rPr>
          <w:rFonts w:ascii="Arial" w:hAnsi="Arial" w:cs="Arial"/>
          <w:lang w:val="mk-MK"/>
        </w:rPr>
        <w:t xml:space="preserve"> </w:t>
      </w:r>
      <w:proofErr w:type="spellStart"/>
      <w:r w:rsidRPr="000B05FC">
        <w:rPr>
          <w:rFonts w:ascii="Arial" w:hAnsi="Arial" w:cs="Arial"/>
          <w:lang w:val="mk-MK"/>
        </w:rPr>
        <w:t>between</w:t>
      </w:r>
      <w:proofErr w:type="spellEnd"/>
      <w:r w:rsidRPr="000B05FC">
        <w:rPr>
          <w:rFonts w:ascii="Arial" w:hAnsi="Arial" w:cs="Arial"/>
          <w:lang w:val="mk-MK"/>
        </w:rPr>
        <w:t xml:space="preserve"> </w:t>
      </w: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asset’s</w:t>
      </w:r>
      <w:proofErr w:type="spellEnd"/>
      <w:r w:rsidRPr="000B05FC">
        <w:rPr>
          <w:rFonts w:ascii="Arial" w:hAnsi="Arial" w:cs="Arial"/>
          <w:lang w:val="mk-MK"/>
        </w:rPr>
        <w:t xml:space="preserve"> </w:t>
      </w:r>
      <w:proofErr w:type="spellStart"/>
      <w:r w:rsidRPr="000B05FC">
        <w:rPr>
          <w:rFonts w:ascii="Arial" w:hAnsi="Arial" w:cs="Arial"/>
          <w:lang w:val="mk-MK"/>
        </w:rPr>
        <w:t>carrying</w:t>
      </w:r>
      <w:proofErr w:type="spellEnd"/>
      <w:r w:rsidRPr="000B05FC">
        <w:rPr>
          <w:rFonts w:ascii="Arial" w:hAnsi="Arial" w:cs="Arial"/>
          <w:lang w:val="mk-MK"/>
        </w:rPr>
        <w:t xml:space="preserve"> </w:t>
      </w:r>
      <w:proofErr w:type="spellStart"/>
      <w:r w:rsidRPr="000B05FC">
        <w:rPr>
          <w:rFonts w:ascii="Arial" w:hAnsi="Arial" w:cs="Arial"/>
          <w:lang w:val="mk-MK"/>
        </w:rPr>
        <w:t>amount</w:t>
      </w:r>
      <w:proofErr w:type="spellEnd"/>
      <w:r w:rsidRPr="000B05FC">
        <w:rPr>
          <w:rFonts w:ascii="Arial" w:hAnsi="Arial" w:cs="Arial"/>
          <w:lang w:val="mk-MK"/>
        </w:rPr>
        <w:t xml:space="preserve"> </w:t>
      </w:r>
      <w:proofErr w:type="spellStart"/>
      <w:r w:rsidRPr="000B05FC">
        <w:rPr>
          <w:rFonts w:ascii="Arial" w:hAnsi="Arial" w:cs="Arial"/>
          <w:lang w:val="mk-MK"/>
        </w:rPr>
        <w:t>and</w:t>
      </w:r>
      <w:proofErr w:type="spellEnd"/>
      <w:r w:rsidRPr="000B05FC">
        <w:rPr>
          <w:rFonts w:ascii="Arial" w:hAnsi="Arial" w:cs="Arial"/>
          <w:lang w:val="mk-MK"/>
        </w:rPr>
        <w:t xml:space="preserve"> </w:t>
      </w: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present</w:t>
      </w:r>
      <w:proofErr w:type="spellEnd"/>
      <w:r w:rsidRPr="000B05FC">
        <w:rPr>
          <w:rFonts w:ascii="Arial" w:hAnsi="Arial" w:cs="Arial"/>
          <w:lang w:val="mk-MK"/>
        </w:rPr>
        <w:t xml:space="preserve"> </w:t>
      </w:r>
      <w:proofErr w:type="spellStart"/>
      <w:r w:rsidRPr="000B05FC">
        <w:rPr>
          <w:rFonts w:ascii="Arial" w:hAnsi="Arial" w:cs="Arial"/>
          <w:lang w:val="mk-MK"/>
        </w:rPr>
        <w:t>value</w:t>
      </w:r>
      <w:proofErr w:type="spellEnd"/>
      <w:r w:rsidRPr="000B05FC">
        <w:rPr>
          <w:rFonts w:ascii="Arial" w:hAnsi="Arial" w:cs="Arial"/>
          <w:lang w:val="mk-MK"/>
        </w:rPr>
        <w:t xml:space="preserve"> </w:t>
      </w:r>
      <w:proofErr w:type="spellStart"/>
      <w:r w:rsidRPr="000B05FC">
        <w:rPr>
          <w:rFonts w:ascii="Arial" w:hAnsi="Arial" w:cs="Arial"/>
          <w:lang w:val="mk-MK"/>
        </w:rPr>
        <w:t>of</w:t>
      </w:r>
      <w:proofErr w:type="spellEnd"/>
      <w:r w:rsidRPr="000B05FC">
        <w:rPr>
          <w:rFonts w:ascii="Arial" w:hAnsi="Arial" w:cs="Arial"/>
          <w:lang w:val="mk-MK"/>
        </w:rPr>
        <w:t xml:space="preserve"> </w:t>
      </w:r>
      <w:proofErr w:type="spellStart"/>
      <w:r w:rsidRPr="000B05FC">
        <w:rPr>
          <w:rFonts w:ascii="Arial" w:hAnsi="Arial" w:cs="Arial"/>
          <w:lang w:val="mk-MK"/>
        </w:rPr>
        <w:t>estimated</w:t>
      </w:r>
      <w:proofErr w:type="spellEnd"/>
      <w:r w:rsidRPr="000B05FC">
        <w:rPr>
          <w:rFonts w:ascii="Arial" w:hAnsi="Arial" w:cs="Arial"/>
          <w:lang w:val="mk-MK"/>
        </w:rPr>
        <w:t xml:space="preserve"> </w:t>
      </w:r>
      <w:proofErr w:type="spellStart"/>
      <w:r w:rsidRPr="000B05FC">
        <w:rPr>
          <w:rFonts w:ascii="Arial" w:hAnsi="Arial" w:cs="Arial"/>
          <w:lang w:val="mk-MK"/>
        </w:rPr>
        <w:t>future</w:t>
      </w:r>
      <w:proofErr w:type="spellEnd"/>
      <w:r w:rsidRPr="000B05FC">
        <w:rPr>
          <w:rFonts w:ascii="Arial" w:hAnsi="Arial" w:cs="Arial"/>
          <w:lang w:val="mk-MK"/>
        </w:rPr>
        <w:t xml:space="preserve"> </w:t>
      </w:r>
      <w:proofErr w:type="spellStart"/>
      <w:r w:rsidRPr="000B05FC">
        <w:rPr>
          <w:rFonts w:ascii="Arial" w:hAnsi="Arial" w:cs="Arial"/>
          <w:lang w:val="mk-MK"/>
        </w:rPr>
        <w:t>cash</w:t>
      </w:r>
      <w:proofErr w:type="spellEnd"/>
      <w:r w:rsidRPr="000B05FC">
        <w:rPr>
          <w:rFonts w:ascii="Arial" w:hAnsi="Arial" w:cs="Arial"/>
          <w:lang w:val="mk-MK"/>
        </w:rPr>
        <w:t xml:space="preserve"> </w:t>
      </w:r>
      <w:proofErr w:type="spellStart"/>
      <w:r w:rsidRPr="000B05FC">
        <w:rPr>
          <w:rFonts w:ascii="Arial" w:hAnsi="Arial" w:cs="Arial"/>
          <w:lang w:val="mk-MK"/>
        </w:rPr>
        <w:t>flows</w:t>
      </w:r>
      <w:proofErr w:type="spellEnd"/>
      <w:r w:rsidRPr="000B05FC">
        <w:rPr>
          <w:rFonts w:ascii="Arial" w:hAnsi="Arial" w:cs="Arial"/>
          <w:lang w:val="mk-MK"/>
        </w:rPr>
        <w:t xml:space="preserve"> (</w:t>
      </w:r>
      <w:proofErr w:type="spellStart"/>
      <w:r w:rsidRPr="000B05FC">
        <w:rPr>
          <w:rFonts w:ascii="Arial" w:hAnsi="Arial" w:cs="Arial"/>
          <w:lang w:val="mk-MK"/>
        </w:rPr>
        <w:t>excluding</w:t>
      </w:r>
      <w:proofErr w:type="spellEnd"/>
      <w:r w:rsidRPr="000B05FC">
        <w:rPr>
          <w:rFonts w:ascii="Arial" w:hAnsi="Arial" w:cs="Arial"/>
          <w:lang w:val="mk-MK"/>
        </w:rPr>
        <w:t xml:space="preserve"> </w:t>
      </w:r>
      <w:proofErr w:type="spellStart"/>
      <w:r w:rsidRPr="000B05FC">
        <w:rPr>
          <w:rFonts w:ascii="Arial" w:hAnsi="Arial" w:cs="Arial"/>
          <w:lang w:val="mk-MK"/>
        </w:rPr>
        <w:t>future</w:t>
      </w:r>
      <w:proofErr w:type="spellEnd"/>
      <w:r w:rsidRPr="000B05FC">
        <w:rPr>
          <w:rFonts w:ascii="Arial" w:hAnsi="Arial" w:cs="Arial"/>
          <w:lang w:val="mk-MK"/>
        </w:rPr>
        <w:t xml:space="preserve"> </w:t>
      </w:r>
      <w:proofErr w:type="spellStart"/>
      <w:r w:rsidRPr="000B05FC">
        <w:rPr>
          <w:rFonts w:ascii="Arial" w:hAnsi="Arial" w:cs="Arial"/>
          <w:lang w:val="mk-MK"/>
        </w:rPr>
        <w:t>credit</w:t>
      </w:r>
      <w:proofErr w:type="spellEnd"/>
      <w:r w:rsidRPr="000B05FC">
        <w:rPr>
          <w:rFonts w:ascii="Arial" w:hAnsi="Arial" w:cs="Arial"/>
          <w:lang w:val="mk-MK"/>
        </w:rPr>
        <w:t xml:space="preserve"> </w:t>
      </w:r>
      <w:proofErr w:type="spellStart"/>
      <w:r w:rsidRPr="000B05FC">
        <w:rPr>
          <w:rFonts w:ascii="Arial" w:hAnsi="Arial" w:cs="Arial"/>
          <w:lang w:val="mk-MK"/>
        </w:rPr>
        <w:t>losses</w:t>
      </w:r>
      <w:proofErr w:type="spellEnd"/>
      <w:r w:rsidRPr="000B05FC">
        <w:rPr>
          <w:rFonts w:ascii="Arial" w:hAnsi="Arial" w:cs="Arial"/>
          <w:lang w:val="mk-MK"/>
        </w:rPr>
        <w:t xml:space="preserve">) </w:t>
      </w:r>
      <w:proofErr w:type="spellStart"/>
      <w:r w:rsidRPr="000B05FC">
        <w:rPr>
          <w:rFonts w:ascii="Arial" w:hAnsi="Arial" w:cs="Arial"/>
          <w:lang w:val="mk-MK"/>
        </w:rPr>
        <w:t>discounted</w:t>
      </w:r>
      <w:proofErr w:type="spellEnd"/>
      <w:r w:rsidRPr="000B05FC">
        <w:rPr>
          <w:rFonts w:ascii="Arial" w:hAnsi="Arial" w:cs="Arial"/>
          <w:lang w:val="mk-MK"/>
        </w:rPr>
        <w:t xml:space="preserve"> </w:t>
      </w:r>
      <w:proofErr w:type="spellStart"/>
      <w:r w:rsidRPr="000B05FC">
        <w:rPr>
          <w:rFonts w:ascii="Arial" w:hAnsi="Arial" w:cs="Arial"/>
          <w:lang w:val="mk-MK"/>
        </w:rPr>
        <w:t>at</w:t>
      </w:r>
      <w:proofErr w:type="spellEnd"/>
      <w:r w:rsidRPr="000B05FC">
        <w:rPr>
          <w:rFonts w:ascii="Arial" w:hAnsi="Arial" w:cs="Arial"/>
          <w:lang w:val="mk-MK"/>
        </w:rPr>
        <w:t xml:space="preserve"> </w:t>
      </w: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financial</w:t>
      </w:r>
      <w:proofErr w:type="spellEnd"/>
      <w:r w:rsidRPr="000B05FC">
        <w:rPr>
          <w:rFonts w:ascii="Arial" w:hAnsi="Arial" w:cs="Arial"/>
          <w:lang w:val="mk-MK"/>
        </w:rPr>
        <w:t xml:space="preserve"> </w:t>
      </w:r>
      <w:proofErr w:type="spellStart"/>
      <w:r w:rsidRPr="000B05FC">
        <w:rPr>
          <w:rFonts w:ascii="Arial" w:hAnsi="Arial" w:cs="Arial"/>
          <w:lang w:val="mk-MK"/>
        </w:rPr>
        <w:t>asset’s</w:t>
      </w:r>
      <w:proofErr w:type="spellEnd"/>
      <w:r w:rsidRPr="000B05FC">
        <w:rPr>
          <w:rFonts w:ascii="Arial" w:hAnsi="Arial" w:cs="Arial"/>
          <w:lang w:val="mk-MK"/>
        </w:rPr>
        <w:t xml:space="preserve"> </w:t>
      </w:r>
      <w:proofErr w:type="spellStart"/>
      <w:r w:rsidRPr="000B05FC">
        <w:rPr>
          <w:rFonts w:ascii="Arial" w:hAnsi="Arial" w:cs="Arial"/>
          <w:lang w:val="mk-MK"/>
        </w:rPr>
        <w:t>original</w:t>
      </w:r>
      <w:proofErr w:type="spellEnd"/>
      <w:r w:rsidRPr="000B05FC">
        <w:rPr>
          <w:rFonts w:ascii="Arial" w:hAnsi="Arial" w:cs="Arial"/>
          <w:lang w:val="mk-MK"/>
        </w:rPr>
        <w:t xml:space="preserve"> </w:t>
      </w:r>
      <w:proofErr w:type="spellStart"/>
      <w:r w:rsidRPr="000B05FC">
        <w:rPr>
          <w:rFonts w:ascii="Arial" w:hAnsi="Arial" w:cs="Arial"/>
          <w:lang w:val="mk-MK"/>
        </w:rPr>
        <w:t>effective</w:t>
      </w:r>
      <w:proofErr w:type="spellEnd"/>
      <w:r w:rsidRPr="000B05FC">
        <w:rPr>
          <w:rFonts w:ascii="Arial" w:hAnsi="Arial" w:cs="Arial"/>
          <w:lang w:val="mk-MK"/>
        </w:rPr>
        <w:t xml:space="preserve"> </w:t>
      </w:r>
      <w:proofErr w:type="spellStart"/>
      <w:r w:rsidRPr="000B05FC">
        <w:rPr>
          <w:rFonts w:ascii="Arial" w:hAnsi="Arial" w:cs="Arial"/>
          <w:lang w:val="mk-MK"/>
        </w:rPr>
        <w:t>interest</w:t>
      </w:r>
      <w:proofErr w:type="spellEnd"/>
      <w:r w:rsidRPr="000B05FC">
        <w:rPr>
          <w:rFonts w:ascii="Arial" w:hAnsi="Arial" w:cs="Arial"/>
          <w:lang w:val="mk-MK"/>
        </w:rPr>
        <w:t xml:space="preserve"> </w:t>
      </w:r>
      <w:proofErr w:type="spellStart"/>
      <w:r w:rsidRPr="000B05FC">
        <w:rPr>
          <w:rFonts w:ascii="Arial" w:hAnsi="Arial" w:cs="Arial"/>
          <w:lang w:val="mk-MK"/>
        </w:rPr>
        <w:t>rate</w:t>
      </w:r>
      <w:proofErr w:type="spellEnd"/>
      <w:r w:rsidRPr="000B05FC">
        <w:rPr>
          <w:rFonts w:ascii="Arial" w:hAnsi="Arial" w:cs="Arial"/>
          <w:lang w:val="mk-MK"/>
        </w:rPr>
        <w:t xml:space="preserve">. </w:t>
      </w: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carrying</w:t>
      </w:r>
      <w:proofErr w:type="spellEnd"/>
      <w:r w:rsidRPr="000B05FC">
        <w:rPr>
          <w:rFonts w:ascii="Arial" w:hAnsi="Arial" w:cs="Arial"/>
          <w:lang w:val="mk-MK"/>
        </w:rPr>
        <w:t xml:space="preserve"> </w:t>
      </w:r>
      <w:proofErr w:type="spellStart"/>
      <w:r w:rsidRPr="000B05FC">
        <w:rPr>
          <w:rFonts w:ascii="Arial" w:hAnsi="Arial" w:cs="Arial"/>
          <w:lang w:val="mk-MK"/>
        </w:rPr>
        <w:t>amount</w:t>
      </w:r>
      <w:proofErr w:type="spellEnd"/>
      <w:r w:rsidRPr="000B05FC">
        <w:rPr>
          <w:rFonts w:ascii="Arial" w:hAnsi="Arial" w:cs="Arial"/>
          <w:lang w:val="mk-MK"/>
        </w:rPr>
        <w:t xml:space="preserve"> </w:t>
      </w:r>
      <w:proofErr w:type="spellStart"/>
      <w:r w:rsidRPr="000B05FC">
        <w:rPr>
          <w:rFonts w:ascii="Arial" w:hAnsi="Arial" w:cs="Arial"/>
          <w:lang w:val="mk-MK"/>
        </w:rPr>
        <w:t>of</w:t>
      </w:r>
      <w:proofErr w:type="spellEnd"/>
      <w:r w:rsidRPr="000B05FC">
        <w:rPr>
          <w:rFonts w:ascii="Arial" w:hAnsi="Arial" w:cs="Arial"/>
          <w:lang w:val="mk-MK"/>
        </w:rPr>
        <w:t xml:space="preserve"> </w:t>
      </w: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asset</w:t>
      </w:r>
      <w:proofErr w:type="spellEnd"/>
      <w:r w:rsidRPr="000B05FC">
        <w:rPr>
          <w:rFonts w:ascii="Arial" w:hAnsi="Arial" w:cs="Arial"/>
          <w:lang w:val="mk-MK"/>
        </w:rPr>
        <w:t xml:space="preserve"> </w:t>
      </w:r>
      <w:proofErr w:type="spellStart"/>
      <w:r w:rsidRPr="000B05FC">
        <w:rPr>
          <w:rFonts w:ascii="Arial" w:hAnsi="Arial" w:cs="Arial"/>
          <w:lang w:val="mk-MK"/>
        </w:rPr>
        <w:t>is</w:t>
      </w:r>
      <w:proofErr w:type="spellEnd"/>
      <w:r w:rsidRPr="000B05FC">
        <w:rPr>
          <w:rFonts w:ascii="Arial" w:hAnsi="Arial" w:cs="Arial"/>
          <w:lang w:val="mk-MK"/>
        </w:rPr>
        <w:t xml:space="preserve"> </w:t>
      </w:r>
      <w:proofErr w:type="spellStart"/>
      <w:r w:rsidRPr="000B05FC">
        <w:rPr>
          <w:rFonts w:ascii="Arial" w:hAnsi="Arial" w:cs="Arial"/>
          <w:lang w:val="mk-MK"/>
        </w:rPr>
        <w:t>reduced</w:t>
      </w:r>
      <w:proofErr w:type="spellEnd"/>
      <w:r w:rsidRPr="000B05FC">
        <w:rPr>
          <w:rFonts w:ascii="Arial" w:hAnsi="Arial" w:cs="Arial"/>
          <w:lang w:val="mk-MK"/>
        </w:rPr>
        <w:t xml:space="preserve"> </w:t>
      </w:r>
      <w:proofErr w:type="spellStart"/>
      <w:r w:rsidRPr="000B05FC">
        <w:rPr>
          <w:rFonts w:ascii="Arial" w:hAnsi="Arial" w:cs="Arial"/>
          <w:lang w:val="mk-MK"/>
        </w:rPr>
        <w:t>by</w:t>
      </w:r>
      <w:proofErr w:type="spellEnd"/>
      <w:r w:rsidRPr="000B05FC">
        <w:rPr>
          <w:rFonts w:ascii="Arial" w:hAnsi="Arial" w:cs="Arial"/>
          <w:lang w:val="mk-MK"/>
        </w:rPr>
        <w:t xml:space="preserve"> </w:t>
      </w:r>
      <w:proofErr w:type="spellStart"/>
      <w:r w:rsidRPr="000B05FC">
        <w:rPr>
          <w:rFonts w:ascii="Arial" w:hAnsi="Arial" w:cs="Arial"/>
          <w:lang w:val="mk-MK"/>
        </w:rPr>
        <w:t>an</w:t>
      </w:r>
      <w:proofErr w:type="spellEnd"/>
      <w:r w:rsidRPr="000B05FC">
        <w:rPr>
          <w:rFonts w:ascii="Arial" w:hAnsi="Arial" w:cs="Arial"/>
          <w:lang w:val="mk-MK"/>
        </w:rPr>
        <w:t xml:space="preserve"> </w:t>
      </w:r>
      <w:proofErr w:type="spellStart"/>
      <w:r w:rsidRPr="000B05FC">
        <w:rPr>
          <w:rFonts w:ascii="Arial" w:hAnsi="Arial" w:cs="Arial"/>
          <w:lang w:val="mk-MK"/>
        </w:rPr>
        <w:t>allowance</w:t>
      </w:r>
      <w:proofErr w:type="spellEnd"/>
      <w:r w:rsidRPr="000B05FC">
        <w:rPr>
          <w:rFonts w:ascii="Arial" w:hAnsi="Arial" w:cs="Arial"/>
          <w:lang w:val="mk-MK"/>
        </w:rPr>
        <w:t xml:space="preserve"> </w:t>
      </w:r>
      <w:proofErr w:type="spellStart"/>
      <w:r w:rsidRPr="000B05FC">
        <w:rPr>
          <w:rFonts w:ascii="Arial" w:hAnsi="Arial" w:cs="Arial"/>
          <w:lang w:val="mk-MK"/>
        </w:rPr>
        <w:t>for</w:t>
      </w:r>
      <w:proofErr w:type="spellEnd"/>
      <w:r w:rsidRPr="000B05FC">
        <w:rPr>
          <w:rFonts w:ascii="Arial" w:hAnsi="Arial" w:cs="Arial"/>
          <w:lang w:val="mk-MK"/>
        </w:rPr>
        <w:t xml:space="preserve"> </w:t>
      </w:r>
      <w:proofErr w:type="spellStart"/>
      <w:r w:rsidRPr="000B05FC">
        <w:rPr>
          <w:rFonts w:ascii="Arial" w:hAnsi="Arial" w:cs="Arial"/>
          <w:lang w:val="mk-MK"/>
        </w:rPr>
        <w:t>impairment</w:t>
      </w:r>
      <w:proofErr w:type="spellEnd"/>
      <w:r w:rsidRPr="000B05FC">
        <w:rPr>
          <w:rFonts w:ascii="Arial" w:hAnsi="Arial" w:cs="Arial"/>
          <w:lang w:val="mk-MK"/>
        </w:rPr>
        <w:t xml:space="preserve"> </w:t>
      </w:r>
      <w:proofErr w:type="spellStart"/>
      <w:r w:rsidRPr="000B05FC">
        <w:rPr>
          <w:rFonts w:ascii="Arial" w:hAnsi="Arial" w:cs="Arial"/>
          <w:lang w:val="mk-MK"/>
        </w:rPr>
        <w:t>and</w:t>
      </w:r>
      <w:proofErr w:type="spellEnd"/>
      <w:r w:rsidRPr="000B05FC">
        <w:rPr>
          <w:rFonts w:ascii="Arial" w:hAnsi="Arial" w:cs="Arial"/>
          <w:lang w:val="mk-MK"/>
        </w:rPr>
        <w:t xml:space="preserve"> </w:t>
      </w: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amount</w:t>
      </w:r>
      <w:proofErr w:type="spellEnd"/>
      <w:r w:rsidRPr="000B05FC">
        <w:rPr>
          <w:rFonts w:ascii="Arial" w:hAnsi="Arial" w:cs="Arial"/>
          <w:lang w:val="mk-MK"/>
        </w:rPr>
        <w:t xml:space="preserve"> </w:t>
      </w:r>
      <w:proofErr w:type="spellStart"/>
      <w:r w:rsidRPr="000B05FC">
        <w:rPr>
          <w:rFonts w:ascii="Arial" w:hAnsi="Arial" w:cs="Arial"/>
          <w:lang w:val="mk-MK"/>
        </w:rPr>
        <w:t>of</w:t>
      </w:r>
      <w:proofErr w:type="spellEnd"/>
      <w:r w:rsidRPr="000B05FC">
        <w:rPr>
          <w:rFonts w:ascii="Arial" w:hAnsi="Arial" w:cs="Arial"/>
          <w:lang w:val="mk-MK"/>
        </w:rPr>
        <w:t xml:space="preserve"> </w:t>
      </w: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impairment</w:t>
      </w:r>
      <w:proofErr w:type="spellEnd"/>
      <w:r w:rsidRPr="000B05FC">
        <w:rPr>
          <w:rFonts w:ascii="Arial" w:hAnsi="Arial" w:cs="Arial"/>
          <w:lang w:val="mk-MK"/>
        </w:rPr>
        <w:t xml:space="preserve"> </w:t>
      </w:r>
      <w:proofErr w:type="spellStart"/>
      <w:r w:rsidRPr="000B05FC">
        <w:rPr>
          <w:rFonts w:ascii="Arial" w:hAnsi="Arial" w:cs="Arial"/>
          <w:lang w:val="mk-MK"/>
        </w:rPr>
        <w:t>loss</w:t>
      </w:r>
      <w:proofErr w:type="spellEnd"/>
      <w:r w:rsidRPr="000B05FC">
        <w:rPr>
          <w:rFonts w:ascii="Arial" w:hAnsi="Arial" w:cs="Arial"/>
          <w:lang w:val="mk-MK"/>
        </w:rPr>
        <w:t xml:space="preserve"> </w:t>
      </w:r>
      <w:proofErr w:type="spellStart"/>
      <w:r w:rsidRPr="000B05FC">
        <w:rPr>
          <w:rFonts w:ascii="Arial" w:hAnsi="Arial" w:cs="Arial"/>
          <w:lang w:val="mk-MK"/>
        </w:rPr>
        <w:t>is</w:t>
      </w:r>
      <w:proofErr w:type="spellEnd"/>
      <w:r w:rsidRPr="000B05FC">
        <w:rPr>
          <w:rFonts w:ascii="Arial" w:hAnsi="Arial" w:cs="Arial"/>
          <w:lang w:val="mk-MK"/>
        </w:rPr>
        <w:t xml:space="preserve"> </w:t>
      </w:r>
      <w:proofErr w:type="spellStart"/>
      <w:r w:rsidRPr="000B05FC">
        <w:rPr>
          <w:rFonts w:ascii="Arial" w:hAnsi="Arial" w:cs="Arial"/>
          <w:lang w:val="mk-MK"/>
        </w:rPr>
        <w:t>recognized</w:t>
      </w:r>
      <w:proofErr w:type="spellEnd"/>
      <w:r w:rsidRPr="000B05FC">
        <w:rPr>
          <w:rFonts w:ascii="Arial" w:hAnsi="Arial" w:cs="Arial"/>
          <w:lang w:val="mk-MK"/>
        </w:rPr>
        <w:t xml:space="preserve"> </w:t>
      </w:r>
      <w:proofErr w:type="spellStart"/>
      <w:r w:rsidRPr="000B05FC">
        <w:rPr>
          <w:rFonts w:ascii="Arial" w:hAnsi="Arial" w:cs="Arial"/>
          <w:lang w:val="mk-MK"/>
        </w:rPr>
        <w:t>in</w:t>
      </w:r>
      <w:proofErr w:type="spellEnd"/>
      <w:r w:rsidRPr="000B05FC">
        <w:rPr>
          <w:rFonts w:ascii="Arial" w:hAnsi="Arial" w:cs="Arial"/>
          <w:lang w:val="mk-MK"/>
        </w:rPr>
        <w:t xml:space="preserve"> </w:t>
      </w: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current</w:t>
      </w:r>
      <w:proofErr w:type="spellEnd"/>
      <w:r w:rsidRPr="000B05FC">
        <w:rPr>
          <w:rFonts w:ascii="Arial" w:hAnsi="Arial" w:cs="Arial"/>
          <w:lang w:val="mk-MK"/>
        </w:rPr>
        <w:t xml:space="preserve"> </w:t>
      </w:r>
      <w:proofErr w:type="spellStart"/>
      <w:r w:rsidRPr="000B05FC">
        <w:rPr>
          <w:rFonts w:ascii="Arial" w:hAnsi="Arial" w:cs="Arial"/>
          <w:lang w:val="mk-MK"/>
        </w:rPr>
        <w:t>Statement</w:t>
      </w:r>
      <w:proofErr w:type="spellEnd"/>
      <w:r w:rsidRPr="000B05FC">
        <w:rPr>
          <w:rFonts w:ascii="Arial" w:hAnsi="Arial" w:cs="Arial"/>
          <w:lang w:val="mk-MK"/>
        </w:rPr>
        <w:t xml:space="preserve"> </w:t>
      </w:r>
      <w:proofErr w:type="spellStart"/>
      <w:r w:rsidRPr="000B05FC">
        <w:rPr>
          <w:rFonts w:ascii="Arial" w:hAnsi="Arial" w:cs="Arial"/>
          <w:lang w:val="mk-MK"/>
        </w:rPr>
        <w:t>of</w:t>
      </w:r>
      <w:proofErr w:type="spellEnd"/>
      <w:r w:rsidRPr="000B05FC">
        <w:rPr>
          <w:rFonts w:ascii="Arial" w:hAnsi="Arial" w:cs="Arial"/>
          <w:lang w:val="mk-MK"/>
        </w:rPr>
        <w:t xml:space="preserve"> </w:t>
      </w:r>
      <w:proofErr w:type="spellStart"/>
      <w:r w:rsidRPr="000B05FC">
        <w:rPr>
          <w:rFonts w:ascii="Arial" w:hAnsi="Arial" w:cs="Arial"/>
          <w:lang w:val="mk-MK"/>
        </w:rPr>
        <w:t>comprehensive</w:t>
      </w:r>
      <w:proofErr w:type="spellEnd"/>
      <w:r w:rsidRPr="000B05FC">
        <w:rPr>
          <w:rFonts w:ascii="Arial" w:hAnsi="Arial" w:cs="Arial"/>
          <w:lang w:val="mk-MK"/>
        </w:rPr>
        <w:t xml:space="preserve"> </w:t>
      </w:r>
      <w:proofErr w:type="spellStart"/>
      <w:r w:rsidRPr="000B05FC">
        <w:rPr>
          <w:rFonts w:ascii="Arial" w:hAnsi="Arial" w:cs="Arial"/>
          <w:lang w:val="mk-MK"/>
        </w:rPr>
        <w:t>income</w:t>
      </w:r>
      <w:proofErr w:type="spellEnd"/>
      <w:r w:rsidRPr="000B05FC">
        <w:rPr>
          <w:rFonts w:ascii="Arial" w:hAnsi="Arial" w:cs="Arial"/>
          <w:lang w:val="mk-MK"/>
        </w:rPr>
        <w:t>.</w:t>
      </w:r>
    </w:p>
    <w:p w14:paraId="61216D89" w14:textId="02B454F6" w:rsidR="00815E65" w:rsidRDefault="00815E65" w:rsidP="00815E65">
      <w:pPr>
        <w:pStyle w:val="BodyText"/>
        <w:jc w:val="both"/>
        <w:rPr>
          <w:rFonts w:ascii="Arial" w:hAnsi="Arial" w:cs="Arial"/>
          <w:b/>
          <w:color w:val="4F2D7F"/>
          <w:lang w:val="mk-MK"/>
        </w:rPr>
      </w:pPr>
    </w:p>
    <w:p w14:paraId="5B2C216E" w14:textId="470B5E6B" w:rsidR="00126FCB" w:rsidRDefault="00126FCB" w:rsidP="00815E65">
      <w:pPr>
        <w:pStyle w:val="BodyText"/>
        <w:jc w:val="both"/>
        <w:rPr>
          <w:rFonts w:ascii="Arial" w:hAnsi="Arial" w:cs="Arial"/>
          <w:b/>
          <w:color w:val="4F2D7F"/>
          <w:lang w:val="mk-MK"/>
        </w:rPr>
      </w:pPr>
    </w:p>
    <w:p w14:paraId="1A31F71B" w14:textId="09E17E2F" w:rsidR="00126FCB" w:rsidRDefault="00126FCB" w:rsidP="00815E65">
      <w:pPr>
        <w:pStyle w:val="BodyText"/>
        <w:jc w:val="both"/>
        <w:rPr>
          <w:rFonts w:ascii="Arial" w:hAnsi="Arial" w:cs="Arial"/>
          <w:b/>
          <w:color w:val="4F2D7F"/>
          <w:lang w:val="mk-MK"/>
        </w:rPr>
      </w:pPr>
    </w:p>
    <w:p w14:paraId="2AB28D78" w14:textId="1EE9F782" w:rsidR="00126FCB" w:rsidRDefault="00126FCB" w:rsidP="00815E65">
      <w:pPr>
        <w:pStyle w:val="BodyText"/>
        <w:jc w:val="both"/>
        <w:rPr>
          <w:rFonts w:ascii="Arial" w:hAnsi="Arial" w:cs="Arial"/>
          <w:b/>
          <w:color w:val="4F2D7F"/>
          <w:lang w:val="mk-MK"/>
        </w:rPr>
      </w:pPr>
    </w:p>
    <w:p w14:paraId="10C8F193" w14:textId="07E8427D" w:rsidR="00126FCB" w:rsidRDefault="00126FCB" w:rsidP="00815E65">
      <w:pPr>
        <w:pStyle w:val="BodyText"/>
        <w:jc w:val="both"/>
        <w:rPr>
          <w:rFonts w:ascii="Arial" w:hAnsi="Arial" w:cs="Arial"/>
          <w:b/>
          <w:color w:val="4F2D7F"/>
          <w:lang w:val="mk-MK"/>
        </w:rPr>
      </w:pPr>
    </w:p>
    <w:p w14:paraId="744B5DB8" w14:textId="77777777" w:rsidR="00126FCB" w:rsidRPr="00CE3053" w:rsidRDefault="00126FCB" w:rsidP="00815E65">
      <w:pPr>
        <w:pStyle w:val="BodyText"/>
        <w:jc w:val="both"/>
        <w:rPr>
          <w:rFonts w:ascii="Arial" w:hAnsi="Arial" w:cs="Arial"/>
          <w:b/>
          <w:color w:val="4F2D7F"/>
          <w:lang w:val="mk-MK"/>
        </w:rPr>
      </w:pPr>
    </w:p>
    <w:p w14:paraId="5A74064C" w14:textId="484FEDEB" w:rsidR="00815E65" w:rsidRPr="001E6526" w:rsidRDefault="000B05FC" w:rsidP="0061511C">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Pr>
          <w:rFonts w:ascii="Arial" w:hAnsi="Arial" w:cs="Arial"/>
          <w:b/>
          <w:color w:val="4F2D7F"/>
          <w:sz w:val="18"/>
          <w:lang w:val="en-US"/>
        </w:rPr>
        <w:lastRenderedPageBreak/>
        <w:t>Property and equipment</w:t>
      </w:r>
    </w:p>
    <w:p w14:paraId="3022702C" w14:textId="68EDB0EA" w:rsidR="00815E65" w:rsidRPr="0090486B" w:rsidRDefault="000B05FC" w:rsidP="00815E65">
      <w:pPr>
        <w:pStyle w:val="BodyText"/>
        <w:jc w:val="both"/>
        <w:rPr>
          <w:rFonts w:ascii="Arial" w:hAnsi="Arial" w:cs="Arial"/>
          <w:lang w:val="en-US"/>
        </w:rPr>
      </w:pPr>
      <w:proofErr w:type="spellStart"/>
      <w:r w:rsidRPr="000B05FC">
        <w:rPr>
          <w:rFonts w:ascii="Arial" w:hAnsi="Arial" w:cs="Arial"/>
          <w:lang w:val="mk-MK"/>
        </w:rPr>
        <w:t>Property</w:t>
      </w:r>
      <w:proofErr w:type="spellEnd"/>
      <w:r w:rsidRPr="000B05FC">
        <w:rPr>
          <w:rFonts w:ascii="Arial" w:hAnsi="Arial" w:cs="Arial"/>
          <w:lang w:val="mk-MK"/>
        </w:rPr>
        <w:t xml:space="preserve"> </w:t>
      </w:r>
      <w:proofErr w:type="spellStart"/>
      <w:r w:rsidRPr="000B05FC">
        <w:rPr>
          <w:rFonts w:ascii="Arial" w:hAnsi="Arial" w:cs="Arial"/>
          <w:lang w:val="mk-MK"/>
        </w:rPr>
        <w:t>and</w:t>
      </w:r>
      <w:proofErr w:type="spellEnd"/>
      <w:r w:rsidRPr="000B05FC">
        <w:rPr>
          <w:rFonts w:ascii="Arial" w:hAnsi="Arial" w:cs="Arial"/>
          <w:lang w:val="mk-MK"/>
        </w:rPr>
        <w:t xml:space="preserve"> </w:t>
      </w:r>
      <w:proofErr w:type="spellStart"/>
      <w:r w:rsidRPr="000B05FC">
        <w:rPr>
          <w:rFonts w:ascii="Arial" w:hAnsi="Arial" w:cs="Arial"/>
          <w:lang w:val="mk-MK"/>
        </w:rPr>
        <w:t>equipment</w:t>
      </w:r>
      <w:proofErr w:type="spellEnd"/>
      <w:r w:rsidRPr="000B05FC">
        <w:rPr>
          <w:rFonts w:ascii="Arial" w:hAnsi="Arial" w:cs="Arial"/>
          <w:lang w:val="mk-MK"/>
        </w:rPr>
        <w:t xml:space="preserve"> </w:t>
      </w:r>
      <w:proofErr w:type="spellStart"/>
      <w:r w:rsidRPr="000B05FC">
        <w:rPr>
          <w:rFonts w:ascii="Arial" w:hAnsi="Arial" w:cs="Arial"/>
          <w:lang w:val="mk-MK"/>
        </w:rPr>
        <w:t>are</w:t>
      </w:r>
      <w:proofErr w:type="spellEnd"/>
      <w:r w:rsidRPr="000B05FC">
        <w:rPr>
          <w:rFonts w:ascii="Arial" w:hAnsi="Arial" w:cs="Arial"/>
          <w:lang w:val="mk-MK"/>
        </w:rPr>
        <w:t xml:space="preserve"> </w:t>
      </w:r>
      <w:proofErr w:type="spellStart"/>
      <w:r w:rsidRPr="000B05FC">
        <w:rPr>
          <w:rFonts w:ascii="Arial" w:hAnsi="Arial" w:cs="Arial"/>
          <w:lang w:val="mk-MK"/>
        </w:rPr>
        <w:t>carried</w:t>
      </w:r>
      <w:proofErr w:type="spellEnd"/>
      <w:r w:rsidRPr="000B05FC">
        <w:rPr>
          <w:rFonts w:ascii="Arial" w:hAnsi="Arial" w:cs="Arial"/>
          <w:lang w:val="mk-MK"/>
        </w:rPr>
        <w:t xml:space="preserve"> </w:t>
      </w:r>
      <w:proofErr w:type="spellStart"/>
      <w:r w:rsidRPr="000B05FC">
        <w:rPr>
          <w:rFonts w:ascii="Arial" w:hAnsi="Arial" w:cs="Arial"/>
          <w:lang w:val="mk-MK"/>
        </w:rPr>
        <w:t>at</w:t>
      </w:r>
      <w:proofErr w:type="spellEnd"/>
      <w:r w:rsidRPr="000B05FC">
        <w:rPr>
          <w:rFonts w:ascii="Arial" w:hAnsi="Arial" w:cs="Arial"/>
          <w:lang w:val="mk-MK"/>
        </w:rPr>
        <w:t xml:space="preserve"> </w:t>
      </w:r>
      <w:proofErr w:type="spellStart"/>
      <w:r w:rsidRPr="000B05FC">
        <w:rPr>
          <w:rFonts w:ascii="Arial" w:hAnsi="Arial" w:cs="Arial"/>
          <w:lang w:val="mk-MK"/>
        </w:rPr>
        <w:t>cost</w:t>
      </w:r>
      <w:proofErr w:type="spellEnd"/>
      <w:r w:rsidRPr="000B05FC">
        <w:rPr>
          <w:rFonts w:ascii="Arial" w:hAnsi="Arial" w:cs="Arial"/>
          <w:lang w:val="mk-MK"/>
        </w:rPr>
        <w:t xml:space="preserve">, </w:t>
      </w:r>
      <w:proofErr w:type="spellStart"/>
      <w:r w:rsidRPr="000B05FC">
        <w:rPr>
          <w:rFonts w:ascii="Arial" w:hAnsi="Arial" w:cs="Arial"/>
          <w:lang w:val="mk-MK"/>
        </w:rPr>
        <w:t>less</w:t>
      </w:r>
      <w:proofErr w:type="spellEnd"/>
      <w:r w:rsidRPr="000B05FC">
        <w:rPr>
          <w:rFonts w:ascii="Arial" w:hAnsi="Arial" w:cs="Arial"/>
          <w:lang w:val="mk-MK"/>
        </w:rPr>
        <w:t xml:space="preserve"> </w:t>
      </w:r>
      <w:proofErr w:type="spellStart"/>
      <w:r w:rsidRPr="000B05FC">
        <w:rPr>
          <w:rFonts w:ascii="Arial" w:hAnsi="Arial" w:cs="Arial"/>
          <w:lang w:val="mk-MK"/>
        </w:rPr>
        <w:t>accumulated</w:t>
      </w:r>
      <w:proofErr w:type="spellEnd"/>
      <w:r w:rsidRPr="000B05FC">
        <w:rPr>
          <w:rFonts w:ascii="Arial" w:hAnsi="Arial" w:cs="Arial"/>
          <w:lang w:val="mk-MK"/>
        </w:rPr>
        <w:t xml:space="preserve"> </w:t>
      </w:r>
      <w:proofErr w:type="spellStart"/>
      <w:r w:rsidRPr="000B05FC">
        <w:rPr>
          <w:rFonts w:ascii="Arial" w:hAnsi="Arial" w:cs="Arial"/>
          <w:lang w:val="mk-MK"/>
        </w:rPr>
        <w:t>depreciation</w:t>
      </w:r>
      <w:proofErr w:type="spellEnd"/>
      <w:r w:rsidRPr="000B05FC">
        <w:rPr>
          <w:rFonts w:ascii="Arial" w:hAnsi="Arial" w:cs="Arial"/>
          <w:lang w:val="mk-MK"/>
        </w:rPr>
        <w:t xml:space="preserve"> </w:t>
      </w:r>
      <w:proofErr w:type="spellStart"/>
      <w:r w:rsidRPr="000B05FC">
        <w:rPr>
          <w:rFonts w:ascii="Arial" w:hAnsi="Arial" w:cs="Arial"/>
          <w:lang w:val="mk-MK"/>
        </w:rPr>
        <w:t>and</w:t>
      </w:r>
      <w:proofErr w:type="spellEnd"/>
      <w:r w:rsidRPr="000B05FC">
        <w:rPr>
          <w:rFonts w:ascii="Arial" w:hAnsi="Arial" w:cs="Arial"/>
          <w:lang w:val="mk-MK"/>
        </w:rPr>
        <w:t xml:space="preserve"> </w:t>
      </w:r>
      <w:proofErr w:type="spellStart"/>
      <w:r w:rsidRPr="000B05FC">
        <w:rPr>
          <w:rFonts w:ascii="Arial" w:hAnsi="Arial" w:cs="Arial"/>
          <w:lang w:val="mk-MK"/>
        </w:rPr>
        <w:t>impairment</w:t>
      </w:r>
      <w:proofErr w:type="spellEnd"/>
      <w:r w:rsidRPr="000B05FC">
        <w:rPr>
          <w:rFonts w:ascii="Arial" w:hAnsi="Arial" w:cs="Arial"/>
          <w:lang w:val="mk-MK"/>
        </w:rPr>
        <w:t xml:space="preserve"> </w:t>
      </w:r>
      <w:proofErr w:type="spellStart"/>
      <w:r w:rsidRPr="000B05FC">
        <w:rPr>
          <w:rFonts w:ascii="Arial" w:hAnsi="Arial" w:cs="Arial"/>
          <w:lang w:val="mk-MK"/>
        </w:rPr>
        <w:t>losses</w:t>
      </w:r>
      <w:proofErr w:type="spellEnd"/>
      <w:r w:rsidRPr="000B05FC">
        <w:rPr>
          <w:rFonts w:ascii="Arial" w:hAnsi="Arial" w:cs="Arial"/>
          <w:lang w:val="mk-MK"/>
        </w:rPr>
        <w:t xml:space="preserve">, </w:t>
      </w:r>
      <w:proofErr w:type="spellStart"/>
      <w:r w:rsidRPr="000B05FC">
        <w:rPr>
          <w:rFonts w:ascii="Arial" w:hAnsi="Arial" w:cs="Arial"/>
          <w:lang w:val="mk-MK"/>
        </w:rPr>
        <w:t>if</w:t>
      </w:r>
      <w:proofErr w:type="spellEnd"/>
      <w:r w:rsidRPr="000B05FC">
        <w:rPr>
          <w:rFonts w:ascii="Arial" w:hAnsi="Arial" w:cs="Arial"/>
          <w:lang w:val="mk-MK"/>
        </w:rPr>
        <w:t xml:space="preserve"> </w:t>
      </w:r>
      <w:proofErr w:type="spellStart"/>
      <w:r w:rsidRPr="000B05FC">
        <w:rPr>
          <w:rFonts w:ascii="Arial" w:hAnsi="Arial" w:cs="Arial"/>
          <w:lang w:val="mk-MK"/>
        </w:rPr>
        <w:t>any</w:t>
      </w:r>
      <w:proofErr w:type="spellEnd"/>
      <w:r w:rsidRPr="000B05FC">
        <w:rPr>
          <w:rFonts w:ascii="Arial" w:hAnsi="Arial" w:cs="Arial"/>
          <w:lang w:val="mk-MK"/>
        </w:rPr>
        <w:t xml:space="preserve">. </w:t>
      </w: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cost</w:t>
      </w:r>
      <w:proofErr w:type="spellEnd"/>
      <w:r w:rsidRPr="000B05FC">
        <w:rPr>
          <w:rFonts w:ascii="Arial" w:hAnsi="Arial" w:cs="Arial"/>
          <w:lang w:val="mk-MK"/>
        </w:rPr>
        <w:t xml:space="preserve"> </w:t>
      </w:r>
      <w:proofErr w:type="spellStart"/>
      <w:r w:rsidRPr="000B05FC">
        <w:rPr>
          <w:rFonts w:ascii="Arial" w:hAnsi="Arial" w:cs="Arial"/>
          <w:lang w:val="mk-MK"/>
        </w:rPr>
        <w:t>includes</w:t>
      </w:r>
      <w:proofErr w:type="spellEnd"/>
      <w:r w:rsidRPr="000B05FC">
        <w:rPr>
          <w:rFonts w:ascii="Arial" w:hAnsi="Arial" w:cs="Arial"/>
          <w:lang w:val="mk-MK"/>
        </w:rPr>
        <w:t xml:space="preserve"> </w:t>
      </w:r>
      <w:proofErr w:type="spellStart"/>
      <w:r w:rsidRPr="000B05FC">
        <w:rPr>
          <w:rFonts w:ascii="Arial" w:hAnsi="Arial" w:cs="Arial"/>
          <w:lang w:val="mk-MK"/>
        </w:rPr>
        <w:t>expenses</w:t>
      </w:r>
      <w:proofErr w:type="spellEnd"/>
      <w:r w:rsidRPr="000B05FC">
        <w:rPr>
          <w:rFonts w:ascii="Arial" w:hAnsi="Arial" w:cs="Arial"/>
          <w:lang w:val="mk-MK"/>
        </w:rPr>
        <w:t xml:space="preserve"> </w:t>
      </w:r>
      <w:proofErr w:type="spellStart"/>
      <w:r w:rsidRPr="000B05FC">
        <w:rPr>
          <w:rFonts w:ascii="Arial" w:hAnsi="Arial" w:cs="Arial"/>
          <w:lang w:val="mk-MK"/>
        </w:rPr>
        <w:t>directly</w:t>
      </w:r>
      <w:proofErr w:type="spellEnd"/>
      <w:r w:rsidRPr="000B05FC">
        <w:rPr>
          <w:rFonts w:ascii="Arial" w:hAnsi="Arial" w:cs="Arial"/>
          <w:lang w:val="mk-MK"/>
        </w:rPr>
        <w:t xml:space="preserve"> </w:t>
      </w:r>
      <w:proofErr w:type="spellStart"/>
      <w:r w:rsidRPr="000B05FC">
        <w:rPr>
          <w:rFonts w:ascii="Arial" w:hAnsi="Arial" w:cs="Arial"/>
          <w:lang w:val="mk-MK"/>
        </w:rPr>
        <w:t>referring</w:t>
      </w:r>
      <w:proofErr w:type="spellEnd"/>
      <w:r w:rsidRPr="000B05FC">
        <w:rPr>
          <w:rFonts w:ascii="Arial" w:hAnsi="Arial" w:cs="Arial"/>
          <w:lang w:val="mk-MK"/>
        </w:rPr>
        <w:t xml:space="preserve"> </w:t>
      </w:r>
      <w:proofErr w:type="spellStart"/>
      <w:r w:rsidRPr="000B05FC">
        <w:rPr>
          <w:rFonts w:ascii="Arial" w:hAnsi="Arial" w:cs="Arial"/>
          <w:lang w:val="mk-MK"/>
        </w:rPr>
        <w:t>to</w:t>
      </w:r>
      <w:proofErr w:type="spellEnd"/>
      <w:r w:rsidRPr="000B05FC">
        <w:rPr>
          <w:rFonts w:ascii="Arial" w:hAnsi="Arial" w:cs="Arial"/>
          <w:lang w:val="mk-MK"/>
        </w:rPr>
        <w:t xml:space="preserve"> </w:t>
      </w: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asset</w:t>
      </w:r>
      <w:proofErr w:type="spellEnd"/>
      <w:r w:rsidRPr="000B05FC">
        <w:rPr>
          <w:rFonts w:ascii="Arial" w:hAnsi="Arial" w:cs="Arial"/>
          <w:lang w:val="mk-MK"/>
        </w:rPr>
        <w:t xml:space="preserve"> </w:t>
      </w:r>
      <w:proofErr w:type="spellStart"/>
      <w:r w:rsidRPr="000B05FC">
        <w:rPr>
          <w:rFonts w:ascii="Arial" w:hAnsi="Arial" w:cs="Arial"/>
          <w:lang w:val="mk-MK"/>
        </w:rPr>
        <w:t>acquisition</w:t>
      </w:r>
      <w:proofErr w:type="spellEnd"/>
      <w:r w:rsidRPr="000B05FC">
        <w:rPr>
          <w:rFonts w:ascii="Arial" w:hAnsi="Arial" w:cs="Arial"/>
          <w:lang w:val="mk-MK"/>
        </w:rPr>
        <w:t xml:space="preserve">. </w:t>
      </w:r>
      <w:proofErr w:type="spellStart"/>
      <w:r w:rsidRPr="000B05FC">
        <w:rPr>
          <w:rFonts w:ascii="Arial" w:hAnsi="Arial" w:cs="Arial"/>
          <w:lang w:val="mk-MK"/>
        </w:rPr>
        <w:t>Depreciation</w:t>
      </w:r>
      <w:proofErr w:type="spellEnd"/>
      <w:r w:rsidRPr="000B05FC">
        <w:rPr>
          <w:rFonts w:ascii="Arial" w:hAnsi="Arial" w:cs="Arial"/>
          <w:lang w:val="mk-MK"/>
        </w:rPr>
        <w:t xml:space="preserve"> </w:t>
      </w:r>
      <w:proofErr w:type="spellStart"/>
      <w:r w:rsidRPr="000B05FC">
        <w:rPr>
          <w:rFonts w:ascii="Arial" w:hAnsi="Arial" w:cs="Arial"/>
          <w:lang w:val="mk-MK"/>
        </w:rPr>
        <w:t>is</w:t>
      </w:r>
      <w:proofErr w:type="spellEnd"/>
      <w:r w:rsidRPr="000B05FC">
        <w:rPr>
          <w:rFonts w:ascii="Arial" w:hAnsi="Arial" w:cs="Arial"/>
          <w:lang w:val="mk-MK"/>
        </w:rPr>
        <w:t xml:space="preserve"> </w:t>
      </w:r>
      <w:proofErr w:type="spellStart"/>
      <w:r w:rsidRPr="000B05FC">
        <w:rPr>
          <w:rFonts w:ascii="Arial" w:hAnsi="Arial" w:cs="Arial"/>
          <w:lang w:val="mk-MK"/>
        </w:rPr>
        <w:t>charged</w:t>
      </w:r>
      <w:proofErr w:type="spellEnd"/>
      <w:r w:rsidRPr="000B05FC">
        <w:rPr>
          <w:rFonts w:ascii="Arial" w:hAnsi="Arial" w:cs="Arial"/>
          <w:lang w:val="mk-MK"/>
        </w:rPr>
        <w:t xml:space="preserve"> </w:t>
      </w:r>
      <w:proofErr w:type="spellStart"/>
      <w:r w:rsidRPr="000B05FC">
        <w:rPr>
          <w:rFonts w:ascii="Arial" w:hAnsi="Arial" w:cs="Arial"/>
          <w:lang w:val="mk-MK"/>
        </w:rPr>
        <w:t>on</w:t>
      </w:r>
      <w:proofErr w:type="spellEnd"/>
      <w:r w:rsidRPr="000B05FC">
        <w:rPr>
          <w:rFonts w:ascii="Arial" w:hAnsi="Arial" w:cs="Arial"/>
          <w:lang w:val="mk-MK"/>
        </w:rPr>
        <w:t xml:space="preserve"> a </w:t>
      </w:r>
      <w:proofErr w:type="spellStart"/>
      <w:r w:rsidRPr="000B05FC">
        <w:rPr>
          <w:rFonts w:ascii="Arial" w:hAnsi="Arial" w:cs="Arial"/>
          <w:lang w:val="mk-MK"/>
        </w:rPr>
        <w:t>straight</w:t>
      </w:r>
      <w:proofErr w:type="spellEnd"/>
      <w:r w:rsidRPr="000B05FC">
        <w:rPr>
          <w:rFonts w:ascii="Arial" w:hAnsi="Arial" w:cs="Arial"/>
          <w:lang w:val="mk-MK"/>
        </w:rPr>
        <w:t xml:space="preserve"> – </w:t>
      </w:r>
      <w:proofErr w:type="spellStart"/>
      <w:r w:rsidRPr="000B05FC">
        <w:rPr>
          <w:rFonts w:ascii="Arial" w:hAnsi="Arial" w:cs="Arial"/>
          <w:lang w:val="mk-MK"/>
        </w:rPr>
        <w:t>line</w:t>
      </w:r>
      <w:proofErr w:type="spellEnd"/>
      <w:r w:rsidRPr="000B05FC">
        <w:rPr>
          <w:rFonts w:ascii="Arial" w:hAnsi="Arial" w:cs="Arial"/>
          <w:lang w:val="mk-MK"/>
        </w:rPr>
        <w:t xml:space="preserve"> </w:t>
      </w:r>
      <w:proofErr w:type="spellStart"/>
      <w:r w:rsidRPr="000B05FC">
        <w:rPr>
          <w:rFonts w:ascii="Arial" w:hAnsi="Arial" w:cs="Arial"/>
          <w:lang w:val="mk-MK"/>
        </w:rPr>
        <w:t>basis</w:t>
      </w:r>
      <w:proofErr w:type="spellEnd"/>
      <w:r w:rsidRPr="000B05FC">
        <w:rPr>
          <w:rFonts w:ascii="Arial" w:hAnsi="Arial" w:cs="Arial"/>
          <w:lang w:val="mk-MK"/>
        </w:rPr>
        <w:t xml:space="preserve"> </w:t>
      </w:r>
      <w:proofErr w:type="spellStart"/>
      <w:r w:rsidRPr="000B05FC">
        <w:rPr>
          <w:rFonts w:ascii="Arial" w:hAnsi="Arial" w:cs="Arial"/>
          <w:lang w:val="mk-MK"/>
        </w:rPr>
        <w:t>in</w:t>
      </w:r>
      <w:proofErr w:type="spellEnd"/>
      <w:r w:rsidRPr="000B05FC">
        <w:rPr>
          <w:rFonts w:ascii="Arial" w:hAnsi="Arial" w:cs="Arial"/>
          <w:lang w:val="mk-MK"/>
        </w:rPr>
        <w:t xml:space="preserve"> </w:t>
      </w:r>
      <w:proofErr w:type="spellStart"/>
      <w:r w:rsidRPr="000B05FC">
        <w:rPr>
          <w:rFonts w:ascii="Arial" w:hAnsi="Arial" w:cs="Arial"/>
          <w:lang w:val="mk-MK"/>
        </w:rPr>
        <w:t>order</w:t>
      </w:r>
      <w:proofErr w:type="spellEnd"/>
      <w:r w:rsidRPr="000B05FC">
        <w:rPr>
          <w:rFonts w:ascii="Arial" w:hAnsi="Arial" w:cs="Arial"/>
          <w:lang w:val="mk-MK"/>
        </w:rPr>
        <w:t xml:space="preserve"> </w:t>
      </w:r>
      <w:proofErr w:type="spellStart"/>
      <w:r w:rsidRPr="000B05FC">
        <w:rPr>
          <w:rFonts w:ascii="Arial" w:hAnsi="Arial" w:cs="Arial"/>
          <w:lang w:val="mk-MK"/>
        </w:rPr>
        <w:t>to</w:t>
      </w:r>
      <w:proofErr w:type="spellEnd"/>
      <w:r w:rsidRPr="000B05FC">
        <w:rPr>
          <w:rFonts w:ascii="Arial" w:hAnsi="Arial" w:cs="Arial"/>
          <w:lang w:val="mk-MK"/>
        </w:rPr>
        <w:t xml:space="preserve"> </w:t>
      </w:r>
      <w:proofErr w:type="spellStart"/>
      <w:r w:rsidRPr="000B05FC">
        <w:rPr>
          <w:rFonts w:ascii="Arial" w:hAnsi="Arial" w:cs="Arial"/>
          <w:lang w:val="mk-MK"/>
        </w:rPr>
        <w:t>allocate</w:t>
      </w:r>
      <w:proofErr w:type="spellEnd"/>
      <w:r w:rsidRPr="000B05FC">
        <w:rPr>
          <w:rFonts w:ascii="Arial" w:hAnsi="Arial" w:cs="Arial"/>
          <w:lang w:val="mk-MK"/>
        </w:rPr>
        <w:t xml:space="preserve"> </w:t>
      </w: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deemed</w:t>
      </w:r>
      <w:proofErr w:type="spellEnd"/>
      <w:r w:rsidRPr="000B05FC">
        <w:rPr>
          <w:rFonts w:ascii="Arial" w:hAnsi="Arial" w:cs="Arial"/>
          <w:lang w:val="mk-MK"/>
        </w:rPr>
        <w:t xml:space="preserve"> </w:t>
      </w:r>
      <w:proofErr w:type="spellStart"/>
      <w:r w:rsidRPr="000B05FC">
        <w:rPr>
          <w:rFonts w:ascii="Arial" w:hAnsi="Arial" w:cs="Arial"/>
          <w:lang w:val="mk-MK"/>
        </w:rPr>
        <w:t>cost</w:t>
      </w:r>
      <w:proofErr w:type="spellEnd"/>
      <w:r w:rsidRPr="000B05FC">
        <w:rPr>
          <w:rFonts w:ascii="Arial" w:hAnsi="Arial" w:cs="Arial"/>
          <w:lang w:val="mk-MK"/>
        </w:rPr>
        <w:t xml:space="preserve"> </w:t>
      </w:r>
      <w:proofErr w:type="spellStart"/>
      <w:r w:rsidRPr="000B05FC">
        <w:rPr>
          <w:rFonts w:ascii="Arial" w:hAnsi="Arial" w:cs="Arial"/>
          <w:lang w:val="mk-MK"/>
        </w:rPr>
        <w:t>of</w:t>
      </w:r>
      <w:proofErr w:type="spellEnd"/>
      <w:r w:rsidRPr="000B05FC">
        <w:rPr>
          <w:rFonts w:ascii="Arial" w:hAnsi="Arial" w:cs="Arial"/>
          <w:lang w:val="mk-MK"/>
        </w:rPr>
        <w:t xml:space="preserve"> </w:t>
      </w:r>
      <w:proofErr w:type="spellStart"/>
      <w:r w:rsidRPr="000B05FC">
        <w:rPr>
          <w:rFonts w:ascii="Arial" w:hAnsi="Arial" w:cs="Arial"/>
          <w:lang w:val="mk-MK"/>
        </w:rPr>
        <w:t>property</w:t>
      </w:r>
      <w:proofErr w:type="spellEnd"/>
      <w:r w:rsidRPr="000B05FC">
        <w:rPr>
          <w:rFonts w:ascii="Arial" w:hAnsi="Arial" w:cs="Arial"/>
          <w:lang w:val="mk-MK"/>
        </w:rPr>
        <w:t xml:space="preserve"> </w:t>
      </w:r>
      <w:proofErr w:type="spellStart"/>
      <w:r w:rsidRPr="000B05FC">
        <w:rPr>
          <w:rFonts w:ascii="Arial" w:hAnsi="Arial" w:cs="Arial"/>
          <w:lang w:val="mk-MK"/>
        </w:rPr>
        <w:t>and</w:t>
      </w:r>
      <w:proofErr w:type="spellEnd"/>
      <w:r w:rsidRPr="000B05FC">
        <w:rPr>
          <w:rFonts w:ascii="Arial" w:hAnsi="Arial" w:cs="Arial"/>
          <w:lang w:val="mk-MK"/>
        </w:rPr>
        <w:t xml:space="preserve"> </w:t>
      </w:r>
      <w:proofErr w:type="spellStart"/>
      <w:r w:rsidRPr="000B05FC">
        <w:rPr>
          <w:rFonts w:ascii="Arial" w:hAnsi="Arial" w:cs="Arial"/>
          <w:lang w:val="mk-MK"/>
        </w:rPr>
        <w:t>equipment</w:t>
      </w:r>
      <w:proofErr w:type="spellEnd"/>
      <w:r w:rsidRPr="000B05FC">
        <w:rPr>
          <w:rFonts w:ascii="Arial" w:hAnsi="Arial" w:cs="Arial"/>
          <w:lang w:val="mk-MK"/>
        </w:rPr>
        <w:t xml:space="preserve"> </w:t>
      </w:r>
      <w:proofErr w:type="spellStart"/>
      <w:r w:rsidRPr="000B05FC">
        <w:rPr>
          <w:rFonts w:ascii="Arial" w:hAnsi="Arial" w:cs="Arial"/>
          <w:lang w:val="mk-MK"/>
        </w:rPr>
        <w:t>over</w:t>
      </w:r>
      <w:proofErr w:type="spellEnd"/>
      <w:r w:rsidRPr="000B05FC">
        <w:rPr>
          <w:rFonts w:ascii="Arial" w:hAnsi="Arial" w:cs="Arial"/>
          <w:lang w:val="mk-MK"/>
        </w:rPr>
        <w:t xml:space="preserve"> </w:t>
      </w:r>
      <w:proofErr w:type="spellStart"/>
      <w:r w:rsidRPr="000B05FC">
        <w:rPr>
          <w:rFonts w:ascii="Arial" w:hAnsi="Arial" w:cs="Arial"/>
          <w:lang w:val="mk-MK"/>
        </w:rPr>
        <w:t>their</w:t>
      </w:r>
      <w:proofErr w:type="spellEnd"/>
      <w:r w:rsidRPr="000B05FC">
        <w:rPr>
          <w:rFonts w:ascii="Arial" w:hAnsi="Arial" w:cs="Arial"/>
          <w:lang w:val="mk-MK"/>
        </w:rPr>
        <w:t xml:space="preserve"> </w:t>
      </w:r>
      <w:proofErr w:type="spellStart"/>
      <w:r w:rsidRPr="000B05FC">
        <w:rPr>
          <w:rFonts w:ascii="Arial" w:hAnsi="Arial" w:cs="Arial"/>
          <w:lang w:val="mk-MK"/>
        </w:rPr>
        <w:t>useful</w:t>
      </w:r>
      <w:proofErr w:type="spellEnd"/>
      <w:r w:rsidRPr="000B05FC">
        <w:rPr>
          <w:rFonts w:ascii="Arial" w:hAnsi="Arial" w:cs="Arial"/>
          <w:lang w:val="mk-MK"/>
        </w:rPr>
        <w:t xml:space="preserve"> </w:t>
      </w:r>
      <w:proofErr w:type="spellStart"/>
      <w:r w:rsidRPr="000B05FC">
        <w:rPr>
          <w:rFonts w:ascii="Arial" w:hAnsi="Arial" w:cs="Arial"/>
          <w:lang w:val="mk-MK"/>
        </w:rPr>
        <w:t>lives</w:t>
      </w:r>
      <w:proofErr w:type="spellEnd"/>
      <w:r w:rsidRPr="000B05FC">
        <w:rPr>
          <w:rFonts w:ascii="Arial" w:hAnsi="Arial" w:cs="Arial"/>
          <w:lang w:val="mk-MK"/>
        </w:rPr>
        <w:t xml:space="preserve">. </w:t>
      </w:r>
      <w:proofErr w:type="spellStart"/>
      <w:r w:rsidRPr="000B05FC">
        <w:rPr>
          <w:rFonts w:ascii="Arial" w:hAnsi="Arial" w:cs="Arial"/>
          <w:lang w:val="mk-MK"/>
        </w:rPr>
        <w:t>The</w:t>
      </w:r>
      <w:proofErr w:type="spellEnd"/>
      <w:r w:rsidRPr="000B05FC">
        <w:rPr>
          <w:rFonts w:ascii="Arial" w:hAnsi="Arial" w:cs="Arial"/>
          <w:lang w:val="mk-MK"/>
        </w:rPr>
        <w:t xml:space="preserve"> </w:t>
      </w:r>
      <w:proofErr w:type="spellStart"/>
      <w:r w:rsidRPr="000B05FC">
        <w:rPr>
          <w:rFonts w:ascii="Arial" w:hAnsi="Arial" w:cs="Arial"/>
          <w:lang w:val="mk-MK"/>
        </w:rPr>
        <w:t>estimated</w:t>
      </w:r>
      <w:proofErr w:type="spellEnd"/>
      <w:r w:rsidRPr="000B05FC">
        <w:rPr>
          <w:rFonts w:ascii="Arial" w:hAnsi="Arial" w:cs="Arial"/>
          <w:lang w:val="mk-MK"/>
        </w:rPr>
        <w:t xml:space="preserve"> </w:t>
      </w:r>
      <w:proofErr w:type="spellStart"/>
      <w:r w:rsidRPr="000B05FC">
        <w:rPr>
          <w:rFonts w:ascii="Arial" w:hAnsi="Arial" w:cs="Arial"/>
          <w:lang w:val="mk-MK"/>
        </w:rPr>
        <w:t>useful</w:t>
      </w:r>
      <w:proofErr w:type="spellEnd"/>
      <w:r w:rsidRPr="000B05FC">
        <w:rPr>
          <w:rFonts w:ascii="Arial" w:hAnsi="Arial" w:cs="Arial"/>
          <w:lang w:val="mk-MK"/>
        </w:rPr>
        <w:t xml:space="preserve"> </w:t>
      </w:r>
      <w:proofErr w:type="spellStart"/>
      <w:r w:rsidRPr="000B05FC">
        <w:rPr>
          <w:rFonts w:ascii="Arial" w:hAnsi="Arial" w:cs="Arial"/>
          <w:lang w:val="mk-MK"/>
        </w:rPr>
        <w:t>life</w:t>
      </w:r>
      <w:proofErr w:type="spellEnd"/>
      <w:r w:rsidRPr="000B05FC">
        <w:rPr>
          <w:rFonts w:ascii="Arial" w:hAnsi="Arial" w:cs="Arial"/>
          <w:lang w:val="mk-MK"/>
        </w:rPr>
        <w:t xml:space="preserve"> </w:t>
      </w:r>
      <w:proofErr w:type="spellStart"/>
      <w:r w:rsidRPr="000B05FC">
        <w:rPr>
          <w:rFonts w:ascii="Arial" w:hAnsi="Arial" w:cs="Arial"/>
          <w:lang w:val="mk-MK"/>
        </w:rPr>
        <w:t>of</w:t>
      </w:r>
      <w:proofErr w:type="spellEnd"/>
      <w:r w:rsidRPr="000B05FC">
        <w:rPr>
          <w:rFonts w:ascii="Arial" w:hAnsi="Arial" w:cs="Arial"/>
          <w:lang w:val="mk-MK"/>
        </w:rPr>
        <w:t xml:space="preserve"> </w:t>
      </w:r>
      <w:proofErr w:type="spellStart"/>
      <w:r w:rsidRPr="000B05FC">
        <w:rPr>
          <w:rFonts w:ascii="Arial" w:hAnsi="Arial" w:cs="Arial"/>
          <w:lang w:val="mk-MK"/>
        </w:rPr>
        <w:t>significant</w:t>
      </w:r>
      <w:proofErr w:type="spellEnd"/>
      <w:r w:rsidRPr="000B05FC">
        <w:rPr>
          <w:rFonts w:ascii="Arial" w:hAnsi="Arial" w:cs="Arial"/>
          <w:lang w:val="mk-MK"/>
        </w:rPr>
        <w:t xml:space="preserve"> </w:t>
      </w:r>
      <w:proofErr w:type="spellStart"/>
      <w:r w:rsidRPr="000B05FC">
        <w:rPr>
          <w:rFonts w:ascii="Arial" w:hAnsi="Arial" w:cs="Arial"/>
          <w:lang w:val="mk-MK"/>
        </w:rPr>
        <w:t>items</w:t>
      </w:r>
      <w:proofErr w:type="spellEnd"/>
      <w:r w:rsidRPr="000B05FC">
        <w:rPr>
          <w:rFonts w:ascii="Arial" w:hAnsi="Arial" w:cs="Arial"/>
          <w:lang w:val="mk-MK"/>
        </w:rPr>
        <w:t xml:space="preserve"> </w:t>
      </w:r>
      <w:proofErr w:type="spellStart"/>
      <w:r w:rsidRPr="000B05FC">
        <w:rPr>
          <w:rFonts w:ascii="Arial" w:hAnsi="Arial" w:cs="Arial"/>
          <w:lang w:val="mk-MK"/>
        </w:rPr>
        <w:t>of</w:t>
      </w:r>
      <w:proofErr w:type="spellEnd"/>
      <w:r w:rsidRPr="000B05FC">
        <w:rPr>
          <w:rFonts w:ascii="Arial" w:hAnsi="Arial" w:cs="Arial"/>
          <w:lang w:val="mk-MK"/>
        </w:rPr>
        <w:t xml:space="preserve"> </w:t>
      </w:r>
      <w:proofErr w:type="spellStart"/>
      <w:r w:rsidRPr="000B05FC">
        <w:rPr>
          <w:rFonts w:ascii="Arial" w:hAnsi="Arial" w:cs="Arial"/>
          <w:lang w:val="mk-MK"/>
        </w:rPr>
        <w:t>property</w:t>
      </w:r>
      <w:proofErr w:type="spellEnd"/>
      <w:r w:rsidRPr="000B05FC">
        <w:rPr>
          <w:rFonts w:ascii="Arial" w:hAnsi="Arial" w:cs="Arial"/>
          <w:lang w:val="mk-MK"/>
        </w:rPr>
        <w:t xml:space="preserve"> </w:t>
      </w:r>
      <w:proofErr w:type="spellStart"/>
      <w:r w:rsidRPr="000B05FC">
        <w:rPr>
          <w:rFonts w:ascii="Arial" w:hAnsi="Arial" w:cs="Arial"/>
          <w:lang w:val="mk-MK"/>
        </w:rPr>
        <w:t>and</w:t>
      </w:r>
      <w:proofErr w:type="spellEnd"/>
      <w:r w:rsidRPr="000B05FC">
        <w:rPr>
          <w:rFonts w:ascii="Arial" w:hAnsi="Arial" w:cs="Arial"/>
          <w:lang w:val="mk-MK"/>
        </w:rPr>
        <w:t xml:space="preserve"> </w:t>
      </w:r>
      <w:proofErr w:type="spellStart"/>
      <w:r w:rsidRPr="000B05FC">
        <w:rPr>
          <w:rFonts w:ascii="Arial" w:hAnsi="Arial" w:cs="Arial"/>
          <w:lang w:val="mk-MK"/>
        </w:rPr>
        <w:t>equipment</w:t>
      </w:r>
      <w:proofErr w:type="spellEnd"/>
      <w:r w:rsidRPr="000B05FC">
        <w:rPr>
          <w:rFonts w:ascii="Arial" w:hAnsi="Arial" w:cs="Arial"/>
          <w:lang w:val="mk-MK"/>
        </w:rPr>
        <w:t xml:space="preserve"> </w:t>
      </w:r>
      <w:proofErr w:type="spellStart"/>
      <w:r w:rsidRPr="000B05FC">
        <w:rPr>
          <w:rFonts w:ascii="Arial" w:hAnsi="Arial" w:cs="Arial"/>
          <w:lang w:val="mk-MK"/>
        </w:rPr>
        <w:t>is</w:t>
      </w:r>
      <w:proofErr w:type="spellEnd"/>
      <w:r w:rsidRPr="000B05FC">
        <w:rPr>
          <w:rFonts w:ascii="Arial" w:hAnsi="Arial" w:cs="Arial"/>
          <w:lang w:val="mk-MK"/>
        </w:rPr>
        <w:t xml:space="preserve"> </w:t>
      </w:r>
      <w:proofErr w:type="spellStart"/>
      <w:r w:rsidRPr="000B05FC">
        <w:rPr>
          <w:rFonts w:ascii="Arial" w:hAnsi="Arial" w:cs="Arial"/>
          <w:lang w:val="mk-MK"/>
        </w:rPr>
        <w:t>as</w:t>
      </w:r>
      <w:proofErr w:type="spellEnd"/>
      <w:r w:rsidRPr="000B05FC">
        <w:rPr>
          <w:rFonts w:ascii="Arial" w:hAnsi="Arial" w:cs="Arial"/>
          <w:lang w:val="mk-MK"/>
        </w:rPr>
        <w:t xml:space="preserve"> </w:t>
      </w:r>
      <w:proofErr w:type="spellStart"/>
      <w:r w:rsidRPr="000B05FC">
        <w:rPr>
          <w:rFonts w:ascii="Arial" w:hAnsi="Arial" w:cs="Arial"/>
          <w:lang w:val="mk-MK"/>
        </w:rPr>
        <w:t>follows</w:t>
      </w:r>
      <w:proofErr w:type="spellEnd"/>
      <w:r w:rsidR="0090486B">
        <w:rPr>
          <w:rFonts w:ascii="Arial" w:hAnsi="Arial" w:cs="Arial"/>
          <w:lang w:val="en-US"/>
        </w:rPr>
        <w:t>:</w:t>
      </w:r>
    </w:p>
    <w:tbl>
      <w:tblPr>
        <w:tblW w:w="8532" w:type="dxa"/>
        <w:tblLayout w:type="fixed"/>
        <w:tblLook w:val="0000" w:firstRow="0" w:lastRow="0" w:firstColumn="0" w:lastColumn="0" w:noHBand="0" w:noVBand="0"/>
      </w:tblPr>
      <w:tblGrid>
        <w:gridCol w:w="4401"/>
        <w:gridCol w:w="4131"/>
      </w:tblGrid>
      <w:tr w:rsidR="00815E65" w:rsidRPr="001E6526" w14:paraId="6E5BE99E" w14:textId="77777777" w:rsidTr="00A504C6">
        <w:trPr>
          <w:trHeight w:val="246"/>
        </w:trPr>
        <w:tc>
          <w:tcPr>
            <w:tcW w:w="4401" w:type="dxa"/>
            <w:tcMar>
              <w:left w:w="58" w:type="dxa"/>
              <w:right w:w="58" w:type="dxa"/>
            </w:tcMar>
            <w:vAlign w:val="bottom"/>
          </w:tcPr>
          <w:p w14:paraId="3436044D" w14:textId="30A4D87D" w:rsidR="00815E65" w:rsidRPr="00CE3053" w:rsidRDefault="000B05FC" w:rsidP="00815E65">
            <w:pPr>
              <w:pStyle w:val="TableText"/>
              <w:jc w:val="both"/>
              <w:rPr>
                <w:rFonts w:ascii="Arial" w:hAnsi="Arial"/>
                <w:sz w:val="18"/>
                <w:lang w:val="mk-MK"/>
              </w:rPr>
            </w:pPr>
            <w:proofErr w:type="spellStart"/>
            <w:r w:rsidRPr="000B05FC">
              <w:rPr>
                <w:rFonts w:ascii="Arial" w:hAnsi="Arial"/>
                <w:sz w:val="18"/>
                <w:lang w:val="mk-MK"/>
              </w:rPr>
              <w:t>Buildings</w:t>
            </w:r>
            <w:proofErr w:type="spellEnd"/>
          </w:p>
        </w:tc>
        <w:tc>
          <w:tcPr>
            <w:tcW w:w="4131" w:type="dxa"/>
            <w:tcMar>
              <w:left w:w="58" w:type="dxa"/>
              <w:right w:w="58" w:type="dxa"/>
            </w:tcMar>
            <w:vAlign w:val="bottom"/>
          </w:tcPr>
          <w:p w14:paraId="174FE048" w14:textId="34B67541" w:rsidR="00815E65" w:rsidRPr="000B05FC" w:rsidRDefault="00815E65" w:rsidP="00815E65">
            <w:pPr>
              <w:pStyle w:val="TableText"/>
              <w:jc w:val="both"/>
              <w:rPr>
                <w:rFonts w:ascii="Arial" w:hAnsi="Arial"/>
                <w:sz w:val="18"/>
                <w:lang w:val="en-US"/>
              </w:rPr>
            </w:pPr>
            <w:r w:rsidRPr="00CE3053">
              <w:rPr>
                <w:rFonts w:ascii="Arial" w:hAnsi="Arial"/>
                <w:sz w:val="18"/>
                <w:lang w:val="mk-MK"/>
              </w:rPr>
              <w:t xml:space="preserve">40 </w:t>
            </w:r>
            <w:r w:rsidR="000B05FC">
              <w:rPr>
                <w:rFonts w:ascii="Arial" w:hAnsi="Arial"/>
                <w:sz w:val="18"/>
                <w:lang w:val="en-US"/>
              </w:rPr>
              <w:t>years</w:t>
            </w:r>
          </w:p>
        </w:tc>
      </w:tr>
      <w:tr w:rsidR="00815E65" w:rsidRPr="001E6526" w14:paraId="175CFFF3" w14:textId="77777777" w:rsidTr="00A504C6">
        <w:trPr>
          <w:trHeight w:val="246"/>
        </w:trPr>
        <w:tc>
          <w:tcPr>
            <w:tcW w:w="4401" w:type="dxa"/>
            <w:tcMar>
              <w:left w:w="58" w:type="dxa"/>
              <w:right w:w="58" w:type="dxa"/>
            </w:tcMar>
            <w:vAlign w:val="bottom"/>
          </w:tcPr>
          <w:p w14:paraId="571E4CD5" w14:textId="52305C8C" w:rsidR="00815E65" w:rsidRPr="000B05FC" w:rsidRDefault="000B05FC" w:rsidP="00815E65">
            <w:pPr>
              <w:pStyle w:val="TableText"/>
              <w:jc w:val="both"/>
              <w:rPr>
                <w:rFonts w:ascii="Arial" w:hAnsi="Arial"/>
                <w:sz w:val="18"/>
                <w:lang w:val="en-US"/>
              </w:rPr>
            </w:pPr>
            <w:r>
              <w:rPr>
                <w:rFonts w:ascii="Arial" w:hAnsi="Arial"/>
                <w:sz w:val="18"/>
                <w:lang w:val="en-US"/>
              </w:rPr>
              <w:t>Computers</w:t>
            </w:r>
          </w:p>
        </w:tc>
        <w:tc>
          <w:tcPr>
            <w:tcW w:w="4131" w:type="dxa"/>
            <w:tcMar>
              <w:left w:w="58" w:type="dxa"/>
              <w:right w:w="58" w:type="dxa"/>
            </w:tcMar>
            <w:vAlign w:val="bottom"/>
          </w:tcPr>
          <w:p w14:paraId="407659BA" w14:textId="0B167747" w:rsidR="00815E65" w:rsidRPr="000B05FC" w:rsidRDefault="00815E65" w:rsidP="00815E65">
            <w:pPr>
              <w:pStyle w:val="TableText"/>
              <w:jc w:val="both"/>
              <w:rPr>
                <w:rFonts w:ascii="Arial" w:hAnsi="Arial"/>
                <w:sz w:val="18"/>
                <w:lang w:val="en-US"/>
              </w:rPr>
            </w:pPr>
            <w:r w:rsidRPr="00CE3053">
              <w:rPr>
                <w:rFonts w:ascii="Arial" w:hAnsi="Arial"/>
                <w:sz w:val="18"/>
                <w:lang w:val="mk-MK"/>
              </w:rPr>
              <w:t xml:space="preserve">4 </w:t>
            </w:r>
            <w:r w:rsidR="000B05FC">
              <w:rPr>
                <w:rFonts w:ascii="Arial" w:hAnsi="Arial"/>
                <w:sz w:val="18"/>
                <w:lang w:val="en-US"/>
              </w:rPr>
              <w:t>years</w:t>
            </w:r>
          </w:p>
        </w:tc>
      </w:tr>
      <w:tr w:rsidR="00815E65" w:rsidRPr="001E6526" w14:paraId="4E431484" w14:textId="77777777" w:rsidTr="00A504C6">
        <w:trPr>
          <w:trHeight w:val="246"/>
        </w:trPr>
        <w:tc>
          <w:tcPr>
            <w:tcW w:w="4401" w:type="dxa"/>
            <w:tcMar>
              <w:left w:w="58" w:type="dxa"/>
              <w:right w:w="58" w:type="dxa"/>
            </w:tcMar>
            <w:vAlign w:val="bottom"/>
          </w:tcPr>
          <w:p w14:paraId="65D3DCC6" w14:textId="63589AA6" w:rsidR="00815E65" w:rsidRPr="00CE3053" w:rsidRDefault="000B05FC" w:rsidP="00815E65">
            <w:pPr>
              <w:pStyle w:val="TableText"/>
              <w:jc w:val="both"/>
              <w:rPr>
                <w:rFonts w:ascii="Arial" w:hAnsi="Arial"/>
                <w:sz w:val="18"/>
                <w:lang w:val="mk-MK"/>
              </w:rPr>
            </w:pPr>
            <w:proofErr w:type="spellStart"/>
            <w:r w:rsidRPr="000B05FC">
              <w:rPr>
                <w:rFonts w:ascii="Arial" w:hAnsi="Arial"/>
                <w:sz w:val="18"/>
                <w:lang w:val="mk-MK"/>
              </w:rPr>
              <w:t>Furniture</w:t>
            </w:r>
            <w:proofErr w:type="spellEnd"/>
            <w:r w:rsidRPr="000B05FC">
              <w:rPr>
                <w:rFonts w:ascii="Arial" w:hAnsi="Arial"/>
                <w:sz w:val="18"/>
                <w:lang w:val="mk-MK"/>
              </w:rPr>
              <w:t xml:space="preserve"> </w:t>
            </w:r>
            <w:proofErr w:type="spellStart"/>
            <w:r w:rsidRPr="000B05FC">
              <w:rPr>
                <w:rFonts w:ascii="Arial" w:hAnsi="Arial"/>
                <w:sz w:val="18"/>
                <w:lang w:val="mk-MK"/>
              </w:rPr>
              <w:t>and</w:t>
            </w:r>
            <w:proofErr w:type="spellEnd"/>
            <w:r w:rsidRPr="000B05FC">
              <w:rPr>
                <w:rFonts w:ascii="Arial" w:hAnsi="Arial"/>
                <w:sz w:val="18"/>
                <w:lang w:val="mk-MK"/>
              </w:rPr>
              <w:t xml:space="preserve"> </w:t>
            </w:r>
            <w:proofErr w:type="spellStart"/>
            <w:r w:rsidRPr="000B05FC">
              <w:rPr>
                <w:rFonts w:ascii="Arial" w:hAnsi="Arial"/>
                <w:sz w:val="18"/>
                <w:lang w:val="mk-MK"/>
              </w:rPr>
              <w:t>equipment</w:t>
            </w:r>
            <w:proofErr w:type="spellEnd"/>
          </w:p>
        </w:tc>
        <w:tc>
          <w:tcPr>
            <w:tcW w:w="4131" w:type="dxa"/>
            <w:tcMar>
              <w:left w:w="58" w:type="dxa"/>
              <w:right w:w="58" w:type="dxa"/>
            </w:tcMar>
            <w:vAlign w:val="bottom"/>
          </w:tcPr>
          <w:p w14:paraId="0BC98D6C" w14:textId="50BE6252" w:rsidR="00815E65" w:rsidRPr="00335782" w:rsidRDefault="00815E65" w:rsidP="00815E65">
            <w:pPr>
              <w:pStyle w:val="TableText"/>
              <w:jc w:val="both"/>
              <w:rPr>
                <w:rFonts w:ascii="Arial" w:hAnsi="Arial"/>
                <w:sz w:val="18"/>
                <w:lang w:val="en-US"/>
              </w:rPr>
            </w:pPr>
            <w:r w:rsidRPr="00CE3053">
              <w:rPr>
                <w:rFonts w:ascii="Arial" w:hAnsi="Arial"/>
                <w:sz w:val="18"/>
                <w:lang w:val="mk-MK"/>
              </w:rPr>
              <w:t xml:space="preserve">4 </w:t>
            </w:r>
            <w:r w:rsidR="00335782">
              <w:rPr>
                <w:rFonts w:ascii="Arial" w:hAnsi="Arial"/>
                <w:sz w:val="18"/>
                <w:lang w:val="en-US"/>
              </w:rPr>
              <w:t>to</w:t>
            </w:r>
            <w:r w:rsidRPr="00CE3053">
              <w:rPr>
                <w:rFonts w:ascii="Arial" w:hAnsi="Arial"/>
                <w:sz w:val="18"/>
                <w:lang w:val="mk-MK"/>
              </w:rPr>
              <w:t xml:space="preserve"> 5</w:t>
            </w:r>
            <w:r w:rsidR="00335782">
              <w:rPr>
                <w:rFonts w:ascii="Arial" w:hAnsi="Arial"/>
                <w:sz w:val="18"/>
                <w:lang w:val="en-US"/>
              </w:rPr>
              <w:t xml:space="preserve"> years</w:t>
            </w:r>
          </w:p>
        </w:tc>
      </w:tr>
      <w:tr w:rsidR="00815E65" w:rsidRPr="001E6526" w14:paraId="6D86E2C3" w14:textId="77777777" w:rsidTr="00A504C6">
        <w:trPr>
          <w:trHeight w:val="246"/>
        </w:trPr>
        <w:tc>
          <w:tcPr>
            <w:tcW w:w="4401" w:type="dxa"/>
            <w:tcMar>
              <w:left w:w="58" w:type="dxa"/>
              <w:right w:w="58" w:type="dxa"/>
            </w:tcMar>
            <w:vAlign w:val="bottom"/>
          </w:tcPr>
          <w:p w14:paraId="7E76F333" w14:textId="23043DC2" w:rsidR="00815E65" w:rsidRPr="00CE3053" w:rsidRDefault="000B05FC" w:rsidP="00815E65">
            <w:pPr>
              <w:pStyle w:val="TableText"/>
              <w:jc w:val="both"/>
              <w:rPr>
                <w:rFonts w:ascii="Arial" w:hAnsi="Arial"/>
                <w:sz w:val="18"/>
                <w:lang w:val="mk-MK"/>
              </w:rPr>
            </w:pPr>
            <w:proofErr w:type="spellStart"/>
            <w:r w:rsidRPr="000B05FC">
              <w:rPr>
                <w:rFonts w:ascii="Arial" w:hAnsi="Arial"/>
                <w:sz w:val="18"/>
                <w:lang w:val="mk-MK"/>
              </w:rPr>
              <w:t>Vehicles</w:t>
            </w:r>
            <w:proofErr w:type="spellEnd"/>
          </w:p>
        </w:tc>
        <w:tc>
          <w:tcPr>
            <w:tcW w:w="4131" w:type="dxa"/>
            <w:tcMar>
              <w:left w:w="58" w:type="dxa"/>
              <w:right w:w="58" w:type="dxa"/>
            </w:tcMar>
            <w:vAlign w:val="bottom"/>
          </w:tcPr>
          <w:p w14:paraId="345CF745" w14:textId="32FE8F03" w:rsidR="00815E65" w:rsidRPr="00335782" w:rsidRDefault="00815E65" w:rsidP="00815E65">
            <w:pPr>
              <w:pStyle w:val="TableText"/>
              <w:jc w:val="both"/>
              <w:rPr>
                <w:rFonts w:ascii="Arial" w:hAnsi="Arial"/>
                <w:sz w:val="18"/>
                <w:lang w:val="en-US"/>
              </w:rPr>
            </w:pPr>
            <w:r w:rsidRPr="00CE3053">
              <w:rPr>
                <w:rFonts w:ascii="Arial" w:hAnsi="Arial"/>
                <w:sz w:val="18"/>
                <w:lang w:val="mk-MK"/>
              </w:rPr>
              <w:t>4</w:t>
            </w:r>
            <w:r w:rsidR="00335782">
              <w:rPr>
                <w:rFonts w:ascii="Arial" w:hAnsi="Arial"/>
                <w:sz w:val="18"/>
                <w:lang w:val="en-US"/>
              </w:rPr>
              <w:t xml:space="preserve"> years</w:t>
            </w:r>
          </w:p>
        </w:tc>
      </w:tr>
    </w:tbl>
    <w:p w14:paraId="6AB644BB" w14:textId="77777777" w:rsidR="00815E65" w:rsidRPr="00CE3053" w:rsidRDefault="00815E65" w:rsidP="00815E65">
      <w:pPr>
        <w:pStyle w:val="BodyText"/>
        <w:spacing w:after="0"/>
        <w:jc w:val="both"/>
        <w:rPr>
          <w:rFonts w:ascii="Arial" w:hAnsi="Arial" w:cs="Arial"/>
          <w:lang w:val="mk-MK"/>
        </w:rPr>
      </w:pPr>
    </w:p>
    <w:p w14:paraId="721571DD" w14:textId="77777777" w:rsidR="006557D5" w:rsidRDefault="00335782" w:rsidP="00335782">
      <w:pPr>
        <w:pStyle w:val="BodyText"/>
        <w:jc w:val="both"/>
        <w:rPr>
          <w:rFonts w:ascii="Arial" w:hAnsi="Arial" w:cs="Arial"/>
          <w:lang w:val="mk-MK"/>
        </w:rPr>
      </w:pPr>
      <w:proofErr w:type="spellStart"/>
      <w:r w:rsidRPr="00335782">
        <w:rPr>
          <w:rFonts w:ascii="Arial" w:hAnsi="Arial" w:cs="Arial"/>
          <w:lang w:val="mk-MK"/>
        </w:rPr>
        <w:t>Subsequent</w:t>
      </w:r>
      <w:proofErr w:type="spellEnd"/>
      <w:r w:rsidRPr="00335782">
        <w:rPr>
          <w:rFonts w:ascii="Arial" w:hAnsi="Arial" w:cs="Arial"/>
          <w:lang w:val="mk-MK"/>
        </w:rPr>
        <w:t xml:space="preserve"> </w:t>
      </w:r>
      <w:proofErr w:type="spellStart"/>
      <w:r w:rsidRPr="00335782">
        <w:rPr>
          <w:rFonts w:ascii="Arial" w:hAnsi="Arial" w:cs="Arial"/>
          <w:lang w:val="mk-MK"/>
        </w:rPr>
        <w:t>costs</w:t>
      </w:r>
      <w:proofErr w:type="spellEnd"/>
      <w:r w:rsidRPr="00335782">
        <w:rPr>
          <w:rFonts w:ascii="Arial" w:hAnsi="Arial" w:cs="Arial"/>
          <w:lang w:val="mk-MK"/>
        </w:rPr>
        <w:t xml:space="preserve"> </w:t>
      </w:r>
      <w:proofErr w:type="spellStart"/>
      <w:r w:rsidRPr="00335782">
        <w:rPr>
          <w:rFonts w:ascii="Arial" w:hAnsi="Arial" w:cs="Arial"/>
          <w:lang w:val="mk-MK"/>
        </w:rPr>
        <w:t>are</w:t>
      </w:r>
      <w:proofErr w:type="spellEnd"/>
      <w:r w:rsidRPr="00335782">
        <w:rPr>
          <w:rFonts w:ascii="Arial" w:hAnsi="Arial" w:cs="Arial"/>
          <w:lang w:val="mk-MK"/>
        </w:rPr>
        <w:t xml:space="preserve"> </w:t>
      </w:r>
      <w:proofErr w:type="spellStart"/>
      <w:r w:rsidRPr="00335782">
        <w:rPr>
          <w:rFonts w:ascii="Arial" w:hAnsi="Arial" w:cs="Arial"/>
          <w:lang w:val="mk-MK"/>
        </w:rPr>
        <w:t>included</w:t>
      </w:r>
      <w:proofErr w:type="spellEnd"/>
      <w:r w:rsidRPr="00335782">
        <w:rPr>
          <w:rFonts w:ascii="Arial" w:hAnsi="Arial" w:cs="Arial"/>
          <w:lang w:val="mk-MK"/>
        </w:rPr>
        <w:t xml:space="preserve"> </w:t>
      </w:r>
      <w:proofErr w:type="spellStart"/>
      <w:r w:rsidRPr="00335782">
        <w:rPr>
          <w:rFonts w:ascii="Arial" w:hAnsi="Arial" w:cs="Arial"/>
          <w:lang w:val="mk-MK"/>
        </w:rPr>
        <w:t>in</w:t>
      </w:r>
      <w:proofErr w:type="spellEnd"/>
      <w:r w:rsidRPr="00335782">
        <w:rPr>
          <w:rFonts w:ascii="Arial" w:hAnsi="Arial" w:cs="Arial"/>
          <w:lang w:val="mk-MK"/>
        </w:rPr>
        <w:t xml:space="preserve"> </w:t>
      </w:r>
      <w:proofErr w:type="spellStart"/>
      <w:r w:rsidRPr="00335782">
        <w:rPr>
          <w:rFonts w:ascii="Arial" w:hAnsi="Arial" w:cs="Arial"/>
          <w:lang w:val="mk-MK"/>
        </w:rPr>
        <w:t>the</w:t>
      </w:r>
      <w:proofErr w:type="spellEnd"/>
      <w:r w:rsidRPr="00335782">
        <w:rPr>
          <w:rFonts w:ascii="Arial" w:hAnsi="Arial" w:cs="Arial"/>
          <w:lang w:val="mk-MK"/>
        </w:rPr>
        <w:t xml:space="preserve"> </w:t>
      </w:r>
      <w:proofErr w:type="spellStart"/>
      <w:r w:rsidRPr="00335782">
        <w:rPr>
          <w:rFonts w:ascii="Arial" w:hAnsi="Arial" w:cs="Arial"/>
          <w:lang w:val="mk-MK"/>
        </w:rPr>
        <w:t>asset’s</w:t>
      </w:r>
      <w:proofErr w:type="spellEnd"/>
      <w:r w:rsidRPr="00335782">
        <w:rPr>
          <w:rFonts w:ascii="Arial" w:hAnsi="Arial" w:cs="Arial"/>
          <w:lang w:val="mk-MK"/>
        </w:rPr>
        <w:t xml:space="preserve"> </w:t>
      </w:r>
      <w:proofErr w:type="spellStart"/>
      <w:r w:rsidRPr="00335782">
        <w:rPr>
          <w:rFonts w:ascii="Arial" w:hAnsi="Arial" w:cs="Arial"/>
          <w:lang w:val="mk-MK"/>
        </w:rPr>
        <w:t>carrying</w:t>
      </w:r>
      <w:proofErr w:type="spellEnd"/>
      <w:r w:rsidRPr="00335782">
        <w:rPr>
          <w:rFonts w:ascii="Arial" w:hAnsi="Arial" w:cs="Arial"/>
          <w:lang w:val="mk-MK"/>
        </w:rPr>
        <w:t xml:space="preserve"> </w:t>
      </w:r>
      <w:proofErr w:type="spellStart"/>
      <w:r w:rsidRPr="00335782">
        <w:rPr>
          <w:rFonts w:ascii="Arial" w:hAnsi="Arial" w:cs="Arial"/>
          <w:lang w:val="mk-MK"/>
        </w:rPr>
        <w:t>amount</w:t>
      </w:r>
      <w:proofErr w:type="spellEnd"/>
      <w:r w:rsidRPr="00335782">
        <w:rPr>
          <w:rFonts w:ascii="Arial" w:hAnsi="Arial" w:cs="Arial"/>
          <w:lang w:val="mk-MK"/>
        </w:rPr>
        <w:t xml:space="preserve"> </w:t>
      </w:r>
      <w:proofErr w:type="spellStart"/>
      <w:r w:rsidRPr="00335782">
        <w:rPr>
          <w:rFonts w:ascii="Arial" w:hAnsi="Arial" w:cs="Arial"/>
          <w:lang w:val="mk-MK"/>
        </w:rPr>
        <w:t>or</w:t>
      </w:r>
      <w:proofErr w:type="spellEnd"/>
      <w:r w:rsidRPr="00335782">
        <w:rPr>
          <w:rFonts w:ascii="Arial" w:hAnsi="Arial" w:cs="Arial"/>
          <w:lang w:val="mk-MK"/>
        </w:rPr>
        <w:t xml:space="preserve"> </w:t>
      </w:r>
      <w:proofErr w:type="spellStart"/>
      <w:r w:rsidRPr="00335782">
        <w:rPr>
          <w:rFonts w:ascii="Arial" w:hAnsi="Arial" w:cs="Arial"/>
          <w:lang w:val="mk-MK"/>
        </w:rPr>
        <w:t>recognised</w:t>
      </w:r>
      <w:proofErr w:type="spellEnd"/>
      <w:r w:rsidRPr="00335782">
        <w:rPr>
          <w:rFonts w:ascii="Arial" w:hAnsi="Arial" w:cs="Arial"/>
          <w:lang w:val="mk-MK"/>
        </w:rPr>
        <w:t xml:space="preserve"> </w:t>
      </w:r>
      <w:proofErr w:type="spellStart"/>
      <w:r w:rsidRPr="00335782">
        <w:rPr>
          <w:rFonts w:ascii="Arial" w:hAnsi="Arial" w:cs="Arial"/>
          <w:lang w:val="mk-MK"/>
        </w:rPr>
        <w:t>as</w:t>
      </w:r>
      <w:proofErr w:type="spellEnd"/>
      <w:r w:rsidRPr="00335782">
        <w:rPr>
          <w:rFonts w:ascii="Arial" w:hAnsi="Arial" w:cs="Arial"/>
          <w:lang w:val="mk-MK"/>
        </w:rPr>
        <w:t xml:space="preserve"> a </w:t>
      </w:r>
      <w:proofErr w:type="spellStart"/>
      <w:r w:rsidRPr="00335782">
        <w:rPr>
          <w:rFonts w:ascii="Arial" w:hAnsi="Arial" w:cs="Arial"/>
          <w:lang w:val="mk-MK"/>
        </w:rPr>
        <w:t>separate</w:t>
      </w:r>
      <w:proofErr w:type="spellEnd"/>
      <w:r w:rsidRPr="00335782">
        <w:rPr>
          <w:rFonts w:ascii="Arial" w:hAnsi="Arial" w:cs="Arial"/>
          <w:lang w:val="mk-MK"/>
        </w:rPr>
        <w:t xml:space="preserve"> </w:t>
      </w:r>
      <w:proofErr w:type="spellStart"/>
      <w:r w:rsidRPr="00335782">
        <w:rPr>
          <w:rFonts w:ascii="Arial" w:hAnsi="Arial" w:cs="Arial"/>
          <w:lang w:val="mk-MK"/>
        </w:rPr>
        <w:t>asset</w:t>
      </w:r>
      <w:proofErr w:type="spellEnd"/>
      <w:r w:rsidRPr="00335782">
        <w:rPr>
          <w:rFonts w:ascii="Arial" w:hAnsi="Arial" w:cs="Arial"/>
          <w:lang w:val="mk-MK"/>
        </w:rPr>
        <w:t xml:space="preserve">, </w:t>
      </w:r>
      <w:proofErr w:type="spellStart"/>
      <w:r w:rsidRPr="00335782">
        <w:rPr>
          <w:rFonts w:ascii="Arial" w:hAnsi="Arial" w:cs="Arial"/>
          <w:lang w:val="mk-MK"/>
        </w:rPr>
        <w:t>as</w:t>
      </w:r>
      <w:proofErr w:type="spellEnd"/>
      <w:r w:rsidRPr="00335782">
        <w:rPr>
          <w:rFonts w:ascii="Arial" w:hAnsi="Arial" w:cs="Arial"/>
          <w:lang w:val="mk-MK"/>
        </w:rPr>
        <w:t xml:space="preserve"> </w:t>
      </w:r>
      <w:proofErr w:type="spellStart"/>
      <w:r w:rsidRPr="00335782">
        <w:rPr>
          <w:rFonts w:ascii="Arial" w:hAnsi="Arial" w:cs="Arial"/>
          <w:lang w:val="mk-MK"/>
        </w:rPr>
        <w:t>appropriate</w:t>
      </w:r>
      <w:proofErr w:type="spellEnd"/>
      <w:r w:rsidRPr="00335782">
        <w:rPr>
          <w:rFonts w:ascii="Arial" w:hAnsi="Arial" w:cs="Arial"/>
          <w:lang w:val="mk-MK"/>
        </w:rPr>
        <w:t xml:space="preserve">, </w:t>
      </w:r>
      <w:proofErr w:type="spellStart"/>
      <w:r w:rsidRPr="00335782">
        <w:rPr>
          <w:rFonts w:ascii="Arial" w:hAnsi="Arial" w:cs="Arial"/>
          <w:lang w:val="mk-MK"/>
        </w:rPr>
        <w:t>only</w:t>
      </w:r>
      <w:proofErr w:type="spellEnd"/>
      <w:r w:rsidRPr="00335782">
        <w:rPr>
          <w:rFonts w:ascii="Arial" w:hAnsi="Arial" w:cs="Arial"/>
          <w:lang w:val="mk-MK"/>
        </w:rPr>
        <w:t xml:space="preserve"> </w:t>
      </w:r>
      <w:proofErr w:type="spellStart"/>
      <w:r w:rsidRPr="00335782">
        <w:rPr>
          <w:rFonts w:ascii="Arial" w:hAnsi="Arial" w:cs="Arial"/>
          <w:lang w:val="mk-MK"/>
        </w:rPr>
        <w:t>when</w:t>
      </w:r>
      <w:proofErr w:type="spellEnd"/>
      <w:r w:rsidRPr="00335782">
        <w:rPr>
          <w:rFonts w:ascii="Arial" w:hAnsi="Arial" w:cs="Arial"/>
          <w:lang w:val="mk-MK"/>
        </w:rPr>
        <w:t xml:space="preserve"> </w:t>
      </w:r>
      <w:proofErr w:type="spellStart"/>
      <w:r w:rsidRPr="00335782">
        <w:rPr>
          <w:rFonts w:ascii="Arial" w:hAnsi="Arial" w:cs="Arial"/>
          <w:lang w:val="mk-MK"/>
        </w:rPr>
        <w:t>it</w:t>
      </w:r>
      <w:proofErr w:type="spellEnd"/>
      <w:r w:rsidRPr="00335782">
        <w:rPr>
          <w:rFonts w:ascii="Arial" w:hAnsi="Arial" w:cs="Arial"/>
          <w:lang w:val="mk-MK"/>
        </w:rPr>
        <w:t xml:space="preserve"> </w:t>
      </w:r>
      <w:proofErr w:type="spellStart"/>
      <w:r w:rsidRPr="00335782">
        <w:rPr>
          <w:rFonts w:ascii="Arial" w:hAnsi="Arial" w:cs="Arial"/>
          <w:lang w:val="mk-MK"/>
        </w:rPr>
        <w:t>is</w:t>
      </w:r>
      <w:proofErr w:type="spellEnd"/>
      <w:r w:rsidRPr="00335782">
        <w:rPr>
          <w:rFonts w:ascii="Arial" w:hAnsi="Arial" w:cs="Arial"/>
          <w:lang w:val="mk-MK"/>
        </w:rPr>
        <w:t xml:space="preserve"> </w:t>
      </w:r>
      <w:proofErr w:type="spellStart"/>
      <w:r w:rsidRPr="00335782">
        <w:rPr>
          <w:rFonts w:ascii="Arial" w:hAnsi="Arial" w:cs="Arial"/>
          <w:lang w:val="mk-MK"/>
        </w:rPr>
        <w:t>probable</w:t>
      </w:r>
      <w:proofErr w:type="spellEnd"/>
      <w:r w:rsidRPr="00335782">
        <w:rPr>
          <w:rFonts w:ascii="Arial" w:hAnsi="Arial" w:cs="Arial"/>
          <w:lang w:val="mk-MK"/>
        </w:rPr>
        <w:t xml:space="preserve"> </w:t>
      </w:r>
      <w:proofErr w:type="spellStart"/>
      <w:r w:rsidRPr="00335782">
        <w:rPr>
          <w:rFonts w:ascii="Arial" w:hAnsi="Arial" w:cs="Arial"/>
          <w:lang w:val="mk-MK"/>
        </w:rPr>
        <w:t>that</w:t>
      </w:r>
      <w:proofErr w:type="spellEnd"/>
      <w:r w:rsidRPr="00335782">
        <w:rPr>
          <w:rFonts w:ascii="Arial" w:hAnsi="Arial" w:cs="Arial"/>
          <w:lang w:val="mk-MK"/>
        </w:rPr>
        <w:t xml:space="preserve"> </w:t>
      </w:r>
      <w:proofErr w:type="spellStart"/>
      <w:r w:rsidRPr="00335782">
        <w:rPr>
          <w:rFonts w:ascii="Arial" w:hAnsi="Arial" w:cs="Arial"/>
          <w:lang w:val="mk-MK"/>
        </w:rPr>
        <w:t>future</w:t>
      </w:r>
      <w:proofErr w:type="spellEnd"/>
      <w:r w:rsidRPr="00335782">
        <w:rPr>
          <w:rFonts w:ascii="Arial" w:hAnsi="Arial" w:cs="Arial"/>
          <w:lang w:val="mk-MK"/>
        </w:rPr>
        <w:t xml:space="preserve"> </w:t>
      </w:r>
      <w:proofErr w:type="spellStart"/>
      <w:r w:rsidRPr="00335782">
        <w:rPr>
          <w:rFonts w:ascii="Arial" w:hAnsi="Arial" w:cs="Arial"/>
          <w:lang w:val="mk-MK"/>
        </w:rPr>
        <w:t>economic</w:t>
      </w:r>
      <w:proofErr w:type="spellEnd"/>
      <w:r w:rsidRPr="00335782">
        <w:rPr>
          <w:rFonts w:ascii="Arial" w:hAnsi="Arial" w:cs="Arial"/>
          <w:lang w:val="mk-MK"/>
        </w:rPr>
        <w:t xml:space="preserve"> </w:t>
      </w:r>
      <w:proofErr w:type="spellStart"/>
      <w:r w:rsidRPr="00335782">
        <w:rPr>
          <w:rFonts w:ascii="Arial" w:hAnsi="Arial" w:cs="Arial"/>
          <w:lang w:val="mk-MK"/>
        </w:rPr>
        <w:t>benefits</w:t>
      </w:r>
      <w:proofErr w:type="spellEnd"/>
      <w:r w:rsidRPr="00335782">
        <w:rPr>
          <w:rFonts w:ascii="Arial" w:hAnsi="Arial" w:cs="Arial"/>
          <w:lang w:val="mk-MK"/>
        </w:rPr>
        <w:t xml:space="preserve"> </w:t>
      </w:r>
      <w:proofErr w:type="spellStart"/>
      <w:r w:rsidRPr="00335782">
        <w:rPr>
          <w:rFonts w:ascii="Arial" w:hAnsi="Arial" w:cs="Arial"/>
          <w:lang w:val="mk-MK"/>
        </w:rPr>
        <w:t>associated</w:t>
      </w:r>
      <w:proofErr w:type="spellEnd"/>
      <w:r w:rsidRPr="00335782">
        <w:rPr>
          <w:rFonts w:ascii="Arial" w:hAnsi="Arial" w:cs="Arial"/>
          <w:lang w:val="mk-MK"/>
        </w:rPr>
        <w:t xml:space="preserve"> </w:t>
      </w:r>
      <w:proofErr w:type="spellStart"/>
      <w:r w:rsidRPr="00335782">
        <w:rPr>
          <w:rFonts w:ascii="Arial" w:hAnsi="Arial" w:cs="Arial"/>
          <w:lang w:val="mk-MK"/>
        </w:rPr>
        <w:t>with</w:t>
      </w:r>
      <w:proofErr w:type="spellEnd"/>
      <w:r w:rsidRPr="00335782">
        <w:rPr>
          <w:rFonts w:ascii="Arial" w:hAnsi="Arial" w:cs="Arial"/>
          <w:lang w:val="mk-MK"/>
        </w:rPr>
        <w:t xml:space="preserve"> </w:t>
      </w:r>
      <w:proofErr w:type="spellStart"/>
      <w:r w:rsidRPr="00335782">
        <w:rPr>
          <w:rFonts w:ascii="Arial" w:hAnsi="Arial" w:cs="Arial"/>
          <w:lang w:val="mk-MK"/>
        </w:rPr>
        <w:t>the</w:t>
      </w:r>
      <w:proofErr w:type="spellEnd"/>
      <w:r w:rsidRPr="00335782">
        <w:rPr>
          <w:rFonts w:ascii="Arial" w:hAnsi="Arial" w:cs="Arial"/>
          <w:lang w:val="mk-MK"/>
        </w:rPr>
        <w:t xml:space="preserve"> </w:t>
      </w:r>
      <w:proofErr w:type="spellStart"/>
      <w:r w:rsidRPr="00335782">
        <w:rPr>
          <w:rFonts w:ascii="Arial" w:hAnsi="Arial" w:cs="Arial"/>
          <w:lang w:val="mk-MK"/>
        </w:rPr>
        <w:t>item</w:t>
      </w:r>
      <w:proofErr w:type="spellEnd"/>
      <w:r w:rsidRPr="00335782">
        <w:rPr>
          <w:rFonts w:ascii="Arial" w:hAnsi="Arial" w:cs="Arial"/>
          <w:lang w:val="mk-MK"/>
        </w:rPr>
        <w:t xml:space="preserve"> </w:t>
      </w:r>
      <w:proofErr w:type="spellStart"/>
      <w:r w:rsidRPr="00335782">
        <w:rPr>
          <w:rFonts w:ascii="Arial" w:hAnsi="Arial" w:cs="Arial"/>
          <w:lang w:val="mk-MK"/>
        </w:rPr>
        <w:t>will</w:t>
      </w:r>
      <w:proofErr w:type="spellEnd"/>
      <w:r w:rsidRPr="00335782">
        <w:rPr>
          <w:rFonts w:ascii="Arial" w:hAnsi="Arial" w:cs="Arial"/>
          <w:lang w:val="mk-MK"/>
        </w:rPr>
        <w:t xml:space="preserve"> </w:t>
      </w:r>
      <w:proofErr w:type="spellStart"/>
      <w:r w:rsidRPr="00335782">
        <w:rPr>
          <w:rFonts w:ascii="Arial" w:hAnsi="Arial" w:cs="Arial"/>
          <w:lang w:val="mk-MK"/>
        </w:rPr>
        <w:t>flow</w:t>
      </w:r>
      <w:proofErr w:type="spellEnd"/>
      <w:r w:rsidRPr="00335782">
        <w:rPr>
          <w:rFonts w:ascii="Arial" w:hAnsi="Arial" w:cs="Arial"/>
          <w:lang w:val="mk-MK"/>
        </w:rPr>
        <w:t xml:space="preserve"> </w:t>
      </w:r>
      <w:proofErr w:type="spellStart"/>
      <w:r w:rsidRPr="00335782">
        <w:rPr>
          <w:rFonts w:ascii="Arial" w:hAnsi="Arial" w:cs="Arial"/>
          <w:lang w:val="mk-MK"/>
        </w:rPr>
        <w:t>to</w:t>
      </w:r>
      <w:proofErr w:type="spellEnd"/>
      <w:r w:rsidRPr="00335782">
        <w:rPr>
          <w:rFonts w:ascii="Arial" w:hAnsi="Arial" w:cs="Arial"/>
          <w:lang w:val="mk-MK"/>
        </w:rPr>
        <w:t xml:space="preserve"> </w:t>
      </w:r>
      <w:proofErr w:type="spellStart"/>
      <w:r w:rsidRPr="00335782">
        <w:rPr>
          <w:rFonts w:ascii="Arial" w:hAnsi="Arial" w:cs="Arial"/>
          <w:lang w:val="mk-MK"/>
        </w:rPr>
        <w:t>the</w:t>
      </w:r>
      <w:proofErr w:type="spellEnd"/>
      <w:r w:rsidRPr="00335782">
        <w:rPr>
          <w:rFonts w:ascii="Arial" w:hAnsi="Arial" w:cs="Arial"/>
          <w:lang w:val="mk-MK"/>
        </w:rPr>
        <w:t xml:space="preserve"> </w:t>
      </w:r>
      <w:proofErr w:type="spellStart"/>
      <w:r w:rsidRPr="00335782">
        <w:rPr>
          <w:rFonts w:ascii="Arial" w:hAnsi="Arial" w:cs="Arial"/>
          <w:lang w:val="mk-MK"/>
        </w:rPr>
        <w:t>Fund</w:t>
      </w:r>
      <w:proofErr w:type="spellEnd"/>
      <w:r w:rsidRPr="00335782">
        <w:rPr>
          <w:rFonts w:ascii="Arial" w:hAnsi="Arial" w:cs="Arial"/>
          <w:lang w:val="mk-MK"/>
        </w:rPr>
        <w:t xml:space="preserve"> </w:t>
      </w:r>
      <w:proofErr w:type="spellStart"/>
      <w:r w:rsidRPr="00335782">
        <w:rPr>
          <w:rFonts w:ascii="Arial" w:hAnsi="Arial" w:cs="Arial"/>
          <w:lang w:val="mk-MK"/>
        </w:rPr>
        <w:t>and</w:t>
      </w:r>
      <w:proofErr w:type="spellEnd"/>
      <w:r w:rsidRPr="00335782">
        <w:rPr>
          <w:rFonts w:ascii="Arial" w:hAnsi="Arial" w:cs="Arial"/>
          <w:lang w:val="mk-MK"/>
        </w:rPr>
        <w:t xml:space="preserve"> </w:t>
      </w:r>
      <w:proofErr w:type="spellStart"/>
      <w:r w:rsidRPr="00335782">
        <w:rPr>
          <w:rFonts w:ascii="Arial" w:hAnsi="Arial" w:cs="Arial"/>
          <w:lang w:val="mk-MK"/>
        </w:rPr>
        <w:t>the</w:t>
      </w:r>
      <w:proofErr w:type="spellEnd"/>
      <w:r w:rsidRPr="00335782">
        <w:rPr>
          <w:rFonts w:ascii="Arial" w:hAnsi="Arial" w:cs="Arial"/>
          <w:lang w:val="mk-MK"/>
        </w:rPr>
        <w:t xml:space="preserve"> </w:t>
      </w:r>
      <w:proofErr w:type="spellStart"/>
      <w:r w:rsidRPr="00335782">
        <w:rPr>
          <w:rFonts w:ascii="Arial" w:hAnsi="Arial" w:cs="Arial"/>
          <w:lang w:val="mk-MK"/>
        </w:rPr>
        <w:t>cost</w:t>
      </w:r>
      <w:proofErr w:type="spellEnd"/>
      <w:r w:rsidRPr="00335782">
        <w:rPr>
          <w:rFonts w:ascii="Arial" w:hAnsi="Arial" w:cs="Arial"/>
          <w:lang w:val="mk-MK"/>
        </w:rPr>
        <w:t xml:space="preserve"> </w:t>
      </w:r>
      <w:proofErr w:type="spellStart"/>
      <w:r w:rsidRPr="00335782">
        <w:rPr>
          <w:rFonts w:ascii="Arial" w:hAnsi="Arial" w:cs="Arial"/>
          <w:lang w:val="mk-MK"/>
        </w:rPr>
        <w:t>of</w:t>
      </w:r>
      <w:proofErr w:type="spellEnd"/>
      <w:r w:rsidRPr="00335782">
        <w:rPr>
          <w:rFonts w:ascii="Arial" w:hAnsi="Arial" w:cs="Arial"/>
          <w:lang w:val="mk-MK"/>
        </w:rPr>
        <w:t xml:space="preserve"> </w:t>
      </w:r>
      <w:proofErr w:type="spellStart"/>
      <w:r w:rsidRPr="00335782">
        <w:rPr>
          <w:rFonts w:ascii="Arial" w:hAnsi="Arial" w:cs="Arial"/>
          <w:lang w:val="mk-MK"/>
        </w:rPr>
        <w:t>the</w:t>
      </w:r>
      <w:proofErr w:type="spellEnd"/>
      <w:r w:rsidRPr="00335782">
        <w:rPr>
          <w:rFonts w:ascii="Arial" w:hAnsi="Arial" w:cs="Arial"/>
          <w:lang w:val="mk-MK"/>
        </w:rPr>
        <w:t xml:space="preserve"> </w:t>
      </w:r>
      <w:proofErr w:type="spellStart"/>
      <w:r w:rsidRPr="00335782">
        <w:rPr>
          <w:rFonts w:ascii="Arial" w:hAnsi="Arial" w:cs="Arial"/>
          <w:lang w:val="mk-MK"/>
        </w:rPr>
        <w:t>item</w:t>
      </w:r>
      <w:proofErr w:type="spellEnd"/>
      <w:r w:rsidRPr="00335782">
        <w:rPr>
          <w:rFonts w:ascii="Arial" w:hAnsi="Arial" w:cs="Arial"/>
          <w:lang w:val="mk-MK"/>
        </w:rPr>
        <w:t xml:space="preserve"> </w:t>
      </w:r>
      <w:proofErr w:type="spellStart"/>
      <w:r w:rsidRPr="00335782">
        <w:rPr>
          <w:rFonts w:ascii="Arial" w:hAnsi="Arial" w:cs="Arial"/>
          <w:lang w:val="mk-MK"/>
        </w:rPr>
        <w:t>can</w:t>
      </w:r>
      <w:proofErr w:type="spellEnd"/>
      <w:r w:rsidRPr="00335782">
        <w:rPr>
          <w:rFonts w:ascii="Arial" w:hAnsi="Arial" w:cs="Arial"/>
          <w:lang w:val="mk-MK"/>
        </w:rPr>
        <w:t xml:space="preserve"> </w:t>
      </w:r>
      <w:proofErr w:type="spellStart"/>
      <w:r w:rsidRPr="00335782">
        <w:rPr>
          <w:rFonts w:ascii="Arial" w:hAnsi="Arial" w:cs="Arial"/>
          <w:lang w:val="mk-MK"/>
        </w:rPr>
        <w:t>be</w:t>
      </w:r>
      <w:proofErr w:type="spellEnd"/>
      <w:r w:rsidRPr="00335782">
        <w:rPr>
          <w:rFonts w:ascii="Arial" w:hAnsi="Arial" w:cs="Arial"/>
          <w:lang w:val="mk-MK"/>
        </w:rPr>
        <w:t xml:space="preserve"> </w:t>
      </w:r>
      <w:proofErr w:type="spellStart"/>
      <w:r w:rsidRPr="00335782">
        <w:rPr>
          <w:rFonts w:ascii="Arial" w:hAnsi="Arial" w:cs="Arial"/>
          <w:lang w:val="mk-MK"/>
        </w:rPr>
        <w:t>measured</w:t>
      </w:r>
      <w:proofErr w:type="spellEnd"/>
      <w:r w:rsidRPr="00335782">
        <w:rPr>
          <w:rFonts w:ascii="Arial" w:hAnsi="Arial" w:cs="Arial"/>
          <w:lang w:val="mk-MK"/>
        </w:rPr>
        <w:t xml:space="preserve"> </w:t>
      </w:r>
      <w:proofErr w:type="spellStart"/>
      <w:r w:rsidRPr="00335782">
        <w:rPr>
          <w:rFonts w:ascii="Arial" w:hAnsi="Arial" w:cs="Arial"/>
          <w:lang w:val="mk-MK"/>
        </w:rPr>
        <w:t>reliably</w:t>
      </w:r>
      <w:proofErr w:type="spellEnd"/>
      <w:r w:rsidRPr="00335782">
        <w:rPr>
          <w:rFonts w:ascii="Arial" w:hAnsi="Arial" w:cs="Arial"/>
          <w:lang w:val="mk-MK"/>
        </w:rPr>
        <w:t xml:space="preserve">. </w:t>
      </w:r>
      <w:proofErr w:type="spellStart"/>
      <w:r w:rsidRPr="00335782">
        <w:rPr>
          <w:rFonts w:ascii="Arial" w:hAnsi="Arial" w:cs="Arial"/>
          <w:lang w:val="mk-MK"/>
        </w:rPr>
        <w:t>All</w:t>
      </w:r>
      <w:proofErr w:type="spellEnd"/>
      <w:r w:rsidRPr="00335782">
        <w:rPr>
          <w:rFonts w:ascii="Arial" w:hAnsi="Arial" w:cs="Arial"/>
          <w:lang w:val="mk-MK"/>
        </w:rPr>
        <w:t xml:space="preserve"> </w:t>
      </w:r>
      <w:proofErr w:type="spellStart"/>
      <w:r w:rsidRPr="00335782">
        <w:rPr>
          <w:rFonts w:ascii="Arial" w:hAnsi="Arial" w:cs="Arial"/>
          <w:lang w:val="mk-MK"/>
        </w:rPr>
        <w:t>other</w:t>
      </w:r>
      <w:proofErr w:type="spellEnd"/>
      <w:r w:rsidRPr="00335782">
        <w:rPr>
          <w:rFonts w:ascii="Arial" w:hAnsi="Arial" w:cs="Arial"/>
          <w:lang w:val="mk-MK"/>
        </w:rPr>
        <w:t xml:space="preserve"> </w:t>
      </w:r>
      <w:proofErr w:type="spellStart"/>
      <w:r w:rsidRPr="00335782">
        <w:rPr>
          <w:rFonts w:ascii="Arial" w:hAnsi="Arial" w:cs="Arial"/>
          <w:lang w:val="mk-MK"/>
        </w:rPr>
        <w:t>repairs</w:t>
      </w:r>
      <w:proofErr w:type="spellEnd"/>
      <w:r w:rsidRPr="00335782">
        <w:rPr>
          <w:rFonts w:ascii="Arial" w:hAnsi="Arial" w:cs="Arial"/>
          <w:lang w:val="mk-MK"/>
        </w:rPr>
        <w:t xml:space="preserve"> </w:t>
      </w:r>
      <w:proofErr w:type="spellStart"/>
      <w:r w:rsidRPr="00335782">
        <w:rPr>
          <w:rFonts w:ascii="Arial" w:hAnsi="Arial" w:cs="Arial"/>
          <w:lang w:val="mk-MK"/>
        </w:rPr>
        <w:t>and</w:t>
      </w:r>
      <w:proofErr w:type="spellEnd"/>
      <w:r w:rsidRPr="00335782">
        <w:rPr>
          <w:rFonts w:ascii="Arial" w:hAnsi="Arial" w:cs="Arial"/>
          <w:lang w:val="mk-MK"/>
        </w:rPr>
        <w:t xml:space="preserve"> </w:t>
      </w:r>
      <w:proofErr w:type="spellStart"/>
      <w:r w:rsidRPr="00335782">
        <w:rPr>
          <w:rFonts w:ascii="Arial" w:hAnsi="Arial" w:cs="Arial"/>
          <w:lang w:val="mk-MK"/>
        </w:rPr>
        <w:t>maintenance</w:t>
      </w:r>
      <w:proofErr w:type="spellEnd"/>
      <w:r w:rsidRPr="00335782">
        <w:rPr>
          <w:rFonts w:ascii="Arial" w:hAnsi="Arial" w:cs="Arial"/>
          <w:lang w:val="mk-MK"/>
        </w:rPr>
        <w:t xml:space="preserve"> </w:t>
      </w:r>
      <w:proofErr w:type="spellStart"/>
      <w:r w:rsidRPr="00335782">
        <w:rPr>
          <w:rFonts w:ascii="Arial" w:hAnsi="Arial" w:cs="Arial"/>
          <w:lang w:val="mk-MK"/>
        </w:rPr>
        <w:t>are</w:t>
      </w:r>
      <w:proofErr w:type="spellEnd"/>
      <w:r w:rsidRPr="00335782">
        <w:rPr>
          <w:rFonts w:ascii="Arial" w:hAnsi="Arial" w:cs="Arial"/>
          <w:lang w:val="mk-MK"/>
        </w:rPr>
        <w:t xml:space="preserve"> </w:t>
      </w:r>
      <w:proofErr w:type="spellStart"/>
      <w:r w:rsidRPr="00335782">
        <w:rPr>
          <w:rFonts w:ascii="Arial" w:hAnsi="Arial" w:cs="Arial"/>
          <w:lang w:val="mk-MK"/>
        </w:rPr>
        <w:t>charged</w:t>
      </w:r>
      <w:proofErr w:type="spellEnd"/>
      <w:r w:rsidRPr="00335782">
        <w:rPr>
          <w:rFonts w:ascii="Arial" w:hAnsi="Arial" w:cs="Arial"/>
          <w:lang w:val="mk-MK"/>
        </w:rPr>
        <w:t xml:space="preserve"> </w:t>
      </w:r>
      <w:proofErr w:type="spellStart"/>
      <w:r w:rsidRPr="00335782">
        <w:rPr>
          <w:rFonts w:ascii="Arial" w:hAnsi="Arial" w:cs="Arial"/>
          <w:lang w:val="mk-MK"/>
        </w:rPr>
        <w:t>as</w:t>
      </w:r>
      <w:proofErr w:type="spellEnd"/>
      <w:r w:rsidRPr="00335782">
        <w:rPr>
          <w:rFonts w:ascii="Arial" w:hAnsi="Arial" w:cs="Arial"/>
          <w:lang w:val="mk-MK"/>
        </w:rPr>
        <w:t xml:space="preserve"> </w:t>
      </w:r>
      <w:proofErr w:type="spellStart"/>
      <w:r w:rsidRPr="00335782">
        <w:rPr>
          <w:rFonts w:ascii="Arial" w:hAnsi="Arial" w:cs="Arial"/>
          <w:lang w:val="mk-MK"/>
        </w:rPr>
        <w:t>expenses</w:t>
      </w:r>
      <w:proofErr w:type="spellEnd"/>
      <w:r w:rsidRPr="00335782">
        <w:rPr>
          <w:rFonts w:ascii="Arial" w:hAnsi="Arial" w:cs="Arial"/>
          <w:lang w:val="mk-MK"/>
        </w:rPr>
        <w:t xml:space="preserve"> </w:t>
      </w:r>
      <w:proofErr w:type="spellStart"/>
      <w:r w:rsidRPr="00335782">
        <w:rPr>
          <w:rFonts w:ascii="Arial" w:hAnsi="Arial" w:cs="Arial"/>
          <w:lang w:val="mk-MK"/>
        </w:rPr>
        <w:t>in</w:t>
      </w:r>
      <w:proofErr w:type="spellEnd"/>
      <w:r w:rsidRPr="00335782">
        <w:rPr>
          <w:rFonts w:ascii="Arial" w:hAnsi="Arial" w:cs="Arial"/>
          <w:lang w:val="mk-MK"/>
        </w:rPr>
        <w:t xml:space="preserve"> </w:t>
      </w:r>
      <w:proofErr w:type="spellStart"/>
      <w:r w:rsidRPr="00335782">
        <w:rPr>
          <w:rFonts w:ascii="Arial" w:hAnsi="Arial" w:cs="Arial"/>
          <w:lang w:val="mk-MK"/>
        </w:rPr>
        <w:t>the</w:t>
      </w:r>
      <w:proofErr w:type="spellEnd"/>
      <w:r w:rsidRPr="00335782">
        <w:rPr>
          <w:rFonts w:ascii="Arial" w:hAnsi="Arial" w:cs="Arial"/>
          <w:lang w:val="mk-MK"/>
        </w:rPr>
        <w:t xml:space="preserve"> </w:t>
      </w:r>
      <w:proofErr w:type="spellStart"/>
      <w:r w:rsidRPr="00335782">
        <w:rPr>
          <w:rFonts w:ascii="Arial" w:hAnsi="Arial" w:cs="Arial"/>
          <w:lang w:val="mk-MK"/>
        </w:rPr>
        <w:t>Statement</w:t>
      </w:r>
      <w:proofErr w:type="spellEnd"/>
      <w:r w:rsidRPr="00335782">
        <w:rPr>
          <w:rFonts w:ascii="Arial" w:hAnsi="Arial" w:cs="Arial"/>
          <w:lang w:val="mk-MK"/>
        </w:rPr>
        <w:t xml:space="preserve"> </w:t>
      </w:r>
      <w:proofErr w:type="spellStart"/>
      <w:r w:rsidRPr="00335782">
        <w:rPr>
          <w:rFonts w:ascii="Arial" w:hAnsi="Arial" w:cs="Arial"/>
          <w:lang w:val="mk-MK"/>
        </w:rPr>
        <w:t>of</w:t>
      </w:r>
      <w:proofErr w:type="spellEnd"/>
      <w:r w:rsidRPr="00335782">
        <w:rPr>
          <w:rFonts w:ascii="Arial" w:hAnsi="Arial" w:cs="Arial"/>
          <w:lang w:val="mk-MK"/>
        </w:rPr>
        <w:t xml:space="preserve"> </w:t>
      </w:r>
      <w:proofErr w:type="spellStart"/>
      <w:r w:rsidRPr="00335782">
        <w:rPr>
          <w:rFonts w:ascii="Arial" w:hAnsi="Arial" w:cs="Arial"/>
          <w:lang w:val="mk-MK"/>
        </w:rPr>
        <w:t>comprehensive</w:t>
      </w:r>
      <w:proofErr w:type="spellEnd"/>
      <w:r w:rsidRPr="00335782">
        <w:rPr>
          <w:rFonts w:ascii="Arial" w:hAnsi="Arial" w:cs="Arial"/>
          <w:lang w:val="mk-MK"/>
        </w:rPr>
        <w:t xml:space="preserve"> </w:t>
      </w:r>
      <w:proofErr w:type="spellStart"/>
      <w:r w:rsidRPr="00335782">
        <w:rPr>
          <w:rFonts w:ascii="Arial" w:hAnsi="Arial" w:cs="Arial"/>
          <w:lang w:val="mk-MK"/>
        </w:rPr>
        <w:t>income</w:t>
      </w:r>
      <w:proofErr w:type="spellEnd"/>
      <w:r w:rsidRPr="00335782">
        <w:rPr>
          <w:rFonts w:ascii="Arial" w:hAnsi="Arial" w:cs="Arial"/>
          <w:lang w:val="mk-MK"/>
        </w:rPr>
        <w:t xml:space="preserve"> </w:t>
      </w:r>
      <w:proofErr w:type="spellStart"/>
      <w:r w:rsidRPr="00335782">
        <w:rPr>
          <w:rFonts w:ascii="Arial" w:hAnsi="Arial" w:cs="Arial"/>
          <w:lang w:val="mk-MK"/>
        </w:rPr>
        <w:t>in</w:t>
      </w:r>
      <w:proofErr w:type="spellEnd"/>
      <w:r w:rsidRPr="00335782">
        <w:rPr>
          <w:rFonts w:ascii="Arial" w:hAnsi="Arial" w:cs="Arial"/>
          <w:lang w:val="mk-MK"/>
        </w:rPr>
        <w:t xml:space="preserve"> </w:t>
      </w:r>
      <w:proofErr w:type="spellStart"/>
      <w:r w:rsidRPr="00335782">
        <w:rPr>
          <w:rFonts w:ascii="Arial" w:hAnsi="Arial" w:cs="Arial"/>
          <w:lang w:val="mk-MK"/>
        </w:rPr>
        <w:t>the</w:t>
      </w:r>
      <w:proofErr w:type="spellEnd"/>
      <w:r w:rsidRPr="00335782">
        <w:rPr>
          <w:rFonts w:ascii="Arial" w:hAnsi="Arial" w:cs="Arial"/>
          <w:lang w:val="mk-MK"/>
        </w:rPr>
        <w:t xml:space="preserve"> </w:t>
      </w:r>
      <w:proofErr w:type="spellStart"/>
      <w:r w:rsidRPr="00335782">
        <w:rPr>
          <w:rFonts w:ascii="Arial" w:hAnsi="Arial" w:cs="Arial"/>
          <w:lang w:val="mk-MK"/>
        </w:rPr>
        <w:t>period</w:t>
      </w:r>
      <w:proofErr w:type="spellEnd"/>
      <w:r w:rsidRPr="00335782">
        <w:rPr>
          <w:rFonts w:ascii="Arial" w:hAnsi="Arial" w:cs="Arial"/>
          <w:lang w:val="mk-MK"/>
        </w:rPr>
        <w:t xml:space="preserve"> </w:t>
      </w:r>
      <w:proofErr w:type="spellStart"/>
      <w:r w:rsidRPr="00335782">
        <w:rPr>
          <w:rFonts w:ascii="Arial" w:hAnsi="Arial" w:cs="Arial"/>
          <w:lang w:val="mk-MK"/>
        </w:rPr>
        <w:t>when</w:t>
      </w:r>
      <w:proofErr w:type="spellEnd"/>
      <w:r w:rsidRPr="00335782">
        <w:rPr>
          <w:rFonts w:ascii="Arial" w:hAnsi="Arial" w:cs="Arial"/>
          <w:lang w:val="mk-MK"/>
        </w:rPr>
        <w:t xml:space="preserve"> </w:t>
      </w:r>
      <w:proofErr w:type="spellStart"/>
      <w:r w:rsidRPr="00335782">
        <w:rPr>
          <w:rFonts w:ascii="Arial" w:hAnsi="Arial" w:cs="Arial"/>
          <w:lang w:val="mk-MK"/>
        </w:rPr>
        <w:t>incurred</w:t>
      </w:r>
      <w:proofErr w:type="spellEnd"/>
    </w:p>
    <w:p w14:paraId="3BBE147C" w14:textId="77777777" w:rsidR="006557D5" w:rsidRPr="001E6526" w:rsidRDefault="006557D5" w:rsidP="006557D5">
      <w:pPr>
        <w:pStyle w:val="BodyText"/>
        <w:jc w:val="both"/>
        <w:rPr>
          <w:rFonts w:ascii="Arial" w:hAnsi="Arial" w:cs="Arial"/>
          <w:lang w:val="mk-MK"/>
        </w:rPr>
      </w:pPr>
      <w:proofErr w:type="spellStart"/>
      <w:r w:rsidRPr="00B62184">
        <w:rPr>
          <w:rFonts w:ascii="Arial" w:hAnsi="Arial" w:cs="Arial"/>
          <w:lang w:val="mk-MK"/>
        </w:rPr>
        <w:t>The</w:t>
      </w:r>
      <w:proofErr w:type="spellEnd"/>
      <w:r w:rsidRPr="00B62184">
        <w:rPr>
          <w:rFonts w:ascii="Arial" w:hAnsi="Arial" w:cs="Arial"/>
          <w:lang w:val="mk-MK"/>
        </w:rPr>
        <w:t xml:space="preserve"> </w:t>
      </w:r>
      <w:proofErr w:type="spellStart"/>
      <w:r w:rsidRPr="00B62184">
        <w:rPr>
          <w:rFonts w:ascii="Arial" w:hAnsi="Arial" w:cs="Arial"/>
          <w:lang w:val="mk-MK"/>
        </w:rPr>
        <w:t>residual</w:t>
      </w:r>
      <w:proofErr w:type="spellEnd"/>
      <w:r w:rsidRPr="00B62184">
        <w:rPr>
          <w:rFonts w:ascii="Arial" w:hAnsi="Arial" w:cs="Arial"/>
          <w:lang w:val="mk-MK"/>
        </w:rPr>
        <w:t xml:space="preserve"> </w:t>
      </w:r>
      <w:proofErr w:type="spellStart"/>
      <w:r w:rsidRPr="00B62184">
        <w:rPr>
          <w:rFonts w:ascii="Arial" w:hAnsi="Arial" w:cs="Arial"/>
          <w:lang w:val="mk-MK"/>
        </w:rPr>
        <w:t>amounts</w:t>
      </w:r>
      <w:proofErr w:type="spellEnd"/>
      <w:r w:rsidRPr="00B62184">
        <w:rPr>
          <w:rFonts w:ascii="Arial" w:hAnsi="Arial" w:cs="Arial"/>
          <w:lang w:val="mk-MK"/>
        </w:rPr>
        <w:t xml:space="preserve"> </w:t>
      </w:r>
      <w:proofErr w:type="spellStart"/>
      <w:r w:rsidRPr="00B62184">
        <w:rPr>
          <w:rFonts w:ascii="Arial" w:hAnsi="Arial" w:cs="Arial"/>
          <w:lang w:val="mk-MK"/>
        </w:rPr>
        <w:t>and</w:t>
      </w:r>
      <w:proofErr w:type="spellEnd"/>
      <w:r w:rsidRPr="00B62184">
        <w:rPr>
          <w:rFonts w:ascii="Arial" w:hAnsi="Arial" w:cs="Arial"/>
          <w:lang w:val="mk-MK"/>
        </w:rPr>
        <w:t xml:space="preserve"> </w:t>
      </w:r>
      <w:proofErr w:type="spellStart"/>
      <w:r w:rsidRPr="00B62184">
        <w:rPr>
          <w:rFonts w:ascii="Arial" w:hAnsi="Arial" w:cs="Arial"/>
          <w:lang w:val="mk-MK"/>
        </w:rPr>
        <w:t>the</w:t>
      </w:r>
      <w:proofErr w:type="spellEnd"/>
      <w:r w:rsidRPr="00B62184">
        <w:rPr>
          <w:rFonts w:ascii="Arial" w:hAnsi="Arial" w:cs="Arial"/>
          <w:lang w:val="mk-MK"/>
        </w:rPr>
        <w:t xml:space="preserve"> </w:t>
      </w:r>
      <w:proofErr w:type="spellStart"/>
      <w:r w:rsidRPr="00B62184">
        <w:rPr>
          <w:rFonts w:ascii="Arial" w:hAnsi="Arial" w:cs="Arial"/>
          <w:lang w:val="mk-MK"/>
        </w:rPr>
        <w:t>estimated</w:t>
      </w:r>
      <w:proofErr w:type="spellEnd"/>
      <w:r w:rsidRPr="00B62184">
        <w:rPr>
          <w:rFonts w:ascii="Arial" w:hAnsi="Arial" w:cs="Arial"/>
          <w:lang w:val="mk-MK"/>
        </w:rPr>
        <w:t xml:space="preserve"> </w:t>
      </w:r>
      <w:proofErr w:type="spellStart"/>
      <w:r w:rsidRPr="00B62184">
        <w:rPr>
          <w:rFonts w:ascii="Arial" w:hAnsi="Arial" w:cs="Arial"/>
          <w:lang w:val="mk-MK"/>
        </w:rPr>
        <w:t>useful</w:t>
      </w:r>
      <w:proofErr w:type="spellEnd"/>
      <w:r w:rsidRPr="00B62184">
        <w:rPr>
          <w:rFonts w:ascii="Arial" w:hAnsi="Arial" w:cs="Arial"/>
          <w:lang w:val="mk-MK"/>
        </w:rPr>
        <w:t xml:space="preserve"> </w:t>
      </w:r>
      <w:proofErr w:type="spellStart"/>
      <w:r w:rsidRPr="00B62184">
        <w:rPr>
          <w:rFonts w:ascii="Arial" w:hAnsi="Arial" w:cs="Arial"/>
          <w:lang w:val="mk-MK"/>
        </w:rPr>
        <w:t>life</w:t>
      </w:r>
      <w:proofErr w:type="spellEnd"/>
      <w:r w:rsidRPr="00B62184">
        <w:rPr>
          <w:rFonts w:ascii="Arial" w:hAnsi="Arial" w:cs="Arial"/>
          <w:lang w:val="mk-MK"/>
        </w:rPr>
        <w:t xml:space="preserve"> </w:t>
      </w:r>
      <w:proofErr w:type="spellStart"/>
      <w:r w:rsidRPr="00B62184">
        <w:rPr>
          <w:rFonts w:ascii="Arial" w:hAnsi="Arial" w:cs="Arial"/>
          <w:lang w:val="mk-MK"/>
        </w:rPr>
        <w:t>of</w:t>
      </w:r>
      <w:proofErr w:type="spellEnd"/>
      <w:r w:rsidRPr="00B62184">
        <w:rPr>
          <w:rFonts w:ascii="Arial" w:hAnsi="Arial" w:cs="Arial"/>
          <w:lang w:val="mk-MK"/>
        </w:rPr>
        <w:t xml:space="preserve"> </w:t>
      </w:r>
      <w:proofErr w:type="spellStart"/>
      <w:r w:rsidRPr="00B62184">
        <w:rPr>
          <w:rFonts w:ascii="Arial" w:hAnsi="Arial" w:cs="Arial"/>
          <w:lang w:val="mk-MK"/>
        </w:rPr>
        <w:t>the</w:t>
      </w:r>
      <w:proofErr w:type="spellEnd"/>
      <w:r w:rsidRPr="00B62184">
        <w:rPr>
          <w:rFonts w:ascii="Arial" w:hAnsi="Arial" w:cs="Arial"/>
          <w:lang w:val="mk-MK"/>
        </w:rPr>
        <w:t xml:space="preserve"> </w:t>
      </w:r>
      <w:proofErr w:type="spellStart"/>
      <w:r w:rsidRPr="00B62184">
        <w:rPr>
          <w:rFonts w:ascii="Arial" w:hAnsi="Arial" w:cs="Arial"/>
          <w:lang w:val="mk-MK"/>
        </w:rPr>
        <w:t>assets</w:t>
      </w:r>
      <w:proofErr w:type="spellEnd"/>
      <w:r w:rsidRPr="00B62184">
        <w:rPr>
          <w:rFonts w:ascii="Arial" w:hAnsi="Arial" w:cs="Arial"/>
          <w:lang w:val="mk-MK"/>
        </w:rPr>
        <w:t xml:space="preserve"> </w:t>
      </w:r>
      <w:proofErr w:type="spellStart"/>
      <w:r w:rsidRPr="00B62184">
        <w:rPr>
          <w:rFonts w:ascii="Arial" w:hAnsi="Arial" w:cs="Arial"/>
          <w:lang w:val="mk-MK"/>
        </w:rPr>
        <w:t>should</w:t>
      </w:r>
      <w:proofErr w:type="spellEnd"/>
      <w:r w:rsidRPr="00B62184">
        <w:rPr>
          <w:rFonts w:ascii="Arial" w:hAnsi="Arial" w:cs="Arial"/>
          <w:lang w:val="mk-MK"/>
        </w:rPr>
        <w:t xml:space="preserve"> </w:t>
      </w:r>
      <w:proofErr w:type="spellStart"/>
      <w:r w:rsidRPr="00B62184">
        <w:rPr>
          <w:rFonts w:ascii="Arial" w:hAnsi="Arial" w:cs="Arial"/>
          <w:lang w:val="mk-MK"/>
        </w:rPr>
        <w:t>be</w:t>
      </w:r>
      <w:proofErr w:type="spellEnd"/>
      <w:r w:rsidRPr="00B62184">
        <w:rPr>
          <w:rFonts w:ascii="Arial" w:hAnsi="Arial" w:cs="Arial"/>
          <w:lang w:val="mk-MK"/>
        </w:rPr>
        <w:t xml:space="preserve"> </w:t>
      </w:r>
      <w:proofErr w:type="spellStart"/>
      <w:r w:rsidRPr="00B62184">
        <w:rPr>
          <w:rFonts w:ascii="Arial" w:hAnsi="Arial" w:cs="Arial"/>
          <w:lang w:val="mk-MK"/>
        </w:rPr>
        <w:t>examined</w:t>
      </w:r>
      <w:proofErr w:type="spellEnd"/>
      <w:r w:rsidRPr="00B62184">
        <w:rPr>
          <w:rFonts w:ascii="Arial" w:hAnsi="Arial" w:cs="Arial"/>
          <w:lang w:val="mk-MK"/>
        </w:rPr>
        <w:t xml:space="preserve"> </w:t>
      </w:r>
      <w:proofErr w:type="spellStart"/>
      <w:r w:rsidRPr="00B62184">
        <w:rPr>
          <w:rFonts w:ascii="Arial" w:hAnsi="Arial" w:cs="Arial"/>
          <w:lang w:val="mk-MK"/>
        </w:rPr>
        <w:t>and</w:t>
      </w:r>
      <w:proofErr w:type="spellEnd"/>
      <w:r w:rsidRPr="00B62184">
        <w:rPr>
          <w:rFonts w:ascii="Arial" w:hAnsi="Arial" w:cs="Arial"/>
          <w:lang w:val="mk-MK"/>
        </w:rPr>
        <w:t xml:space="preserve"> </w:t>
      </w:r>
      <w:proofErr w:type="spellStart"/>
      <w:r w:rsidRPr="00B62184">
        <w:rPr>
          <w:rFonts w:ascii="Arial" w:hAnsi="Arial" w:cs="Arial"/>
          <w:lang w:val="mk-MK"/>
        </w:rPr>
        <w:t>adjusted</w:t>
      </w:r>
      <w:proofErr w:type="spellEnd"/>
      <w:r w:rsidRPr="00B62184">
        <w:rPr>
          <w:rFonts w:ascii="Arial" w:hAnsi="Arial" w:cs="Arial"/>
          <w:lang w:val="mk-MK"/>
        </w:rPr>
        <w:t xml:space="preserve"> </w:t>
      </w:r>
      <w:proofErr w:type="spellStart"/>
      <w:r w:rsidRPr="00B62184">
        <w:rPr>
          <w:rFonts w:ascii="Arial" w:hAnsi="Arial" w:cs="Arial"/>
          <w:lang w:val="mk-MK"/>
        </w:rPr>
        <w:t>for</w:t>
      </w:r>
      <w:proofErr w:type="spellEnd"/>
      <w:r w:rsidRPr="00B62184">
        <w:rPr>
          <w:rFonts w:ascii="Arial" w:hAnsi="Arial" w:cs="Arial"/>
          <w:lang w:val="mk-MK"/>
        </w:rPr>
        <w:t xml:space="preserve"> </w:t>
      </w:r>
      <w:proofErr w:type="spellStart"/>
      <w:r w:rsidRPr="00B62184">
        <w:rPr>
          <w:rFonts w:ascii="Arial" w:hAnsi="Arial" w:cs="Arial"/>
          <w:lang w:val="mk-MK"/>
        </w:rPr>
        <w:t>each</w:t>
      </w:r>
      <w:proofErr w:type="spellEnd"/>
      <w:r w:rsidRPr="00B62184">
        <w:rPr>
          <w:rFonts w:ascii="Arial" w:hAnsi="Arial" w:cs="Arial"/>
          <w:lang w:val="mk-MK"/>
        </w:rPr>
        <w:t xml:space="preserve"> </w:t>
      </w:r>
      <w:proofErr w:type="spellStart"/>
      <w:r w:rsidRPr="00B62184">
        <w:rPr>
          <w:rFonts w:ascii="Arial" w:hAnsi="Arial" w:cs="Arial"/>
          <w:lang w:val="mk-MK"/>
        </w:rPr>
        <w:t>reporting</w:t>
      </w:r>
      <w:proofErr w:type="spellEnd"/>
      <w:r w:rsidRPr="00B62184">
        <w:rPr>
          <w:rFonts w:ascii="Arial" w:hAnsi="Arial" w:cs="Arial"/>
          <w:lang w:val="mk-MK"/>
        </w:rPr>
        <w:t xml:space="preserve"> </w:t>
      </w:r>
      <w:proofErr w:type="spellStart"/>
      <w:r w:rsidRPr="00B62184">
        <w:rPr>
          <w:rFonts w:ascii="Arial" w:hAnsi="Arial" w:cs="Arial"/>
          <w:lang w:val="mk-MK"/>
        </w:rPr>
        <w:t>date</w:t>
      </w:r>
      <w:proofErr w:type="spellEnd"/>
      <w:r w:rsidRPr="00B62184">
        <w:rPr>
          <w:rFonts w:ascii="Arial" w:hAnsi="Arial" w:cs="Arial"/>
          <w:lang w:val="mk-MK"/>
        </w:rPr>
        <w:t xml:space="preserve">. </w:t>
      </w:r>
      <w:proofErr w:type="spellStart"/>
      <w:r w:rsidRPr="00B62184">
        <w:rPr>
          <w:rFonts w:ascii="Arial" w:hAnsi="Arial" w:cs="Arial"/>
          <w:lang w:val="mk-MK"/>
        </w:rPr>
        <w:t>If</w:t>
      </w:r>
      <w:proofErr w:type="spellEnd"/>
      <w:r w:rsidRPr="00B62184">
        <w:rPr>
          <w:rFonts w:ascii="Arial" w:hAnsi="Arial" w:cs="Arial"/>
          <w:lang w:val="mk-MK"/>
        </w:rPr>
        <w:t xml:space="preserve"> </w:t>
      </w:r>
      <w:proofErr w:type="spellStart"/>
      <w:r w:rsidRPr="00B62184">
        <w:rPr>
          <w:rFonts w:ascii="Arial" w:hAnsi="Arial" w:cs="Arial"/>
          <w:lang w:val="mk-MK"/>
        </w:rPr>
        <w:t>the</w:t>
      </w:r>
      <w:proofErr w:type="spellEnd"/>
      <w:r w:rsidRPr="00B62184">
        <w:rPr>
          <w:rFonts w:ascii="Arial" w:hAnsi="Arial" w:cs="Arial"/>
          <w:lang w:val="mk-MK"/>
        </w:rPr>
        <w:t xml:space="preserve"> </w:t>
      </w:r>
      <w:proofErr w:type="spellStart"/>
      <w:r w:rsidRPr="00B62184">
        <w:rPr>
          <w:rFonts w:ascii="Arial" w:hAnsi="Arial" w:cs="Arial"/>
          <w:lang w:val="mk-MK"/>
        </w:rPr>
        <w:t>asset’s</w:t>
      </w:r>
      <w:proofErr w:type="spellEnd"/>
      <w:r w:rsidRPr="00B62184">
        <w:rPr>
          <w:rFonts w:ascii="Arial" w:hAnsi="Arial" w:cs="Arial"/>
          <w:lang w:val="mk-MK"/>
        </w:rPr>
        <w:t xml:space="preserve"> </w:t>
      </w:r>
      <w:proofErr w:type="spellStart"/>
      <w:r w:rsidRPr="00B62184">
        <w:rPr>
          <w:rFonts w:ascii="Arial" w:hAnsi="Arial" w:cs="Arial"/>
          <w:lang w:val="mk-MK"/>
        </w:rPr>
        <w:t>carrying</w:t>
      </w:r>
      <w:proofErr w:type="spellEnd"/>
      <w:r w:rsidRPr="00B62184">
        <w:rPr>
          <w:rFonts w:ascii="Arial" w:hAnsi="Arial" w:cs="Arial"/>
          <w:lang w:val="mk-MK"/>
        </w:rPr>
        <w:t xml:space="preserve"> </w:t>
      </w:r>
      <w:proofErr w:type="spellStart"/>
      <w:r w:rsidRPr="00B62184">
        <w:rPr>
          <w:rFonts w:ascii="Arial" w:hAnsi="Arial" w:cs="Arial"/>
          <w:lang w:val="mk-MK"/>
        </w:rPr>
        <w:t>amount</w:t>
      </w:r>
      <w:proofErr w:type="spellEnd"/>
      <w:r w:rsidRPr="00B62184">
        <w:rPr>
          <w:rFonts w:ascii="Arial" w:hAnsi="Arial" w:cs="Arial"/>
          <w:lang w:val="mk-MK"/>
        </w:rPr>
        <w:t xml:space="preserve"> </w:t>
      </w:r>
      <w:proofErr w:type="spellStart"/>
      <w:r w:rsidRPr="00B62184">
        <w:rPr>
          <w:rFonts w:ascii="Arial" w:hAnsi="Arial" w:cs="Arial"/>
          <w:lang w:val="mk-MK"/>
        </w:rPr>
        <w:t>is</w:t>
      </w:r>
      <w:proofErr w:type="spellEnd"/>
      <w:r w:rsidRPr="00B62184">
        <w:rPr>
          <w:rFonts w:ascii="Arial" w:hAnsi="Arial" w:cs="Arial"/>
          <w:lang w:val="mk-MK"/>
        </w:rPr>
        <w:t xml:space="preserve"> </w:t>
      </w:r>
      <w:proofErr w:type="spellStart"/>
      <w:r w:rsidRPr="00B62184">
        <w:rPr>
          <w:rFonts w:ascii="Arial" w:hAnsi="Arial" w:cs="Arial"/>
          <w:lang w:val="mk-MK"/>
        </w:rPr>
        <w:t>higher</w:t>
      </w:r>
      <w:proofErr w:type="spellEnd"/>
      <w:r w:rsidRPr="00B62184">
        <w:rPr>
          <w:rFonts w:ascii="Arial" w:hAnsi="Arial" w:cs="Arial"/>
          <w:lang w:val="mk-MK"/>
        </w:rPr>
        <w:t xml:space="preserve"> </w:t>
      </w:r>
      <w:proofErr w:type="spellStart"/>
      <w:r w:rsidRPr="00B62184">
        <w:rPr>
          <w:rFonts w:ascii="Arial" w:hAnsi="Arial" w:cs="Arial"/>
          <w:lang w:val="mk-MK"/>
        </w:rPr>
        <w:t>than</w:t>
      </w:r>
      <w:proofErr w:type="spellEnd"/>
      <w:r w:rsidRPr="00B62184">
        <w:rPr>
          <w:rFonts w:ascii="Arial" w:hAnsi="Arial" w:cs="Arial"/>
          <w:lang w:val="mk-MK"/>
        </w:rPr>
        <w:t xml:space="preserve"> </w:t>
      </w:r>
      <w:proofErr w:type="spellStart"/>
      <w:r w:rsidRPr="00B62184">
        <w:rPr>
          <w:rFonts w:ascii="Arial" w:hAnsi="Arial" w:cs="Arial"/>
          <w:lang w:val="mk-MK"/>
        </w:rPr>
        <w:t>the</w:t>
      </w:r>
      <w:proofErr w:type="spellEnd"/>
      <w:r w:rsidRPr="00B62184">
        <w:rPr>
          <w:rFonts w:ascii="Arial" w:hAnsi="Arial" w:cs="Arial"/>
          <w:lang w:val="mk-MK"/>
        </w:rPr>
        <w:t xml:space="preserve"> </w:t>
      </w:r>
      <w:proofErr w:type="spellStart"/>
      <w:r w:rsidRPr="00B62184">
        <w:rPr>
          <w:rFonts w:ascii="Arial" w:hAnsi="Arial" w:cs="Arial"/>
          <w:lang w:val="mk-MK"/>
        </w:rPr>
        <w:t>estimated</w:t>
      </w:r>
      <w:proofErr w:type="spellEnd"/>
      <w:r w:rsidRPr="00B62184">
        <w:rPr>
          <w:rFonts w:ascii="Arial" w:hAnsi="Arial" w:cs="Arial"/>
          <w:lang w:val="mk-MK"/>
        </w:rPr>
        <w:t xml:space="preserve"> </w:t>
      </w:r>
      <w:proofErr w:type="spellStart"/>
      <w:r w:rsidRPr="00B62184">
        <w:rPr>
          <w:rFonts w:ascii="Arial" w:hAnsi="Arial" w:cs="Arial"/>
          <w:lang w:val="mk-MK"/>
        </w:rPr>
        <w:t>recoverable</w:t>
      </w:r>
      <w:proofErr w:type="spellEnd"/>
      <w:r w:rsidRPr="00B62184">
        <w:rPr>
          <w:rFonts w:ascii="Arial" w:hAnsi="Arial" w:cs="Arial"/>
          <w:lang w:val="mk-MK"/>
        </w:rPr>
        <w:t xml:space="preserve"> </w:t>
      </w:r>
      <w:proofErr w:type="spellStart"/>
      <w:r w:rsidRPr="00B62184">
        <w:rPr>
          <w:rFonts w:ascii="Arial" w:hAnsi="Arial" w:cs="Arial"/>
          <w:lang w:val="mk-MK"/>
        </w:rPr>
        <w:t>amount</w:t>
      </w:r>
      <w:proofErr w:type="spellEnd"/>
      <w:r w:rsidRPr="00B62184">
        <w:rPr>
          <w:rFonts w:ascii="Arial" w:hAnsi="Arial" w:cs="Arial"/>
          <w:lang w:val="mk-MK"/>
        </w:rPr>
        <w:t xml:space="preserve">, a </w:t>
      </w:r>
      <w:proofErr w:type="spellStart"/>
      <w:r w:rsidRPr="00B62184">
        <w:rPr>
          <w:rFonts w:ascii="Arial" w:hAnsi="Arial" w:cs="Arial"/>
          <w:lang w:val="mk-MK"/>
        </w:rPr>
        <w:t>write</w:t>
      </w:r>
      <w:proofErr w:type="spellEnd"/>
      <w:r w:rsidRPr="00B62184">
        <w:rPr>
          <w:rFonts w:ascii="Arial" w:hAnsi="Arial" w:cs="Arial"/>
          <w:lang w:val="mk-MK"/>
        </w:rPr>
        <w:t xml:space="preserve"> </w:t>
      </w:r>
      <w:proofErr w:type="spellStart"/>
      <w:r w:rsidRPr="00B62184">
        <w:rPr>
          <w:rFonts w:ascii="Arial" w:hAnsi="Arial" w:cs="Arial"/>
          <w:lang w:val="mk-MK"/>
        </w:rPr>
        <w:t>off</w:t>
      </w:r>
      <w:proofErr w:type="spellEnd"/>
      <w:r w:rsidRPr="00B62184">
        <w:rPr>
          <w:rFonts w:ascii="Arial" w:hAnsi="Arial" w:cs="Arial"/>
          <w:lang w:val="mk-MK"/>
        </w:rPr>
        <w:t xml:space="preserve"> </w:t>
      </w:r>
      <w:proofErr w:type="spellStart"/>
      <w:r w:rsidRPr="00B62184">
        <w:rPr>
          <w:rFonts w:ascii="Arial" w:hAnsi="Arial" w:cs="Arial"/>
          <w:lang w:val="mk-MK"/>
        </w:rPr>
        <w:t>of</w:t>
      </w:r>
      <w:proofErr w:type="spellEnd"/>
      <w:r w:rsidRPr="00B62184">
        <w:rPr>
          <w:rFonts w:ascii="Arial" w:hAnsi="Arial" w:cs="Arial"/>
          <w:lang w:val="mk-MK"/>
        </w:rPr>
        <w:t xml:space="preserve"> </w:t>
      </w:r>
      <w:proofErr w:type="spellStart"/>
      <w:r w:rsidRPr="00B62184">
        <w:rPr>
          <w:rFonts w:ascii="Arial" w:hAnsi="Arial" w:cs="Arial"/>
          <w:lang w:val="mk-MK"/>
        </w:rPr>
        <w:t>the</w:t>
      </w:r>
      <w:proofErr w:type="spellEnd"/>
      <w:r w:rsidRPr="00B62184">
        <w:rPr>
          <w:rFonts w:ascii="Arial" w:hAnsi="Arial" w:cs="Arial"/>
          <w:lang w:val="mk-MK"/>
        </w:rPr>
        <w:t xml:space="preserve"> </w:t>
      </w:r>
      <w:proofErr w:type="spellStart"/>
      <w:r w:rsidRPr="00B62184">
        <w:rPr>
          <w:rFonts w:ascii="Arial" w:hAnsi="Arial" w:cs="Arial"/>
          <w:lang w:val="mk-MK"/>
        </w:rPr>
        <w:t>difference</w:t>
      </w:r>
      <w:proofErr w:type="spellEnd"/>
      <w:r w:rsidRPr="00B62184">
        <w:rPr>
          <w:rFonts w:ascii="Arial" w:hAnsi="Arial" w:cs="Arial"/>
          <w:lang w:val="mk-MK"/>
        </w:rPr>
        <w:t xml:space="preserve"> </w:t>
      </w:r>
      <w:proofErr w:type="spellStart"/>
      <w:r w:rsidRPr="00B62184">
        <w:rPr>
          <w:rFonts w:ascii="Arial" w:hAnsi="Arial" w:cs="Arial"/>
          <w:lang w:val="mk-MK"/>
        </w:rPr>
        <w:t>should</w:t>
      </w:r>
      <w:proofErr w:type="spellEnd"/>
      <w:r w:rsidRPr="00B62184">
        <w:rPr>
          <w:rFonts w:ascii="Arial" w:hAnsi="Arial" w:cs="Arial"/>
          <w:lang w:val="mk-MK"/>
        </w:rPr>
        <w:t xml:space="preserve"> </w:t>
      </w:r>
      <w:proofErr w:type="spellStart"/>
      <w:r w:rsidRPr="00B62184">
        <w:rPr>
          <w:rFonts w:ascii="Arial" w:hAnsi="Arial" w:cs="Arial"/>
          <w:lang w:val="mk-MK"/>
        </w:rPr>
        <w:t>occur</w:t>
      </w:r>
      <w:proofErr w:type="spellEnd"/>
      <w:r w:rsidRPr="001E6526">
        <w:rPr>
          <w:rFonts w:ascii="Arial" w:hAnsi="Arial" w:cs="Arial"/>
          <w:lang w:val="mk-MK"/>
        </w:rPr>
        <w:t>.</w:t>
      </w:r>
    </w:p>
    <w:p w14:paraId="0624B3CA" w14:textId="77777777" w:rsidR="006557D5" w:rsidRPr="00CE3053" w:rsidRDefault="006557D5" w:rsidP="006557D5">
      <w:pPr>
        <w:pStyle w:val="BodyText"/>
        <w:jc w:val="both"/>
        <w:rPr>
          <w:rFonts w:ascii="Arial" w:hAnsi="Arial" w:cs="Arial"/>
          <w:lang w:val="mk-MK"/>
        </w:rPr>
      </w:pPr>
      <w:proofErr w:type="spellStart"/>
      <w:r w:rsidRPr="00B62184">
        <w:rPr>
          <w:rFonts w:ascii="Arial" w:hAnsi="Arial" w:cs="Arial"/>
          <w:lang w:val="mk-MK"/>
        </w:rPr>
        <w:t>Gains</w:t>
      </w:r>
      <w:proofErr w:type="spellEnd"/>
      <w:r w:rsidRPr="00B62184">
        <w:rPr>
          <w:rFonts w:ascii="Arial" w:hAnsi="Arial" w:cs="Arial"/>
          <w:lang w:val="mk-MK"/>
        </w:rPr>
        <w:t xml:space="preserve"> </w:t>
      </w:r>
      <w:proofErr w:type="spellStart"/>
      <w:r w:rsidRPr="00B62184">
        <w:rPr>
          <w:rFonts w:ascii="Arial" w:hAnsi="Arial" w:cs="Arial"/>
          <w:lang w:val="mk-MK"/>
        </w:rPr>
        <w:t>and</w:t>
      </w:r>
      <w:proofErr w:type="spellEnd"/>
      <w:r w:rsidRPr="00B62184">
        <w:rPr>
          <w:rFonts w:ascii="Arial" w:hAnsi="Arial" w:cs="Arial"/>
          <w:lang w:val="mk-MK"/>
        </w:rPr>
        <w:t xml:space="preserve"> </w:t>
      </w:r>
      <w:proofErr w:type="spellStart"/>
      <w:r w:rsidRPr="00B62184">
        <w:rPr>
          <w:rFonts w:ascii="Arial" w:hAnsi="Arial" w:cs="Arial"/>
          <w:lang w:val="mk-MK"/>
        </w:rPr>
        <w:t>losses</w:t>
      </w:r>
      <w:proofErr w:type="spellEnd"/>
      <w:r w:rsidRPr="00B62184">
        <w:rPr>
          <w:rFonts w:ascii="Arial" w:hAnsi="Arial" w:cs="Arial"/>
          <w:lang w:val="mk-MK"/>
        </w:rPr>
        <w:t xml:space="preserve"> </w:t>
      </w:r>
      <w:proofErr w:type="spellStart"/>
      <w:r w:rsidRPr="00B62184">
        <w:rPr>
          <w:rFonts w:ascii="Arial" w:hAnsi="Arial" w:cs="Arial"/>
          <w:lang w:val="mk-MK"/>
        </w:rPr>
        <w:t>on</w:t>
      </w:r>
      <w:proofErr w:type="spellEnd"/>
      <w:r w:rsidRPr="00B62184">
        <w:rPr>
          <w:rFonts w:ascii="Arial" w:hAnsi="Arial" w:cs="Arial"/>
          <w:lang w:val="mk-MK"/>
        </w:rPr>
        <w:t xml:space="preserve"> </w:t>
      </w:r>
      <w:proofErr w:type="spellStart"/>
      <w:r w:rsidRPr="00B62184">
        <w:rPr>
          <w:rFonts w:ascii="Arial" w:hAnsi="Arial" w:cs="Arial"/>
          <w:lang w:val="mk-MK"/>
        </w:rPr>
        <w:t>disposals</w:t>
      </w:r>
      <w:proofErr w:type="spellEnd"/>
      <w:r w:rsidRPr="00B62184">
        <w:rPr>
          <w:rFonts w:ascii="Arial" w:hAnsi="Arial" w:cs="Arial"/>
          <w:lang w:val="mk-MK"/>
        </w:rPr>
        <w:t xml:space="preserve"> </w:t>
      </w:r>
      <w:proofErr w:type="spellStart"/>
      <w:r w:rsidRPr="00B62184">
        <w:rPr>
          <w:rFonts w:ascii="Arial" w:hAnsi="Arial" w:cs="Arial"/>
          <w:lang w:val="mk-MK"/>
        </w:rPr>
        <w:t>are</w:t>
      </w:r>
      <w:proofErr w:type="spellEnd"/>
      <w:r w:rsidRPr="00B62184">
        <w:rPr>
          <w:rFonts w:ascii="Arial" w:hAnsi="Arial" w:cs="Arial"/>
          <w:lang w:val="mk-MK"/>
        </w:rPr>
        <w:t xml:space="preserve"> </w:t>
      </w:r>
      <w:proofErr w:type="spellStart"/>
      <w:r w:rsidRPr="00B62184">
        <w:rPr>
          <w:rFonts w:ascii="Arial" w:hAnsi="Arial" w:cs="Arial"/>
          <w:lang w:val="mk-MK"/>
        </w:rPr>
        <w:t>determined</w:t>
      </w:r>
      <w:proofErr w:type="spellEnd"/>
      <w:r w:rsidRPr="00B62184">
        <w:rPr>
          <w:rFonts w:ascii="Arial" w:hAnsi="Arial" w:cs="Arial"/>
          <w:lang w:val="mk-MK"/>
        </w:rPr>
        <w:t xml:space="preserve"> </w:t>
      </w:r>
      <w:proofErr w:type="spellStart"/>
      <w:r w:rsidRPr="00B62184">
        <w:rPr>
          <w:rFonts w:ascii="Arial" w:hAnsi="Arial" w:cs="Arial"/>
          <w:lang w:val="mk-MK"/>
        </w:rPr>
        <w:t>by</w:t>
      </w:r>
      <w:proofErr w:type="spellEnd"/>
      <w:r w:rsidRPr="00B62184">
        <w:rPr>
          <w:rFonts w:ascii="Arial" w:hAnsi="Arial" w:cs="Arial"/>
          <w:lang w:val="mk-MK"/>
        </w:rPr>
        <w:t xml:space="preserve"> </w:t>
      </w:r>
      <w:proofErr w:type="spellStart"/>
      <w:r w:rsidRPr="00B62184">
        <w:rPr>
          <w:rFonts w:ascii="Arial" w:hAnsi="Arial" w:cs="Arial"/>
          <w:lang w:val="mk-MK"/>
        </w:rPr>
        <w:t>comparing</w:t>
      </w:r>
      <w:proofErr w:type="spellEnd"/>
      <w:r w:rsidRPr="00B62184">
        <w:rPr>
          <w:rFonts w:ascii="Arial" w:hAnsi="Arial" w:cs="Arial"/>
          <w:lang w:val="mk-MK"/>
        </w:rPr>
        <w:t xml:space="preserve"> </w:t>
      </w:r>
      <w:proofErr w:type="spellStart"/>
      <w:r w:rsidRPr="00B62184">
        <w:rPr>
          <w:rFonts w:ascii="Arial" w:hAnsi="Arial" w:cs="Arial"/>
          <w:lang w:val="mk-MK"/>
        </w:rPr>
        <w:t>proceeds</w:t>
      </w:r>
      <w:proofErr w:type="spellEnd"/>
      <w:r w:rsidRPr="00B62184">
        <w:rPr>
          <w:rFonts w:ascii="Arial" w:hAnsi="Arial" w:cs="Arial"/>
          <w:lang w:val="mk-MK"/>
        </w:rPr>
        <w:t xml:space="preserve"> </w:t>
      </w:r>
      <w:proofErr w:type="spellStart"/>
      <w:r w:rsidRPr="00B62184">
        <w:rPr>
          <w:rFonts w:ascii="Arial" w:hAnsi="Arial" w:cs="Arial"/>
          <w:lang w:val="mk-MK"/>
        </w:rPr>
        <w:t>with</w:t>
      </w:r>
      <w:proofErr w:type="spellEnd"/>
      <w:r w:rsidRPr="00B62184">
        <w:rPr>
          <w:rFonts w:ascii="Arial" w:hAnsi="Arial" w:cs="Arial"/>
          <w:lang w:val="mk-MK"/>
        </w:rPr>
        <w:t xml:space="preserve"> </w:t>
      </w:r>
      <w:proofErr w:type="spellStart"/>
      <w:r w:rsidRPr="00B62184">
        <w:rPr>
          <w:rFonts w:ascii="Arial" w:hAnsi="Arial" w:cs="Arial"/>
          <w:lang w:val="mk-MK"/>
        </w:rPr>
        <w:t>carrying</w:t>
      </w:r>
      <w:proofErr w:type="spellEnd"/>
      <w:r w:rsidRPr="00B62184">
        <w:rPr>
          <w:rFonts w:ascii="Arial" w:hAnsi="Arial" w:cs="Arial"/>
          <w:lang w:val="mk-MK"/>
        </w:rPr>
        <w:t xml:space="preserve"> </w:t>
      </w:r>
      <w:proofErr w:type="spellStart"/>
      <w:r w:rsidRPr="00B62184">
        <w:rPr>
          <w:rFonts w:ascii="Arial" w:hAnsi="Arial" w:cs="Arial"/>
          <w:lang w:val="mk-MK"/>
        </w:rPr>
        <w:t>amount</w:t>
      </w:r>
      <w:proofErr w:type="spellEnd"/>
      <w:r w:rsidRPr="00B62184">
        <w:rPr>
          <w:rFonts w:ascii="Arial" w:hAnsi="Arial" w:cs="Arial"/>
          <w:lang w:val="mk-MK"/>
        </w:rPr>
        <w:t xml:space="preserve">. </w:t>
      </w:r>
      <w:proofErr w:type="spellStart"/>
      <w:r w:rsidRPr="00B62184">
        <w:rPr>
          <w:rFonts w:ascii="Arial" w:hAnsi="Arial" w:cs="Arial"/>
          <w:lang w:val="mk-MK"/>
        </w:rPr>
        <w:t>These</w:t>
      </w:r>
      <w:proofErr w:type="spellEnd"/>
      <w:r w:rsidRPr="00B62184">
        <w:rPr>
          <w:rFonts w:ascii="Arial" w:hAnsi="Arial" w:cs="Arial"/>
          <w:lang w:val="mk-MK"/>
        </w:rPr>
        <w:t xml:space="preserve"> </w:t>
      </w:r>
      <w:proofErr w:type="spellStart"/>
      <w:r w:rsidRPr="00B62184">
        <w:rPr>
          <w:rFonts w:ascii="Arial" w:hAnsi="Arial" w:cs="Arial"/>
          <w:lang w:val="mk-MK"/>
        </w:rPr>
        <w:t>are</w:t>
      </w:r>
      <w:proofErr w:type="spellEnd"/>
      <w:r w:rsidRPr="00B62184">
        <w:rPr>
          <w:rFonts w:ascii="Arial" w:hAnsi="Arial" w:cs="Arial"/>
          <w:lang w:val="mk-MK"/>
        </w:rPr>
        <w:t xml:space="preserve"> </w:t>
      </w:r>
      <w:proofErr w:type="spellStart"/>
      <w:r w:rsidRPr="00B62184">
        <w:rPr>
          <w:rFonts w:ascii="Arial" w:hAnsi="Arial" w:cs="Arial"/>
          <w:lang w:val="mk-MK"/>
        </w:rPr>
        <w:t>included</w:t>
      </w:r>
      <w:proofErr w:type="spellEnd"/>
      <w:r w:rsidRPr="00B62184">
        <w:rPr>
          <w:rFonts w:ascii="Arial" w:hAnsi="Arial" w:cs="Arial"/>
          <w:lang w:val="mk-MK"/>
        </w:rPr>
        <w:t xml:space="preserve"> </w:t>
      </w:r>
      <w:proofErr w:type="spellStart"/>
      <w:r w:rsidRPr="00B62184">
        <w:rPr>
          <w:rFonts w:ascii="Arial" w:hAnsi="Arial" w:cs="Arial"/>
          <w:lang w:val="mk-MK"/>
        </w:rPr>
        <w:t>in</w:t>
      </w:r>
      <w:proofErr w:type="spellEnd"/>
      <w:r w:rsidRPr="00B62184">
        <w:rPr>
          <w:rFonts w:ascii="Arial" w:hAnsi="Arial" w:cs="Arial"/>
          <w:lang w:val="mk-MK"/>
        </w:rPr>
        <w:t xml:space="preserve"> </w:t>
      </w:r>
      <w:proofErr w:type="spellStart"/>
      <w:r w:rsidRPr="00B62184">
        <w:rPr>
          <w:rFonts w:ascii="Arial" w:hAnsi="Arial" w:cs="Arial"/>
          <w:lang w:val="mk-MK"/>
        </w:rPr>
        <w:t>the</w:t>
      </w:r>
      <w:proofErr w:type="spellEnd"/>
      <w:r w:rsidRPr="00B62184">
        <w:rPr>
          <w:rFonts w:ascii="Arial" w:hAnsi="Arial" w:cs="Arial"/>
          <w:lang w:val="mk-MK"/>
        </w:rPr>
        <w:t xml:space="preserve"> </w:t>
      </w:r>
      <w:proofErr w:type="spellStart"/>
      <w:r w:rsidRPr="00B62184">
        <w:rPr>
          <w:rFonts w:ascii="Arial" w:hAnsi="Arial" w:cs="Arial"/>
          <w:lang w:val="mk-MK"/>
        </w:rPr>
        <w:t>current</w:t>
      </w:r>
      <w:proofErr w:type="spellEnd"/>
      <w:r w:rsidRPr="00B62184">
        <w:rPr>
          <w:rFonts w:ascii="Arial" w:hAnsi="Arial" w:cs="Arial"/>
          <w:lang w:val="mk-MK"/>
        </w:rPr>
        <w:t xml:space="preserve"> </w:t>
      </w:r>
      <w:proofErr w:type="spellStart"/>
      <w:r w:rsidRPr="00B62184">
        <w:rPr>
          <w:rFonts w:ascii="Arial" w:hAnsi="Arial" w:cs="Arial"/>
          <w:lang w:val="mk-MK"/>
        </w:rPr>
        <w:t>gains</w:t>
      </w:r>
      <w:proofErr w:type="spellEnd"/>
      <w:r w:rsidRPr="00B62184">
        <w:rPr>
          <w:rFonts w:ascii="Arial" w:hAnsi="Arial" w:cs="Arial"/>
          <w:lang w:val="mk-MK"/>
        </w:rPr>
        <w:t xml:space="preserve"> </w:t>
      </w:r>
      <w:proofErr w:type="spellStart"/>
      <w:r w:rsidRPr="00B62184">
        <w:rPr>
          <w:rFonts w:ascii="Arial" w:hAnsi="Arial" w:cs="Arial"/>
          <w:lang w:val="mk-MK"/>
        </w:rPr>
        <w:t>or</w:t>
      </w:r>
      <w:proofErr w:type="spellEnd"/>
      <w:r w:rsidRPr="00B62184">
        <w:rPr>
          <w:rFonts w:ascii="Arial" w:hAnsi="Arial" w:cs="Arial"/>
          <w:lang w:val="mk-MK"/>
        </w:rPr>
        <w:t xml:space="preserve"> </w:t>
      </w:r>
      <w:proofErr w:type="spellStart"/>
      <w:r w:rsidRPr="00B62184">
        <w:rPr>
          <w:rFonts w:ascii="Arial" w:hAnsi="Arial" w:cs="Arial"/>
          <w:lang w:val="mk-MK"/>
        </w:rPr>
        <w:t>losses</w:t>
      </w:r>
      <w:proofErr w:type="spellEnd"/>
      <w:r w:rsidRPr="00B62184">
        <w:rPr>
          <w:rFonts w:ascii="Arial" w:hAnsi="Arial" w:cs="Arial"/>
          <w:lang w:val="mk-MK"/>
        </w:rPr>
        <w:t xml:space="preserve"> </w:t>
      </w:r>
      <w:proofErr w:type="spellStart"/>
      <w:r w:rsidRPr="00B62184">
        <w:rPr>
          <w:rFonts w:ascii="Arial" w:hAnsi="Arial" w:cs="Arial"/>
          <w:lang w:val="mk-MK"/>
        </w:rPr>
        <w:t>in</w:t>
      </w:r>
      <w:proofErr w:type="spellEnd"/>
      <w:r w:rsidRPr="00B62184">
        <w:rPr>
          <w:rFonts w:ascii="Arial" w:hAnsi="Arial" w:cs="Arial"/>
          <w:lang w:val="mk-MK"/>
        </w:rPr>
        <w:t xml:space="preserve"> </w:t>
      </w:r>
      <w:proofErr w:type="spellStart"/>
      <w:r w:rsidRPr="00B62184">
        <w:rPr>
          <w:rFonts w:ascii="Arial" w:hAnsi="Arial" w:cs="Arial"/>
          <w:lang w:val="mk-MK"/>
        </w:rPr>
        <w:t>the</w:t>
      </w:r>
      <w:proofErr w:type="spellEnd"/>
      <w:r w:rsidRPr="00B62184">
        <w:rPr>
          <w:rFonts w:ascii="Arial" w:hAnsi="Arial" w:cs="Arial"/>
          <w:lang w:val="mk-MK"/>
        </w:rPr>
        <w:t xml:space="preserve"> </w:t>
      </w:r>
      <w:proofErr w:type="spellStart"/>
      <w:r w:rsidRPr="00B62184">
        <w:rPr>
          <w:rFonts w:ascii="Arial" w:hAnsi="Arial" w:cs="Arial"/>
          <w:lang w:val="mk-MK"/>
        </w:rPr>
        <w:t>period</w:t>
      </w:r>
      <w:proofErr w:type="spellEnd"/>
      <w:r w:rsidRPr="00B62184">
        <w:rPr>
          <w:rFonts w:ascii="Arial" w:hAnsi="Arial" w:cs="Arial"/>
          <w:lang w:val="mk-MK"/>
        </w:rPr>
        <w:t xml:space="preserve"> </w:t>
      </w:r>
      <w:proofErr w:type="spellStart"/>
      <w:r w:rsidRPr="00B62184">
        <w:rPr>
          <w:rFonts w:ascii="Arial" w:hAnsi="Arial" w:cs="Arial"/>
          <w:lang w:val="mk-MK"/>
        </w:rPr>
        <w:t>when</w:t>
      </w:r>
      <w:proofErr w:type="spellEnd"/>
      <w:r w:rsidRPr="00B62184">
        <w:rPr>
          <w:rFonts w:ascii="Arial" w:hAnsi="Arial" w:cs="Arial"/>
          <w:lang w:val="mk-MK"/>
        </w:rPr>
        <w:t xml:space="preserve"> </w:t>
      </w:r>
      <w:proofErr w:type="spellStart"/>
      <w:r w:rsidRPr="00B62184">
        <w:rPr>
          <w:rFonts w:ascii="Arial" w:hAnsi="Arial" w:cs="Arial"/>
          <w:lang w:val="mk-MK"/>
        </w:rPr>
        <w:t>incurred</w:t>
      </w:r>
      <w:proofErr w:type="spellEnd"/>
      <w:r w:rsidRPr="00CE3053">
        <w:rPr>
          <w:rFonts w:ascii="Arial" w:hAnsi="Arial" w:cs="Arial"/>
          <w:lang w:val="mk-MK"/>
        </w:rPr>
        <w:t>.</w:t>
      </w:r>
    </w:p>
    <w:p w14:paraId="0CE6559C" w14:textId="650FAB02" w:rsidR="00FD06BB" w:rsidRPr="00CE3053" w:rsidRDefault="00335782" w:rsidP="00FD06BB">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sidRPr="00335782">
        <w:rPr>
          <w:rFonts w:ascii="Arial" w:hAnsi="Arial" w:cs="Arial"/>
          <w:lang w:val="mk-MK"/>
        </w:rPr>
        <w:t>.</w:t>
      </w:r>
      <w:r w:rsidR="00FD06BB" w:rsidRPr="00FD06BB">
        <w:rPr>
          <w:rFonts w:ascii="Arial" w:hAnsi="Arial" w:cs="Arial"/>
          <w:b/>
          <w:color w:val="4F2D7F"/>
          <w:sz w:val="18"/>
          <w:lang w:val="en-US"/>
        </w:rPr>
        <w:t xml:space="preserve"> </w:t>
      </w:r>
      <w:r w:rsidR="00FD06BB">
        <w:rPr>
          <w:rFonts w:ascii="Arial" w:hAnsi="Arial" w:cs="Arial"/>
          <w:b/>
          <w:color w:val="4F2D7F"/>
          <w:sz w:val="18"/>
          <w:lang w:val="en-US"/>
        </w:rPr>
        <w:t>Intangible assets</w:t>
      </w:r>
    </w:p>
    <w:p w14:paraId="7B6EFFA2" w14:textId="77777777" w:rsidR="00FD06BB" w:rsidRPr="00CE3053" w:rsidRDefault="00FD06BB" w:rsidP="00FD06BB">
      <w:pPr>
        <w:pStyle w:val="BodyText"/>
        <w:jc w:val="both"/>
        <w:rPr>
          <w:rFonts w:ascii="Arial" w:hAnsi="Arial" w:cs="Arial"/>
          <w:lang w:val="mk-MK"/>
        </w:rPr>
      </w:pPr>
      <w:proofErr w:type="spellStart"/>
      <w:r w:rsidRPr="00CE547F">
        <w:rPr>
          <w:rFonts w:ascii="Arial" w:hAnsi="Arial" w:cs="Arial"/>
          <w:lang w:val="mk-MK"/>
        </w:rPr>
        <w:t>Intangible</w:t>
      </w:r>
      <w:proofErr w:type="spellEnd"/>
      <w:r w:rsidRPr="00CE547F">
        <w:rPr>
          <w:rFonts w:ascii="Arial" w:hAnsi="Arial" w:cs="Arial"/>
          <w:lang w:val="mk-MK"/>
        </w:rPr>
        <w:t xml:space="preserve"> </w:t>
      </w:r>
      <w:proofErr w:type="spellStart"/>
      <w:r w:rsidRPr="00CE547F">
        <w:rPr>
          <w:rFonts w:ascii="Arial" w:hAnsi="Arial" w:cs="Arial"/>
          <w:lang w:val="mk-MK"/>
        </w:rPr>
        <w:t>assets</w:t>
      </w:r>
      <w:proofErr w:type="spellEnd"/>
      <w:r w:rsidRPr="00CE547F">
        <w:rPr>
          <w:rFonts w:ascii="Arial" w:hAnsi="Arial" w:cs="Arial"/>
          <w:lang w:val="mk-MK"/>
        </w:rPr>
        <w:t xml:space="preserve"> </w:t>
      </w:r>
      <w:proofErr w:type="spellStart"/>
      <w:r w:rsidRPr="00CE547F">
        <w:rPr>
          <w:rFonts w:ascii="Arial" w:hAnsi="Arial" w:cs="Arial"/>
          <w:lang w:val="mk-MK"/>
        </w:rPr>
        <w:t>are</w:t>
      </w:r>
      <w:proofErr w:type="spellEnd"/>
      <w:r w:rsidRPr="00CE547F">
        <w:rPr>
          <w:rFonts w:ascii="Arial" w:hAnsi="Arial" w:cs="Arial"/>
          <w:lang w:val="mk-MK"/>
        </w:rPr>
        <w:t xml:space="preserve"> </w:t>
      </w:r>
      <w:proofErr w:type="spellStart"/>
      <w:r w:rsidRPr="00CE547F">
        <w:rPr>
          <w:rFonts w:ascii="Arial" w:hAnsi="Arial" w:cs="Arial"/>
          <w:lang w:val="mk-MK"/>
        </w:rPr>
        <w:t>carried</w:t>
      </w:r>
      <w:proofErr w:type="spellEnd"/>
      <w:r w:rsidRPr="00CE547F">
        <w:rPr>
          <w:rFonts w:ascii="Arial" w:hAnsi="Arial" w:cs="Arial"/>
          <w:lang w:val="mk-MK"/>
        </w:rPr>
        <w:t xml:space="preserve"> </w:t>
      </w:r>
      <w:proofErr w:type="spellStart"/>
      <w:r w:rsidRPr="00CE547F">
        <w:rPr>
          <w:rFonts w:ascii="Arial" w:hAnsi="Arial" w:cs="Arial"/>
          <w:lang w:val="mk-MK"/>
        </w:rPr>
        <w:t>at</w:t>
      </w:r>
      <w:proofErr w:type="spellEnd"/>
      <w:r w:rsidRPr="00CE547F">
        <w:rPr>
          <w:rFonts w:ascii="Arial" w:hAnsi="Arial" w:cs="Arial"/>
          <w:lang w:val="mk-MK"/>
        </w:rPr>
        <w:t xml:space="preserve"> </w:t>
      </w:r>
      <w:proofErr w:type="spellStart"/>
      <w:r w:rsidRPr="00CE547F">
        <w:rPr>
          <w:rFonts w:ascii="Arial" w:hAnsi="Arial" w:cs="Arial"/>
          <w:lang w:val="mk-MK"/>
        </w:rPr>
        <w:t>cost</w:t>
      </w:r>
      <w:proofErr w:type="spellEnd"/>
      <w:r w:rsidRPr="00CE547F">
        <w:rPr>
          <w:rFonts w:ascii="Arial" w:hAnsi="Arial" w:cs="Arial"/>
          <w:lang w:val="mk-MK"/>
        </w:rPr>
        <w:t xml:space="preserve">, </w:t>
      </w:r>
      <w:proofErr w:type="spellStart"/>
      <w:r w:rsidRPr="00CE547F">
        <w:rPr>
          <w:rFonts w:ascii="Arial" w:hAnsi="Arial" w:cs="Arial"/>
          <w:lang w:val="mk-MK"/>
        </w:rPr>
        <w:t>less</w:t>
      </w:r>
      <w:proofErr w:type="spellEnd"/>
      <w:r w:rsidRPr="00CE547F">
        <w:rPr>
          <w:rFonts w:ascii="Arial" w:hAnsi="Arial" w:cs="Arial"/>
          <w:lang w:val="mk-MK"/>
        </w:rPr>
        <w:t xml:space="preserve"> </w:t>
      </w:r>
      <w:proofErr w:type="spellStart"/>
      <w:r w:rsidRPr="00CE547F">
        <w:rPr>
          <w:rFonts w:ascii="Arial" w:hAnsi="Arial" w:cs="Arial"/>
          <w:lang w:val="mk-MK"/>
        </w:rPr>
        <w:t>accumulated</w:t>
      </w:r>
      <w:proofErr w:type="spellEnd"/>
      <w:r w:rsidRPr="00CE547F">
        <w:rPr>
          <w:rFonts w:ascii="Arial" w:hAnsi="Arial" w:cs="Arial"/>
          <w:lang w:val="mk-MK"/>
        </w:rPr>
        <w:t xml:space="preserve"> </w:t>
      </w:r>
      <w:proofErr w:type="spellStart"/>
      <w:r w:rsidRPr="00CE547F">
        <w:rPr>
          <w:rFonts w:ascii="Arial" w:hAnsi="Arial" w:cs="Arial"/>
          <w:lang w:val="mk-MK"/>
        </w:rPr>
        <w:t>depreciation</w:t>
      </w:r>
      <w:proofErr w:type="spellEnd"/>
      <w:r w:rsidRPr="00CE547F">
        <w:rPr>
          <w:rFonts w:ascii="Arial" w:hAnsi="Arial" w:cs="Arial"/>
          <w:lang w:val="mk-MK"/>
        </w:rPr>
        <w:t xml:space="preserve"> </w:t>
      </w:r>
      <w:proofErr w:type="spellStart"/>
      <w:r w:rsidRPr="00CE547F">
        <w:rPr>
          <w:rFonts w:ascii="Arial" w:hAnsi="Arial" w:cs="Arial"/>
          <w:lang w:val="mk-MK"/>
        </w:rPr>
        <w:t>and</w:t>
      </w:r>
      <w:proofErr w:type="spellEnd"/>
      <w:r w:rsidRPr="00CE547F">
        <w:rPr>
          <w:rFonts w:ascii="Arial" w:hAnsi="Arial" w:cs="Arial"/>
          <w:lang w:val="mk-MK"/>
        </w:rPr>
        <w:t xml:space="preserve"> </w:t>
      </w:r>
      <w:proofErr w:type="spellStart"/>
      <w:r w:rsidRPr="00CE547F">
        <w:rPr>
          <w:rFonts w:ascii="Arial" w:hAnsi="Arial" w:cs="Arial"/>
          <w:lang w:val="mk-MK"/>
        </w:rPr>
        <w:t>impairment</w:t>
      </w:r>
      <w:proofErr w:type="spellEnd"/>
      <w:r w:rsidRPr="00CE547F">
        <w:rPr>
          <w:rFonts w:ascii="Arial" w:hAnsi="Arial" w:cs="Arial"/>
          <w:lang w:val="mk-MK"/>
        </w:rPr>
        <w:t xml:space="preserve"> </w:t>
      </w:r>
      <w:proofErr w:type="spellStart"/>
      <w:r w:rsidRPr="00CE547F">
        <w:rPr>
          <w:rFonts w:ascii="Arial" w:hAnsi="Arial" w:cs="Arial"/>
          <w:lang w:val="mk-MK"/>
        </w:rPr>
        <w:t>losses</w:t>
      </w:r>
      <w:proofErr w:type="spellEnd"/>
      <w:r w:rsidRPr="00CE547F">
        <w:rPr>
          <w:rFonts w:ascii="Arial" w:hAnsi="Arial" w:cs="Arial"/>
          <w:lang w:val="mk-MK"/>
        </w:rPr>
        <w:t xml:space="preserve">, </w:t>
      </w:r>
      <w:proofErr w:type="spellStart"/>
      <w:r w:rsidRPr="00CE547F">
        <w:rPr>
          <w:rFonts w:ascii="Arial" w:hAnsi="Arial" w:cs="Arial"/>
          <w:lang w:val="mk-MK"/>
        </w:rPr>
        <w:t>if</w:t>
      </w:r>
      <w:proofErr w:type="spellEnd"/>
      <w:r w:rsidRPr="00CE547F">
        <w:rPr>
          <w:rFonts w:ascii="Arial" w:hAnsi="Arial" w:cs="Arial"/>
          <w:lang w:val="mk-MK"/>
        </w:rPr>
        <w:t xml:space="preserve"> </w:t>
      </w:r>
      <w:proofErr w:type="spellStart"/>
      <w:r w:rsidRPr="00CE547F">
        <w:rPr>
          <w:rFonts w:ascii="Arial" w:hAnsi="Arial" w:cs="Arial"/>
          <w:lang w:val="mk-MK"/>
        </w:rPr>
        <w:t>any</w:t>
      </w:r>
      <w:proofErr w:type="spellEnd"/>
      <w:r w:rsidRPr="00CE547F">
        <w:rPr>
          <w:rFonts w:ascii="Arial" w:hAnsi="Arial" w:cs="Arial"/>
          <w:lang w:val="mk-MK"/>
        </w:rPr>
        <w:t xml:space="preserve">. </w:t>
      </w:r>
      <w:proofErr w:type="spellStart"/>
      <w:r w:rsidRPr="00CE547F">
        <w:rPr>
          <w:rFonts w:ascii="Arial" w:hAnsi="Arial" w:cs="Arial"/>
          <w:lang w:val="mk-MK"/>
        </w:rPr>
        <w:t>Depreciation</w:t>
      </w:r>
      <w:proofErr w:type="spellEnd"/>
      <w:r w:rsidRPr="00CE547F">
        <w:rPr>
          <w:rFonts w:ascii="Arial" w:hAnsi="Arial" w:cs="Arial"/>
          <w:lang w:val="mk-MK"/>
        </w:rPr>
        <w:t xml:space="preserve"> </w:t>
      </w:r>
      <w:proofErr w:type="spellStart"/>
      <w:r w:rsidRPr="00CE547F">
        <w:rPr>
          <w:rFonts w:ascii="Arial" w:hAnsi="Arial" w:cs="Arial"/>
          <w:lang w:val="mk-MK"/>
        </w:rPr>
        <w:t>is</w:t>
      </w:r>
      <w:proofErr w:type="spellEnd"/>
      <w:r w:rsidRPr="00CE547F">
        <w:rPr>
          <w:rFonts w:ascii="Arial" w:hAnsi="Arial" w:cs="Arial"/>
          <w:lang w:val="mk-MK"/>
        </w:rPr>
        <w:t xml:space="preserve"> </w:t>
      </w:r>
      <w:proofErr w:type="spellStart"/>
      <w:r w:rsidRPr="00CE547F">
        <w:rPr>
          <w:rFonts w:ascii="Arial" w:hAnsi="Arial" w:cs="Arial"/>
          <w:lang w:val="mk-MK"/>
        </w:rPr>
        <w:t>calculated</w:t>
      </w:r>
      <w:proofErr w:type="spellEnd"/>
      <w:r w:rsidRPr="00CE547F">
        <w:rPr>
          <w:rFonts w:ascii="Arial" w:hAnsi="Arial" w:cs="Arial"/>
          <w:lang w:val="mk-MK"/>
        </w:rPr>
        <w:t xml:space="preserve"> </w:t>
      </w:r>
      <w:proofErr w:type="spellStart"/>
      <w:r w:rsidRPr="00CE547F">
        <w:rPr>
          <w:rFonts w:ascii="Arial" w:hAnsi="Arial" w:cs="Arial"/>
          <w:lang w:val="mk-MK"/>
        </w:rPr>
        <w:t>using</w:t>
      </w:r>
      <w:proofErr w:type="spellEnd"/>
      <w:r w:rsidRPr="00CE547F">
        <w:rPr>
          <w:rFonts w:ascii="Arial" w:hAnsi="Arial" w:cs="Arial"/>
          <w:lang w:val="mk-MK"/>
        </w:rPr>
        <w:t xml:space="preserve"> </w:t>
      </w:r>
      <w:proofErr w:type="spellStart"/>
      <w:r w:rsidRPr="00CE547F">
        <w:rPr>
          <w:rFonts w:ascii="Arial" w:hAnsi="Arial" w:cs="Arial"/>
          <w:lang w:val="mk-MK"/>
        </w:rPr>
        <w:t>the</w:t>
      </w:r>
      <w:proofErr w:type="spellEnd"/>
      <w:r w:rsidRPr="00CE547F">
        <w:rPr>
          <w:rFonts w:ascii="Arial" w:hAnsi="Arial" w:cs="Arial"/>
          <w:lang w:val="mk-MK"/>
        </w:rPr>
        <w:t xml:space="preserve"> </w:t>
      </w:r>
      <w:proofErr w:type="spellStart"/>
      <w:r w:rsidRPr="00CE547F">
        <w:rPr>
          <w:rFonts w:ascii="Arial" w:hAnsi="Arial" w:cs="Arial"/>
          <w:lang w:val="mk-MK"/>
        </w:rPr>
        <w:t>straight-line</w:t>
      </w:r>
      <w:proofErr w:type="spellEnd"/>
      <w:r w:rsidRPr="00CE547F">
        <w:rPr>
          <w:rFonts w:ascii="Arial" w:hAnsi="Arial" w:cs="Arial"/>
          <w:lang w:val="mk-MK"/>
        </w:rPr>
        <w:t xml:space="preserve"> </w:t>
      </w:r>
      <w:proofErr w:type="spellStart"/>
      <w:r w:rsidRPr="00CE547F">
        <w:rPr>
          <w:rFonts w:ascii="Arial" w:hAnsi="Arial" w:cs="Arial"/>
          <w:lang w:val="mk-MK"/>
        </w:rPr>
        <w:t>method</w:t>
      </w:r>
      <w:proofErr w:type="spellEnd"/>
      <w:r w:rsidRPr="00CE547F">
        <w:rPr>
          <w:rFonts w:ascii="Arial" w:hAnsi="Arial" w:cs="Arial"/>
          <w:lang w:val="mk-MK"/>
        </w:rPr>
        <w:t xml:space="preserve"> </w:t>
      </w:r>
      <w:proofErr w:type="spellStart"/>
      <w:r w:rsidRPr="00CE547F">
        <w:rPr>
          <w:rFonts w:ascii="Arial" w:hAnsi="Arial" w:cs="Arial"/>
          <w:lang w:val="mk-MK"/>
        </w:rPr>
        <w:t>over</w:t>
      </w:r>
      <w:proofErr w:type="spellEnd"/>
      <w:r w:rsidRPr="00CE547F">
        <w:rPr>
          <w:rFonts w:ascii="Arial" w:hAnsi="Arial" w:cs="Arial"/>
          <w:lang w:val="mk-MK"/>
        </w:rPr>
        <w:t xml:space="preserve"> a </w:t>
      </w:r>
      <w:proofErr w:type="spellStart"/>
      <w:r w:rsidRPr="00CE547F">
        <w:rPr>
          <w:rFonts w:ascii="Arial" w:hAnsi="Arial" w:cs="Arial"/>
          <w:lang w:val="mk-MK"/>
        </w:rPr>
        <w:t>period</w:t>
      </w:r>
      <w:proofErr w:type="spellEnd"/>
      <w:r w:rsidRPr="00CE547F">
        <w:rPr>
          <w:rFonts w:ascii="Arial" w:hAnsi="Arial" w:cs="Arial"/>
          <w:lang w:val="mk-MK"/>
        </w:rPr>
        <w:t xml:space="preserve"> </w:t>
      </w:r>
      <w:proofErr w:type="spellStart"/>
      <w:r w:rsidRPr="00CE547F">
        <w:rPr>
          <w:rFonts w:ascii="Arial" w:hAnsi="Arial" w:cs="Arial"/>
          <w:lang w:val="mk-MK"/>
        </w:rPr>
        <w:t>of</w:t>
      </w:r>
      <w:proofErr w:type="spellEnd"/>
      <w:r w:rsidRPr="00CE547F">
        <w:rPr>
          <w:rFonts w:ascii="Arial" w:hAnsi="Arial" w:cs="Arial"/>
          <w:lang w:val="mk-MK"/>
        </w:rPr>
        <w:t xml:space="preserve"> </w:t>
      </w:r>
      <w:proofErr w:type="spellStart"/>
      <w:r w:rsidRPr="00CE547F">
        <w:rPr>
          <w:rFonts w:ascii="Arial" w:hAnsi="Arial" w:cs="Arial"/>
          <w:lang w:val="mk-MK"/>
        </w:rPr>
        <w:t>four</w:t>
      </w:r>
      <w:proofErr w:type="spellEnd"/>
      <w:r w:rsidRPr="00CE547F">
        <w:rPr>
          <w:rFonts w:ascii="Arial" w:hAnsi="Arial" w:cs="Arial"/>
          <w:lang w:val="mk-MK"/>
        </w:rPr>
        <w:t xml:space="preserve"> </w:t>
      </w:r>
      <w:proofErr w:type="spellStart"/>
      <w:r w:rsidRPr="00CE547F">
        <w:rPr>
          <w:rFonts w:ascii="Arial" w:hAnsi="Arial" w:cs="Arial"/>
          <w:lang w:val="mk-MK"/>
        </w:rPr>
        <w:t>years</w:t>
      </w:r>
      <w:proofErr w:type="spellEnd"/>
      <w:r w:rsidRPr="00CE547F">
        <w:rPr>
          <w:rFonts w:ascii="Arial" w:hAnsi="Arial" w:cs="Arial"/>
          <w:lang w:val="mk-MK"/>
        </w:rPr>
        <w:t xml:space="preserve">. </w:t>
      </w:r>
      <w:proofErr w:type="spellStart"/>
      <w:r w:rsidRPr="00CE547F">
        <w:rPr>
          <w:rFonts w:ascii="Arial" w:hAnsi="Arial" w:cs="Arial"/>
          <w:lang w:val="mk-MK"/>
        </w:rPr>
        <w:t>The</w:t>
      </w:r>
      <w:proofErr w:type="spellEnd"/>
      <w:r w:rsidRPr="00CE547F">
        <w:rPr>
          <w:rFonts w:ascii="Arial" w:hAnsi="Arial" w:cs="Arial"/>
          <w:lang w:val="mk-MK"/>
        </w:rPr>
        <w:t xml:space="preserve"> </w:t>
      </w:r>
      <w:proofErr w:type="spellStart"/>
      <w:r w:rsidRPr="00CE547F">
        <w:rPr>
          <w:rFonts w:ascii="Arial" w:hAnsi="Arial" w:cs="Arial"/>
          <w:lang w:val="mk-MK"/>
        </w:rPr>
        <w:t>estimated</w:t>
      </w:r>
      <w:proofErr w:type="spellEnd"/>
      <w:r w:rsidRPr="00CE547F">
        <w:rPr>
          <w:rFonts w:ascii="Arial" w:hAnsi="Arial" w:cs="Arial"/>
          <w:lang w:val="mk-MK"/>
        </w:rPr>
        <w:t xml:space="preserve"> </w:t>
      </w:r>
      <w:proofErr w:type="spellStart"/>
      <w:r w:rsidRPr="00CE547F">
        <w:rPr>
          <w:rFonts w:ascii="Arial" w:hAnsi="Arial" w:cs="Arial"/>
          <w:lang w:val="mk-MK"/>
        </w:rPr>
        <w:t>useful</w:t>
      </w:r>
      <w:proofErr w:type="spellEnd"/>
      <w:r w:rsidRPr="00CE547F">
        <w:rPr>
          <w:rFonts w:ascii="Arial" w:hAnsi="Arial" w:cs="Arial"/>
          <w:lang w:val="mk-MK"/>
        </w:rPr>
        <w:t xml:space="preserve"> </w:t>
      </w:r>
      <w:proofErr w:type="spellStart"/>
      <w:r w:rsidRPr="00CE547F">
        <w:rPr>
          <w:rFonts w:ascii="Arial" w:hAnsi="Arial" w:cs="Arial"/>
          <w:lang w:val="mk-MK"/>
        </w:rPr>
        <w:t>life</w:t>
      </w:r>
      <w:proofErr w:type="spellEnd"/>
      <w:r w:rsidRPr="00CE547F">
        <w:rPr>
          <w:rFonts w:ascii="Arial" w:hAnsi="Arial" w:cs="Arial"/>
          <w:lang w:val="mk-MK"/>
        </w:rPr>
        <w:t xml:space="preserve"> </w:t>
      </w:r>
      <w:proofErr w:type="spellStart"/>
      <w:r w:rsidRPr="00CE547F">
        <w:rPr>
          <w:rFonts w:ascii="Arial" w:hAnsi="Arial" w:cs="Arial"/>
          <w:lang w:val="mk-MK"/>
        </w:rPr>
        <w:t>and</w:t>
      </w:r>
      <w:proofErr w:type="spellEnd"/>
      <w:r w:rsidRPr="00CE547F">
        <w:rPr>
          <w:rFonts w:ascii="Arial" w:hAnsi="Arial" w:cs="Arial"/>
          <w:lang w:val="mk-MK"/>
        </w:rPr>
        <w:t xml:space="preserve"> </w:t>
      </w:r>
      <w:proofErr w:type="spellStart"/>
      <w:r w:rsidRPr="00CE547F">
        <w:rPr>
          <w:rFonts w:ascii="Arial" w:hAnsi="Arial" w:cs="Arial"/>
          <w:lang w:val="mk-MK"/>
        </w:rPr>
        <w:t>method</w:t>
      </w:r>
      <w:proofErr w:type="spellEnd"/>
      <w:r w:rsidRPr="00CE547F">
        <w:rPr>
          <w:rFonts w:ascii="Arial" w:hAnsi="Arial" w:cs="Arial"/>
          <w:lang w:val="mk-MK"/>
        </w:rPr>
        <w:t xml:space="preserve"> </w:t>
      </w:r>
      <w:proofErr w:type="spellStart"/>
      <w:r w:rsidRPr="00CE547F">
        <w:rPr>
          <w:rFonts w:ascii="Arial" w:hAnsi="Arial" w:cs="Arial"/>
          <w:lang w:val="mk-MK"/>
        </w:rPr>
        <w:t>of</w:t>
      </w:r>
      <w:proofErr w:type="spellEnd"/>
      <w:r w:rsidRPr="00CE547F">
        <w:rPr>
          <w:rFonts w:ascii="Arial" w:hAnsi="Arial" w:cs="Arial"/>
          <w:lang w:val="mk-MK"/>
        </w:rPr>
        <w:t xml:space="preserve"> </w:t>
      </w:r>
      <w:proofErr w:type="spellStart"/>
      <w:r w:rsidRPr="00CE547F">
        <w:rPr>
          <w:rFonts w:ascii="Arial" w:hAnsi="Arial" w:cs="Arial"/>
          <w:lang w:val="mk-MK"/>
        </w:rPr>
        <w:t>amortization</w:t>
      </w:r>
      <w:proofErr w:type="spellEnd"/>
      <w:r w:rsidRPr="00CE547F">
        <w:rPr>
          <w:rFonts w:ascii="Arial" w:hAnsi="Arial" w:cs="Arial"/>
          <w:lang w:val="mk-MK"/>
        </w:rPr>
        <w:t xml:space="preserve"> </w:t>
      </w:r>
      <w:proofErr w:type="spellStart"/>
      <w:r w:rsidRPr="00CE547F">
        <w:rPr>
          <w:rFonts w:ascii="Arial" w:hAnsi="Arial" w:cs="Arial"/>
          <w:lang w:val="mk-MK"/>
        </w:rPr>
        <w:t>are</w:t>
      </w:r>
      <w:proofErr w:type="spellEnd"/>
      <w:r w:rsidRPr="00CE547F">
        <w:rPr>
          <w:rFonts w:ascii="Arial" w:hAnsi="Arial" w:cs="Arial"/>
          <w:lang w:val="mk-MK"/>
        </w:rPr>
        <w:t xml:space="preserve"> </w:t>
      </w:r>
      <w:proofErr w:type="spellStart"/>
      <w:r w:rsidRPr="00CE547F">
        <w:rPr>
          <w:rFonts w:ascii="Arial" w:hAnsi="Arial" w:cs="Arial"/>
          <w:lang w:val="mk-MK"/>
        </w:rPr>
        <w:t>reviewed</w:t>
      </w:r>
      <w:proofErr w:type="spellEnd"/>
      <w:r w:rsidRPr="00CE547F">
        <w:rPr>
          <w:rFonts w:ascii="Arial" w:hAnsi="Arial" w:cs="Arial"/>
          <w:lang w:val="mk-MK"/>
        </w:rPr>
        <w:t xml:space="preserve"> </w:t>
      </w:r>
      <w:proofErr w:type="spellStart"/>
      <w:r w:rsidRPr="00CE547F">
        <w:rPr>
          <w:rFonts w:ascii="Arial" w:hAnsi="Arial" w:cs="Arial"/>
          <w:lang w:val="mk-MK"/>
        </w:rPr>
        <w:t>at</w:t>
      </w:r>
      <w:proofErr w:type="spellEnd"/>
      <w:r w:rsidRPr="00CE547F">
        <w:rPr>
          <w:rFonts w:ascii="Arial" w:hAnsi="Arial" w:cs="Arial"/>
          <w:lang w:val="mk-MK"/>
        </w:rPr>
        <w:t xml:space="preserve"> </w:t>
      </w:r>
      <w:proofErr w:type="spellStart"/>
      <w:r w:rsidRPr="00CE547F">
        <w:rPr>
          <w:rFonts w:ascii="Arial" w:hAnsi="Arial" w:cs="Arial"/>
          <w:lang w:val="mk-MK"/>
        </w:rPr>
        <w:t>the</w:t>
      </w:r>
      <w:proofErr w:type="spellEnd"/>
      <w:r w:rsidRPr="00CE547F">
        <w:rPr>
          <w:rFonts w:ascii="Arial" w:hAnsi="Arial" w:cs="Arial"/>
          <w:lang w:val="mk-MK"/>
        </w:rPr>
        <w:t xml:space="preserve"> </w:t>
      </w:r>
      <w:proofErr w:type="spellStart"/>
      <w:r w:rsidRPr="00CE547F">
        <w:rPr>
          <w:rFonts w:ascii="Arial" w:hAnsi="Arial" w:cs="Arial"/>
          <w:lang w:val="mk-MK"/>
        </w:rPr>
        <w:t>end</w:t>
      </w:r>
      <w:proofErr w:type="spellEnd"/>
      <w:r w:rsidRPr="00CE547F">
        <w:rPr>
          <w:rFonts w:ascii="Arial" w:hAnsi="Arial" w:cs="Arial"/>
          <w:lang w:val="mk-MK"/>
        </w:rPr>
        <w:t xml:space="preserve"> </w:t>
      </w:r>
      <w:proofErr w:type="spellStart"/>
      <w:r w:rsidRPr="00CE547F">
        <w:rPr>
          <w:rFonts w:ascii="Arial" w:hAnsi="Arial" w:cs="Arial"/>
          <w:lang w:val="mk-MK"/>
        </w:rPr>
        <w:t>of</w:t>
      </w:r>
      <w:proofErr w:type="spellEnd"/>
      <w:r w:rsidRPr="00CE547F">
        <w:rPr>
          <w:rFonts w:ascii="Arial" w:hAnsi="Arial" w:cs="Arial"/>
          <w:lang w:val="mk-MK"/>
        </w:rPr>
        <w:t xml:space="preserve"> </w:t>
      </w:r>
      <w:proofErr w:type="spellStart"/>
      <w:r w:rsidRPr="00CE547F">
        <w:rPr>
          <w:rFonts w:ascii="Arial" w:hAnsi="Arial" w:cs="Arial"/>
          <w:lang w:val="mk-MK"/>
        </w:rPr>
        <w:t>each</w:t>
      </w:r>
      <w:proofErr w:type="spellEnd"/>
      <w:r w:rsidRPr="00CE547F">
        <w:rPr>
          <w:rFonts w:ascii="Arial" w:hAnsi="Arial" w:cs="Arial"/>
          <w:lang w:val="mk-MK"/>
        </w:rPr>
        <w:t xml:space="preserve"> </w:t>
      </w:r>
      <w:proofErr w:type="spellStart"/>
      <w:r w:rsidRPr="00CE547F">
        <w:rPr>
          <w:rFonts w:ascii="Arial" w:hAnsi="Arial" w:cs="Arial"/>
          <w:lang w:val="mk-MK"/>
        </w:rPr>
        <w:t>annual</w:t>
      </w:r>
      <w:proofErr w:type="spellEnd"/>
      <w:r w:rsidRPr="00CE547F">
        <w:rPr>
          <w:rFonts w:ascii="Arial" w:hAnsi="Arial" w:cs="Arial"/>
          <w:lang w:val="mk-MK"/>
        </w:rPr>
        <w:t xml:space="preserve"> </w:t>
      </w:r>
      <w:proofErr w:type="spellStart"/>
      <w:r w:rsidRPr="00CE547F">
        <w:rPr>
          <w:rFonts w:ascii="Arial" w:hAnsi="Arial" w:cs="Arial"/>
          <w:lang w:val="mk-MK"/>
        </w:rPr>
        <w:t>period</w:t>
      </w:r>
      <w:proofErr w:type="spellEnd"/>
      <w:r w:rsidRPr="00CE547F">
        <w:rPr>
          <w:rFonts w:ascii="Arial" w:hAnsi="Arial" w:cs="Arial"/>
          <w:lang w:val="mk-MK"/>
        </w:rPr>
        <w:t xml:space="preserve"> </w:t>
      </w:r>
      <w:proofErr w:type="spellStart"/>
      <w:r w:rsidRPr="00CE547F">
        <w:rPr>
          <w:rFonts w:ascii="Arial" w:hAnsi="Arial" w:cs="Arial"/>
          <w:lang w:val="mk-MK"/>
        </w:rPr>
        <w:t>of</w:t>
      </w:r>
      <w:proofErr w:type="spellEnd"/>
      <w:r w:rsidRPr="00CE547F">
        <w:rPr>
          <w:rFonts w:ascii="Arial" w:hAnsi="Arial" w:cs="Arial"/>
          <w:lang w:val="mk-MK"/>
        </w:rPr>
        <w:t xml:space="preserve"> </w:t>
      </w:r>
      <w:proofErr w:type="spellStart"/>
      <w:r w:rsidRPr="00CE547F">
        <w:rPr>
          <w:rFonts w:ascii="Arial" w:hAnsi="Arial" w:cs="Arial"/>
          <w:lang w:val="mk-MK"/>
        </w:rPr>
        <w:t>reporting</w:t>
      </w:r>
      <w:proofErr w:type="spellEnd"/>
      <w:r w:rsidRPr="00CE547F">
        <w:rPr>
          <w:rFonts w:ascii="Arial" w:hAnsi="Arial" w:cs="Arial"/>
          <w:lang w:val="mk-MK"/>
        </w:rPr>
        <w:t xml:space="preserve"> </w:t>
      </w:r>
      <w:proofErr w:type="spellStart"/>
      <w:r w:rsidRPr="00CE547F">
        <w:rPr>
          <w:rFonts w:ascii="Arial" w:hAnsi="Arial" w:cs="Arial"/>
          <w:lang w:val="mk-MK"/>
        </w:rPr>
        <w:t>thus</w:t>
      </w:r>
      <w:proofErr w:type="spellEnd"/>
      <w:r w:rsidRPr="00CE547F">
        <w:rPr>
          <w:rFonts w:ascii="Arial" w:hAnsi="Arial" w:cs="Arial"/>
          <w:lang w:val="mk-MK"/>
        </w:rPr>
        <w:t xml:space="preserve"> </w:t>
      </w:r>
      <w:proofErr w:type="spellStart"/>
      <w:r w:rsidRPr="00CE547F">
        <w:rPr>
          <w:rFonts w:ascii="Arial" w:hAnsi="Arial" w:cs="Arial"/>
          <w:lang w:val="mk-MK"/>
        </w:rPr>
        <w:t>any</w:t>
      </w:r>
      <w:proofErr w:type="spellEnd"/>
      <w:r w:rsidRPr="00CE547F">
        <w:rPr>
          <w:rFonts w:ascii="Arial" w:hAnsi="Arial" w:cs="Arial"/>
          <w:lang w:val="mk-MK"/>
        </w:rPr>
        <w:t xml:space="preserve"> </w:t>
      </w:r>
      <w:proofErr w:type="spellStart"/>
      <w:r w:rsidRPr="00CE547F">
        <w:rPr>
          <w:rFonts w:ascii="Arial" w:hAnsi="Arial" w:cs="Arial"/>
          <w:lang w:val="mk-MK"/>
        </w:rPr>
        <w:t>change</w:t>
      </w:r>
      <w:proofErr w:type="spellEnd"/>
      <w:r w:rsidRPr="00CE547F">
        <w:rPr>
          <w:rFonts w:ascii="Arial" w:hAnsi="Arial" w:cs="Arial"/>
          <w:lang w:val="mk-MK"/>
        </w:rPr>
        <w:t xml:space="preserve"> </w:t>
      </w:r>
      <w:proofErr w:type="spellStart"/>
      <w:r w:rsidRPr="00CE547F">
        <w:rPr>
          <w:rFonts w:ascii="Arial" w:hAnsi="Arial" w:cs="Arial"/>
          <w:lang w:val="mk-MK"/>
        </w:rPr>
        <w:t>in</w:t>
      </w:r>
      <w:proofErr w:type="spellEnd"/>
      <w:r w:rsidRPr="00CE547F">
        <w:rPr>
          <w:rFonts w:ascii="Arial" w:hAnsi="Arial" w:cs="Arial"/>
          <w:lang w:val="mk-MK"/>
        </w:rPr>
        <w:t xml:space="preserve"> </w:t>
      </w:r>
      <w:proofErr w:type="spellStart"/>
      <w:r w:rsidRPr="00CE547F">
        <w:rPr>
          <w:rFonts w:ascii="Arial" w:hAnsi="Arial" w:cs="Arial"/>
          <w:lang w:val="mk-MK"/>
        </w:rPr>
        <w:t>the</w:t>
      </w:r>
      <w:proofErr w:type="spellEnd"/>
      <w:r w:rsidRPr="00CE547F">
        <w:rPr>
          <w:rFonts w:ascii="Arial" w:hAnsi="Arial" w:cs="Arial"/>
          <w:lang w:val="mk-MK"/>
        </w:rPr>
        <w:t xml:space="preserve"> </w:t>
      </w:r>
      <w:proofErr w:type="spellStart"/>
      <w:r w:rsidRPr="00CE547F">
        <w:rPr>
          <w:rFonts w:ascii="Arial" w:hAnsi="Arial" w:cs="Arial"/>
          <w:lang w:val="mk-MK"/>
        </w:rPr>
        <w:t>assessment</w:t>
      </w:r>
      <w:proofErr w:type="spellEnd"/>
      <w:r w:rsidRPr="00CE547F">
        <w:rPr>
          <w:rFonts w:ascii="Arial" w:hAnsi="Arial" w:cs="Arial"/>
          <w:lang w:val="mk-MK"/>
        </w:rPr>
        <w:t xml:space="preserve"> </w:t>
      </w:r>
      <w:proofErr w:type="spellStart"/>
      <w:r w:rsidRPr="00CE547F">
        <w:rPr>
          <w:rFonts w:ascii="Arial" w:hAnsi="Arial" w:cs="Arial"/>
          <w:lang w:val="mk-MK"/>
        </w:rPr>
        <w:t>is</w:t>
      </w:r>
      <w:proofErr w:type="spellEnd"/>
      <w:r w:rsidRPr="00CE547F">
        <w:rPr>
          <w:rFonts w:ascii="Arial" w:hAnsi="Arial" w:cs="Arial"/>
          <w:lang w:val="mk-MK"/>
        </w:rPr>
        <w:t xml:space="preserve"> </w:t>
      </w:r>
      <w:proofErr w:type="spellStart"/>
      <w:r w:rsidRPr="00CE547F">
        <w:rPr>
          <w:rFonts w:ascii="Arial" w:hAnsi="Arial" w:cs="Arial"/>
          <w:lang w:val="mk-MK"/>
        </w:rPr>
        <w:t>taken</w:t>
      </w:r>
      <w:proofErr w:type="spellEnd"/>
      <w:r w:rsidRPr="00CE547F">
        <w:rPr>
          <w:rFonts w:ascii="Arial" w:hAnsi="Arial" w:cs="Arial"/>
          <w:lang w:val="mk-MK"/>
        </w:rPr>
        <w:t xml:space="preserve"> </w:t>
      </w:r>
      <w:proofErr w:type="spellStart"/>
      <w:r w:rsidRPr="00CE547F">
        <w:rPr>
          <w:rFonts w:ascii="Arial" w:hAnsi="Arial" w:cs="Arial"/>
          <w:lang w:val="mk-MK"/>
        </w:rPr>
        <w:t>into</w:t>
      </w:r>
      <w:proofErr w:type="spellEnd"/>
      <w:r w:rsidRPr="00CE547F">
        <w:rPr>
          <w:rFonts w:ascii="Arial" w:hAnsi="Arial" w:cs="Arial"/>
          <w:lang w:val="mk-MK"/>
        </w:rPr>
        <w:t xml:space="preserve"> </w:t>
      </w:r>
      <w:proofErr w:type="spellStart"/>
      <w:r w:rsidRPr="00CE547F">
        <w:rPr>
          <w:rFonts w:ascii="Arial" w:hAnsi="Arial" w:cs="Arial"/>
          <w:lang w:val="mk-MK"/>
        </w:rPr>
        <w:t>consideration</w:t>
      </w:r>
      <w:proofErr w:type="spellEnd"/>
      <w:r w:rsidRPr="00CE547F">
        <w:rPr>
          <w:rFonts w:ascii="Arial" w:hAnsi="Arial" w:cs="Arial"/>
          <w:lang w:val="mk-MK"/>
        </w:rPr>
        <w:t xml:space="preserve"> </w:t>
      </w:r>
      <w:proofErr w:type="spellStart"/>
      <w:r w:rsidRPr="00CE547F">
        <w:rPr>
          <w:rFonts w:ascii="Arial" w:hAnsi="Arial" w:cs="Arial"/>
          <w:lang w:val="mk-MK"/>
        </w:rPr>
        <w:t>for</w:t>
      </w:r>
      <w:proofErr w:type="spellEnd"/>
      <w:r w:rsidRPr="00CE547F">
        <w:rPr>
          <w:rFonts w:ascii="Arial" w:hAnsi="Arial" w:cs="Arial"/>
          <w:lang w:val="mk-MK"/>
        </w:rPr>
        <w:t xml:space="preserve"> </w:t>
      </w:r>
      <w:proofErr w:type="spellStart"/>
      <w:r w:rsidRPr="00CE547F">
        <w:rPr>
          <w:rFonts w:ascii="Arial" w:hAnsi="Arial" w:cs="Arial"/>
          <w:lang w:val="mk-MK"/>
        </w:rPr>
        <w:t>the</w:t>
      </w:r>
      <w:proofErr w:type="spellEnd"/>
      <w:r w:rsidRPr="00CE547F">
        <w:rPr>
          <w:rFonts w:ascii="Arial" w:hAnsi="Arial" w:cs="Arial"/>
          <w:lang w:val="mk-MK"/>
        </w:rPr>
        <w:t xml:space="preserve"> </w:t>
      </w:r>
      <w:proofErr w:type="spellStart"/>
      <w:r w:rsidRPr="00CE547F">
        <w:rPr>
          <w:rFonts w:ascii="Arial" w:hAnsi="Arial" w:cs="Arial"/>
          <w:lang w:val="mk-MK"/>
        </w:rPr>
        <w:t>next</w:t>
      </w:r>
      <w:proofErr w:type="spellEnd"/>
      <w:r w:rsidRPr="00CE547F">
        <w:rPr>
          <w:rFonts w:ascii="Arial" w:hAnsi="Arial" w:cs="Arial"/>
          <w:lang w:val="mk-MK"/>
        </w:rPr>
        <w:t xml:space="preserve"> </w:t>
      </w:r>
      <w:proofErr w:type="spellStart"/>
      <w:r w:rsidRPr="00CE547F">
        <w:rPr>
          <w:rFonts w:ascii="Arial" w:hAnsi="Arial" w:cs="Arial"/>
          <w:lang w:val="mk-MK"/>
        </w:rPr>
        <w:t>periods</w:t>
      </w:r>
      <w:proofErr w:type="spellEnd"/>
      <w:r w:rsidRPr="00CE547F">
        <w:rPr>
          <w:rFonts w:ascii="Arial" w:hAnsi="Arial" w:cs="Arial"/>
          <w:lang w:val="mk-MK"/>
        </w:rPr>
        <w:t>.</w:t>
      </w:r>
    </w:p>
    <w:p w14:paraId="6C51F25E" w14:textId="77777777" w:rsidR="00FD06BB" w:rsidRPr="00CE3053" w:rsidRDefault="00FD06BB" w:rsidP="00FD06BB">
      <w:pPr>
        <w:pStyle w:val="BodyText"/>
        <w:jc w:val="both"/>
        <w:rPr>
          <w:rFonts w:ascii="Arial" w:hAnsi="Arial" w:cs="Arial"/>
          <w:lang w:val="mk-MK"/>
        </w:rPr>
      </w:pPr>
    </w:p>
    <w:p w14:paraId="1ECBFE8E" w14:textId="77777777" w:rsidR="00FD06BB" w:rsidRPr="00CE3053" w:rsidRDefault="00FD06BB" w:rsidP="00FD06BB">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sidRPr="00CE3053">
        <w:rPr>
          <w:rFonts w:ascii="Arial" w:hAnsi="Arial" w:cs="Arial"/>
          <w:b/>
          <w:color w:val="4F2D7F"/>
          <w:sz w:val="18"/>
          <w:lang w:val="mk-MK"/>
        </w:rPr>
        <w:t xml:space="preserve"> </w:t>
      </w:r>
      <w:r>
        <w:rPr>
          <w:rFonts w:ascii="Arial" w:hAnsi="Arial" w:cs="Arial"/>
          <w:b/>
          <w:color w:val="4F2D7F"/>
          <w:sz w:val="18"/>
          <w:lang w:val="en-US"/>
        </w:rPr>
        <w:t>Impairment of non-financial assets</w:t>
      </w:r>
    </w:p>
    <w:p w14:paraId="12F1518D" w14:textId="77777777" w:rsidR="00FD06BB" w:rsidRPr="001E6526" w:rsidRDefault="00FD06BB" w:rsidP="00FD06BB">
      <w:pPr>
        <w:pStyle w:val="BodyText"/>
        <w:jc w:val="both"/>
        <w:rPr>
          <w:rFonts w:ascii="Arial" w:hAnsi="Arial" w:cs="Arial"/>
          <w:lang w:val="mk-MK"/>
        </w:rPr>
      </w:pPr>
      <w:proofErr w:type="spellStart"/>
      <w:r w:rsidRPr="00B06262">
        <w:rPr>
          <w:rFonts w:ascii="Arial" w:hAnsi="Arial" w:cs="Arial"/>
          <w:lang w:val="mk-MK"/>
        </w:rPr>
        <w:t>Assets</w:t>
      </w:r>
      <w:proofErr w:type="spellEnd"/>
      <w:r w:rsidRPr="00B06262">
        <w:rPr>
          <w:rFonts w:ascii="Arial" w:hAnsi="Arial" w:cs="Arial"/>
          <w:lang w:val="mk-MK"/>
        </w:rPr>
        <w:t xml:space="preserve"> </w:t>
      </w:r>
      <w:proofErr w:type="spellStart"/>
      <w:r w:rsidRPr="00B06262">
        <w:rPr>
          <w:rFonts w:ascii="Arial" w:hAnsi="Arial" w:cs="Arial"/>
          <w:lang w:val="mk-MK"/>
        </w:rPr>
        <w:t>that</w:t>
      </w:r>
      <w:proofErr w:type="spellEnd"/>
      <w:r w:rsidRPr="00B06262">
        <w:rPr>
          <w:rFonts w:ascii="Arial" w:hAnsi="Arial" w:cs="Arial"/>
          <w:lang w:val="mk-MK"/>
        </w:rPr>
        <w:t xml:space="preserve"> </w:t>
      </w:r>
      <w:proofErr w:type="spellStart"/>
      <w:r w:rsidRPr="00B06262">
        <w:rPr>
          <w:rFonts w:ascii="Arial" w:hAnsi="Arial" w:cs="Arial"/>
          <w:lang w:val="mk-MK"/>
        </w:rPr>
        <w:t>are</w:t>
      </w:r>
      <w:proofErr w:type="spellEnd"/>
      <w:r w:rsidRPr="00B06262">
        <w:rPr>
          <w:rFonts w:ascii="Arial" w:hAnsi="Arial" w:cs="Arial"/>
          <w:lang w:val="mk-MK"/>
        </w:rPr>
        <w:t xml:space="preserve"> </w:t>
      </w:r>
      <w:proofErr w:type="spellStart"/>
      <w:r w:rsidRPr="00B06262">
        <w:rPr>
          <w:rFonts w:ascii="Arial" w:hAnsi="Arial" w:cs="Arial"/>
          <w:lang w:val="mk-MK"/>
        </w:rPr>
        <w:t>subject</w:t>
      </w:r>
      <w:proofErr w:type="spellEnd"/>
      <w:r w:rsidRPr="00B06262">
        <w:rPr>
          <w:rFonts w:ascii="Arial" w:hAnsi="Arial" w:cs="Arial"/>
          <w:lang w:val="mk-MK"/>
        </w:rPr>
        <w:t xml:space="preserve"> </w:t>
      </w:r>
      <w:proofErr w:type="spellStart"/>
      <w:r w:rsidRPr="00B06262">
        <w:rPr>
          <w:rFonts w:ascii="Arial" w:hAnsi="Arial" w:cs="Arial"/>
          <w:lang w:val="mk-MK"/>
        </w:rPr>
        <w:t>to</w:t>
      </w:r>
      <w:proofErr w:type="spellEnd"/>
      <w:r w:rsidRPr="00B06262">
        <w:rPr>
          <w:rFonts w:ascii="Arial" w:hAnsi="Arial" w:cs="Arial"/>
          <w:lang w:val="mk-MK"/>
        </w:rPr>
        <w:t xml:space="preserve"> </w:t>
      </w:r>
      <w:proofErr w:type="spellStart"/>
      <w:r w:rsidRPr="00B06262">
        <w:rPr>
          <w:rFonts w:ascii="Arial" w:hAnsi="Arial" w:cs="Arial"/>
          <w:lang w:val="mk-MK"/>
        </w:rPr>
        <w:t>depreciation</w:t>
      </w:r>
      <w:proofErr w:type="spellEnd"/>
      <w:r w:rsidRPr="00B06262">
        <w:rPr>
          <w:rFonts w:ascii="Arial" w:hAnsi="Arial" w:cs="Arial"/>
          <w:lang w:val="mk-MK"/>
        </w:rPr>
        <w:t xml:space="preserve"> </w:t>
      </w:r>
      <w:proofErr w:type="spellStart"/>
      <w:r w:rsidRPr="00B06262">
        <w:rPr>
          <w:rFonts w:ascii="Arial" w:hAnsi="Arial" w:cs="Arial"/>
          <w:lang w:val="mk-MK"/>
        </w:rPr>
        <w:t>and</w:t>
      </w:r>
      <w:proofErr w:type="spellEnd"/>
      <w:r w:rsidRPr="00B06262">
        <w:rPr>
          <w:rFonts w:ascii="Arial" w:hAnsi="Arial" w:cs="Arial"/>
          <w:lang w:val="mk-MK"/>
        </w:rPr>
        <w:t xml:space="preserve"> </w:t>
      </w:r>
      <w:proofErr w:type="spellStart"/>
      <w:r w:rsidRPr="00B06262">
        <w:rPr>
          <w:rFonts w:ascii="Arial" w:hAnsi="Arial" w:cs="Arial"/>
          <w:lang w:val="mk-MK"/>
        </w:rPr>
        <w:t>amortization</w:t>
      </w:r>
      <w:proofErr w:type="spellEnd"/>
      <w:r w:rsidRPr="00B06262">
        <w:rPr>
          <w:rFonts w:ascii="Arial" w:hAnsi="Arial" w:cs="Arial"/>
          <w:lang w:val="mk-MK"/>
        </w:rPr>
        <w:t xml:space="preserve"> </w:t>
      </w:r>
      <w:proofErr w:type="spellStart"/>
      <w:r w:rsidRPr="00B06262">
        <w:rPr>
          <w:rFonts w:ascii="Arial" w:hAnsi="Arial" w:cs="Arial"/>
          <w:lang w:val="mk-MK"/>
        </w:rPr>
        <w:t>are</w:t>
      </w:r>
      <w:proofErr w:type="spellEnd"/>
      <w:r w:rsidRPr="00B06262">
        <w:rPr>
          <w:rFonts w:ascii="Arial" w:hAnsi="Arial" w:cs="Arial"/>
          <w:lang w:val="mk-MK"/>
        </w:rPr>
        <w:t xml:space="preserve"> </w:t>
      </w:r>
      <w:proofErr w:type="spellStart"/>
      <w:r w:rsidRPr="00B06262">
        <w:rPr>
          <w:rFonts w:ascii="Arial" w:hAnsi="Arial" w:cs="Arial"/>
          <w:lang w:val="mk-MK"/>
        </w:rPr>
        <w:t>reviewed</w:t>
      </w:r>
      <w:proofErr w:type="spellEnd"/>
      <w:r w:rsidRPr="00B06262">
        <w:rPr>
          <w:rFonts w:ascii="Arial" w:hAnsi="Arial" w:cs="Arial"/>
          <w:lang w:val="mk-MK"/>
        </w:rPr>
        <w:t xml:space="preserve"> </w:t>
      </w:r>
      <w:proofErr w:type="spellStart"/>
      <w:r w:rsidRPr="00B06262">
        <w:rPr>
          <w:rFonts w:ascii="Arial" w:hAnsi="Arial" w:cs="Arial"/>
          <w:lang w:val="mk-MK"/>
        </w:rPr>
        <w:t>for</w:t>
      </w:r>
      <w:proofErr w:type="spellEnd"/>
      <w:r w:rsidRPr="00B06262">
        <w:rPr>
          <w:rFonts w:ascii="Arial" w:hAnsi="Arial" w:cs="Arial"/>
          <w:lang w:val="mk-MK"/>
        </w:rPr>
        <w:t xml:space="preserve"> </w:t>
      </w:r>
      <w:proofErr w:type="spellStart"/>
      <w:r w:rsidRPr="00B06262">
        <w:rPr>
          <w:rFonts w:ascii="Arial" w:hAnsi="Arial" w:cs="Arial"/>
          <w:lang w:val="mk-MK"/>
        </w:rPr>
        <w:t>impairment</w:t>
      </w:r>
      <w:proofErr w:type="spellEnd"/>
      <w:r w:rsidRPr="00B06262">
        <w:rPr>
          <w:rFonts w:ascii="Arial" w:hAnsi="Arial" w:cs="Arial"/>
          <w:lang w:val="mk-MK"/>
        </w:rPr>
        <w:t xml:space="preserve"> </w:t>
      </w:r>
      <w:proofErr w:type="spellStart"/>
      <w:r w:rsidRPr="00B06262">
        <w:rPr>
          <w:rFonts w:ascii="Arial" w:hAnsi="Arial" w:cs="Arial"/>
          <w:lang w:val="mk-MK"/>
        </w:rPr>
        <w:t>whenever</w:t>
      </w:r>
      <w:proofErr w:type="spellEnd"/>
      <w:r w:rsidRPr="00B06262">
        <w:rPr>
          <w:rFonts w:ascii="Arial" w:hAnsi="Arial" w:cs="Arial"/>
          <w:lang w:val="mk-MK"/>
        </w:rPr>
        <w:t xml:space="preserve"> </w:t>
      </w:r>
      <w:proofErr w:type="spellStart"/>
      <w:r w:rsidRPr="00B06262">
        <w:rPr>
          <w:rFonts w:ascii="Arial" w:hAnsi="Arial" w:cs="Arial"/>
          <w:lang w:val="mk-MK"/>
        </w:rPr>
        <w:t>events</w:t>
      </w:r>
      <w:proofErr w:type="spellEnd"/>
      <w:r w:rsidRPr="00B06262">
        <w:rPr>
          <w:rFonts w:ascii="Arial" w:hAnsi="Arial" w:cs="Arial"/>
          <w:lang w:val="mk-MK"/>
        </w:rPr>
        <w:t xml:space="preserve"> </w:t>
      </w:r>
      <w:proofErr w:type="spellStart"/>
      <w:r w:rsidRPr="00B06262">
        <w:rPr>
          <w:rFonts w:ascii="Arial" w:hAnsi="Arial" w:cs="Arial"/>
          <w:lang w:val="mk-MK"/>
        </w:rPr>
        <w:t>or</w:t>
      </w:r>
      <w:proofErr w:type="spellEnd"/>
      <w:r w:rsidRPr="00B06262">
        <w:rPr>
          <w:rFonts w:ascii="Arial" w:hAnsi="Arial" w:cs="Arial"/>
          <w:lang w:val="mk-MK"/>
        </w:rPr>
        <w:t xml:space="preserve"> </w:t>
      </w:r>
      <w:proofErr w:type="spellStart"/>
      <w:r w:rsidRPr="00B06262">
        <w:rPr>
          <w:rFonts w:ascii="Arial" w:hAnsi="Arial" w:cs="Arial"/>
          <w:lang w:val="mk-MK"/>
        </w:rPr>
        <w:t>changes</w:t>
      </w:r>
      <w:proofErr w:type="spellEnd"/>
      <w:r w:rsidRPr="00B06262">
        <w:rPr>
          <w:rFonts w:ascii="Arial" w:hAnsi="Arial" w:cs="Arial"/>
          <w:lang w:val="mk-MK"/>
        </w:rPr>
        <w:t xml:space="preserve"> </w:t>
      </w:r>
      <w:proofErr w:type="spellStart"/>
      <w:r w:rsidRPr="00B06262">
        <w:rPr>
          <w:rFonts w:ascii="Arial" w:hAnsi="Arial" w:cs="Arial"/>
          <w:lang w:val="mk-MK"/>
        </w:rPr>
        <w:t>in</w:t>
      </w:r>
      <w:proofErr w:type="spellEnd"/>
      <w:r w:rsidRPr="00B06262">
        <w:rPr>
          <w:rFonts w:ascii="Arial" w:hAnsi="Arial" w:cs="Arial"/>
          <w:lang w:val="mk-MK"/>
        </w:rPr>
        <w:t xml:space="preserve"> </w:t>
      </w:r>
      <w:proofErr w:type="spellStart"/>
      <w:r w:rsidRPr="00B06262">
        <w:rPr>
          <w:rFonts w:ascii="Arial" w:hAnsi="Arial" w:cs="Arial"/>
          <w:lang w:val="mk-MK"/>
        </w:rPr>
        <w:t>circumstances</w:t>
      </w:r>
      <w:proofErr w:type="spellEnd"/>
      <w:r w:rsidRPr="00B06262">
        <w:rPr>
          <w:rFonts w:ascii="Arial" w:hAnsi="Arial" w:cs="Arial"/>
          <w:lang w:val="mk-MK"/>
        </w:rPr>
        <w:t xml:space="preserve"> </w:t>
      </w:r>
      <w:proofErr w:type="spellStart"/>
      <w:r w:rsidRPr="00B06262">
        <w:rPr>
          <w:rFonts w:ascii="Arial" w:hAnsi="Arial" w:cs="Arial"/>
          <w:lang w:val="mk-MK"/>
        </w:rPr>
        <w:t>indicate</w:t>
      </w:r>
      <w:proofErr w:type="spellEnd"/>
      <w:r w:rsidRPr="00B06262">
        <w:rPr>
          <w:rFonts w:ascii="Arial" w:hAnsi="Arial" w:cs="Arial"/>
          <w:lang w:val="mk-MK"/>
        </w:rPr>
        <w:t xml:space="preserve"> </w:t>
      </w:r>
      <w:proofErr w:type="spellStart"/>
      <w:r w:rsidRPr="00B06262">
        <w:rPr>
          <w:rFonts w:ascii="Arial" w:hAnsi="Arial" w:cs="Arial"/>
          <w:lang w:val="mk-MK"/>
        </w:rPr>
        <w:t>that</w:t>
      </w:r>
      <w:proofErr w:type="spellEnd"/>
      <w:r w:rsidRPr="00B06262">
        <w:rPr>
          <w:rFonts w:ascii="Arial" w:hAnsi="Arial" w:cs="Arial"/>
          <w:lang w:val="mk-MK"/>
        </w:rPr>
        <w:t xml:space="preserve"> </w:t>
      </w:r>
      <w:proofErr w:type="spellStart"/>
      <w:r w:rsidRPr="00B06262">
        <w:rPr>
          <w:rFonts w:ascii="Arial" w:hAnsi="Arial" w:cs="Arial"/>
          <w:lang w:val="mk-MK"/>
        </w:rPr>
        <w:t>the</w:t>
      </w:r>
      <w:proofErr w:type="spellEnd"/>
      <w:r w:rsidRPr="00B06262">
        <w:rPr>
          <w:rFonts w:ascii="Arial" w:hAnsi="Arial" w:cs="Arial"/>
          <w:lang w:val="mk-MK"/>
        </w:rPr>
        <w:t xml:space="preserve"> </w:t>
      </w:r>
      <w:proofErr w:type="spellStart"/>
      <w:r w:rsidRPr="00B06262">
        <w:rPr>
          <w:rFonts w:ascii="Arial" w:hAnsi="Arial" w:cs="Arial"/>
          <w:lang w:val="mk-MK"/>
        </w:rPr>
        <w:t>carrying</w:t>
      </w:r>
      <w:proofErr w:type="spellEnd"/>
      <w:r w:rsidRPr="00B06262">
        <w:rPr>
          <w:rFonts w:ascii="Arial" w:hAnsi="Arial" w:cs="Arial"/>
          <w:lang w:val="mk-MK"/>
        </w:rPr>
        <w:t xml:space="preserve"> </w:t>
      </w:r>
      <w:proofErr w:type="spellStart"/>
      <w:r w:rsidRPr="00B06262">
        <w:rPr>
          <w:rFonts w:ascii="Arial" w:hAnsi="Arial" w:cs="Arial"/>
          <w:lang w:val="mk-MK"/>
        </w:rPr>
        <w:t>amount</w:t>
      </w:r>
      <w:proofErr w:type="spellEnd"/>
      <w:r w:rsidRPr="00B06262">
        <w:rPr>
          <w:rFonts w:ascii="Arial" w:hAnsi="Arial" w:cs="Arial"/>
          <w:lang w:val="mk-MK"/>
        </w:rPr>
        <w:t xml:space="preserve"> </w:t>
      </w:r>
      <w:proofErr w:type="spellStart"/>
      <w:r w:rsidRPr="00B06262">
        <w:rPr>
          <w:rFonts w:ascii="Arial" w:hAnsi="Arial" w:cs="Arial"/>
          <w:lang w:val="mk-MK"/>
        </w:rPr>
        <w:t>may</w:t>
      </w:r>
      <w:proofErr w:type="spellEnd"/>
      <w:r w:rsidRPr="00B06262">
        <w:rPr>
          <w:rFonts w:ascii="Arial" w:hAnsi="Arial" w:cs="Arial"/>
          <w:lang w:val="mk-MK"/>
        </w:rPr>
        <w:t xml:space="preserve"> </w:t>
      </w:r>
      <w:proofErr w:type="spellStart"/>
      <w:r w:rsidRPr="00B06262">
        <w:rPr>
          <w:rFonts w:ascii="Arial" w:hAnsi="Arial" w:cs="Arial"/>
          <w:lang w:val="mk-MK"/>
        </w:rPr>
        <w:t>not</w:t>
      </w:r>
      <w:proofErr w:type="spellEnd"/>
      <w:r w:rsidRPr="00B06262">
        <w:rPr>
          <w:rFonts w:ascii="Arial" w:hAnsi="Arial" w:cs="Arial"/>
          <w:lang w:val="mk-MK"/>
        </w:rPr>
        <w:t xml:space="preserve"> </w:t>
      </w:r>
      <w:proofErr w:type="spellStart"/>
      <w:r w:rsidRPr="00B06262">
        <w:rPr>
          <w:rFonts w:ascii="Arial" w:hAnsi="Arial" w:cs="Arial"/>
          <w:lang w:val="mk-MK"/>
        </w:rPr>
        <w:t>be</w:t>
      </w:r>
      <w:proofErr w:type="spellEnd"/>
      <w:r w:rsidRPr="00B06262">
        <w:rPr>
          <w:rFonts w:ascii="Arial" w:hAnsi="Arial" w:cs="Arial"/>
          <w:lang w:val="mk-MK"/>
        </w:rPr>
        <w:t xml:space="preserve"> </w:t>
      </w:r>
      <w:proofErr w:type="spellStart"/>
      <w:r w:rsidRPr="00B06262">
        <w:rPr>
          <w:rFonts w:ascii="Arial" w:hAnsi="Arial" w:cs="Arial"/>
          <w:lang w:val="mk-MK"/>
        </w:rPr>
        <w:t>recoverable</w:t>
      </w:r>
      <w:proofErr w:type="spellEnd"/>
      <w:r w:rsidRPr="00B06262">
        <w:rPr>
          <w:rFonts w:ascii="Arial" w:hAnsi="Arial" w:cs="Arial"/>
          <w:lang w:val="mk-MK"/>
        </w:rPr>
        <w:t xml:space="preserve">. </w:t>
      </w:r>
      <w:proofErr w:type="spellStart"/>
      <w:r w:rsidRPr="00B06262">
        <w:rPr>
          <w:rFonts w:ascii="Arial" w:hAnsi="Arial" w:cs="Arial"/>
          <w:lang w:val="mk-MK"/>
        </w:rPr>
        <w:t>Whenever</w:t>
      </w:r>
      <w:proofErr w:type="spellEnd"/>
      <w:r w:rsidRPr="00B06262">
        <w:rPr>
          <w:rFonts w:ascii="Arial" w:hAnsi="Arial" w:cs="Arial"/>
          <w:lang w:val="mk-MK"/>
        </w:rPr>
        <w:t xml:space="preserve"> </w:t>
      </w:r>
      <w:proofErr w:type="spellStart"/>
      <w:r w:rsidRPr="00B06262">
        <w:rPr>
          <w:rFonts w:ascii="Arial" w:hAnsi="Arial" w:cs="Arial"/>
          <w:lang w:val="mk-MK"/>
        </w:rPr>
        <w:t>the</w:t>
      </w:r>
      <w:proofErr w:type="spellEnd"/>
      <w:r w:rsidRPr="00B06262">
        <w:rPr>
          <w:rFonts w:ascii="Arial" w:hAnsi="Arial" w:cs="Arial"/>
          <w:lang w:val="mk-MK"/>
        </w:rPr>
        <w:t xml:space="preserve"> </w:t>
      </w:r>
      <w:proofErr w:type="spellStart"/>
      <w:r w:rsidRPr="00B06262">
        <w:rPr>
          <w:rFonts w:ascii="Arial" w:hAnsi="Arial" w:cs="Arial"/>
          <w:lang w:val="mk-MK"/>
        </w:rPr>
        <w:t>asset’s</w:t>
      </w:r>
      <w:proofErr w:type="spellEnd"/>
      <w:r w:rsidRPr="00B06262">
        <w:rPr>
          <w:rFonts w:ascii="Arial" w:hAnsi="Arial" w:cs="Arial"/>
          <w:lang w:val="mk-MK"/>
        </w:rPr>
        <w:t xml:space="preserve"> </w:t>
      </w:r>
      <w:proofErr w:type="spellStart"/>
      <w:r w:rsidRPr="00B06262">
        <w:rPr>
          <w:rFonts w:ascii="Arial" w:hAnsi="Arial" w:cs="Arial"/>
          <w:lang w:val="mk-MK"/>
        </w:rPr>
        <w:t>carrying</w:t>
      </w:r>
      <w:proofErr w:type="spellEnd"/>
      <w:r w:rsidRPr="00B06262">
        <w:rPr>
          <w:rFonts w:ascii="Arial" w:hAnsi="Arial" w:cs="Arial"/>
          <w:lang w:val="mk-MK"/>
        </w:rPr>
        <w:t xml:space="preserve"> </w:t>
      </w:r>
      <w:proofErr w:type="spellStart"/>
      <w:r w:rsidRPr="00B06262">
        <w:rPr>
          <w:rFonts w:ascii="Arial" w:hAnsi="Arial" w:cs="Arial"/>
          <w:lang w:val="mk-MK"/>
        </w:rPr>
        <w:t>amount</w:t>
      </w:r>
      <w:proofErr w:type="spellEnd"/>
      <w:r w:rsidRPr="00B06262">
        <w:rPr>
          <w:rFonts w:ascii="Arial" w:hAnsi="Arial" w:cs="Arial"/>
          <w:lang w:val="mk-MK"/>
        </w:rPr>
        <w:t xml:space="preserve"> </w:t>
      </w:r>
      <w:proofErr w:type="spellStart"/>
      <w:r w:rsidRPr="00B06262">
        <w:rPr>
          <w:rFonts w:ascii="Arial" w:hAnsi="Arial" w:cs="Arial"/>
          <w:lang w:val="mk-MK"/>
        </w:rPr>
        <w:t>exceeds</w:t>
      </w:r>
      <w:proofErr w:type="spellEnd"/>
      <w:r w:rsidRPr="00B06262">
        <w:rPr>
          <w:rFonts w:ascii="Arial" w:hAnsi="Arial" w:cs="Arial"/>
          <w:lang w:val="mk-MK"/>
        </w:rPr>
        <w:t xml:space="preserve"> </w:t>
      </w:r>
      <w:proofErr w:type="spellStart"/>
      <w:r w:rsidRPr="00B06262">
        <w:rPr>
          <w:rFonts w:ascii="Arial" w:hAnsi="Arial" w:cs="Arial"/>
          <w:lang w:val="mk-MK"/>
        </w:rPr>
        <w:t>its</w:t>
      </w:r>
      <w:proofErr w:type="spellEnd"/>
      <w:r w:rsidRPr="00B06262">
        <w:rPr>
          <w:rFonts w:ascii="Arial" w:hAnsi="Arial" w:cs="Arial"/>
          <w:lang w:val="mk-MK"/>
        </w:rPr>
        <w:t xml:space="preserve"> </w:t>
      </w:r>
      <w:proofErr w:type="spellStart"/>
      <w:r w:rsidRPr="00B06262">
        <w:rPr>
          <w:rFonts w:ascii="Arial" w:hAnsi="Arial" w:cs="Arial"/>
          <w:lang w:val="mk-MK"/>
        </w:rPr>
        <w:t>recoverable</w:t>
      </w:r>
      <w:proofErr w:type="spellEnd"/>
      <w:r w:rsidRPr="00B06262">
        <w:rPr>
          <w:rFonts w:ascii="Arial" w:hAnsi="Arial" w:cs="Arial"/>
          <w:lang w:val="mk-MK"/>
        </w:rPr>
        <w:t xml:space="preserve"> </w:t>
      </w:r>
      <w:proofErr w:type="spellStart"/>
      <w:r w:rsidRPr="00B06262">
        <w:rPr>
          <w:rFonts w:ascii="Arial" w:hAnsi="Arial" w:cs="Arial"/>
          <w:lang w:val="mk-MK"/>
        </w:rPr>
        <w:t>amount</w:t>
      </w:r>
      <w:proofErr w:type="spellEnd"/>
      <w:r w:rsidRPr="00B06262">
        <w:rPr>
          <w:rFonts w:ascii="Arial" w:hAnsi="Arial" w:cs="Arial"/>
          <w:lang w:val="mk-MK"/>
        </w:rPr>
        <w:t xml:space="preserve">, a </w:t>
      </w:r>
      <w:proofErr w:type="spellStart"/>
      <w:r w:rsidRPr="00B06262">
        <w:rPr>
          <w:rFonts w:ascii="Arial" w:hAnsi="Arial" w:cs="Arial"/>
          <w:lang w:val="mk-MK"/>
        </w:rPr>
        <w:t>loss</w:t>
      </w:r>
      <w:proofErr w:type="spellEnd"/>
      <w:r w:rsidRPr="00B06262">
        <w:rPr>
          <w:rFonts w:ascii="Arial" w:hAnsi="Arial" w:cs="Arial"/>
          <w:lang w:val="mk-MK"/>
        </w:rPr>
        <w:t xml:space="preserve"> </w:t>
      </w:r>
      <w:proofErr w:type="spellStart"/>
      <w:r w:rsidRPr="00B06262">
        <w:rPr>
          <w:rFonts w:ascii="Arial" w:hAnsi="Arial" w:cs="Arial"/>
          <w:lang w:val="mk-MK"/>
        </w:rPr>
        <w:t>from</w:t>
      </w:r>
      <w:proofErr w:type="spellEnd"/>
      <w:r w:rsidRPr="00B06262">
        <w:rPr>
          <w:rFonts w:ascii="Arial" w:hAnsi="Arial" w:cs="Arial"/>
          <w:lang w:val="mk-MK"/>
        </w:rPr>
        <w:t xml:space="preserve"> </w:t>
      </w:r>
      <w:proofErr w:type="spellStart"/>
      <w:r w:rsidRPr="00B06262">
        <w:rPr>
          <w:rFonts w:ascii="Arial" w:hAnsi="Arial" w:cs="Arial"/>
          <w:lang w:val="mk-MK"/>
        </w:rPr>
        <w:t>impairment</w:t>
      </w:r>
      <w:proofErr w:type="spellEnd"/>
      <w:r w:rsidRPr="00B06262">
        <w:rPr>
          <w:rFonts w:ascii="Arial" w:hAnsi="Arial" w:cs="Arial"/>
          <w:lang w:val="mk-MK"/>
        </w:rPr>
        <w:t xml:space="preserve"> </w:t>
      </w:r>
      <w:proofErr w:type="spellStart"/>
      <w:r w:rsidRPr="00B06262">
        <w:rPr>
          <w:rFonts w:ascii="Arial" w:hAnsi="Arial" w:cs="Arial"/>
          <w:lang w:val="mk-MK"/>
        </w:rPr>
        <w:t>is</w:t>
      </w:r>
      <w:proofErr w:type="spellEnd"/>
      <w:r w:rsidRPr="00B06262">
        <w:rPr>
          <w:rFonts w:ascii="Arial" w:hAnsi="Arial" w:cs="Arial"/>
          <w:lang w:val="mk-MK"/>
        </w:rPr>
        <w:t xml:space="preserve"> </w:t>
      </w:r>
      <w:proofErr w:type="spellStart"/>
      <w:r w:rsidRPr="00B06262">
        <w:rPr>
          <w:rFonts w:ascii="Arial" w:hAnsi="Arial" w:cs="Arial"/>
          <w:lang w:val="mk-MK"/>
        </w:rPr>
        <w:t>recognised</w:t>
      </w:r>
      <w:proofErr w:type="spellEnd"/>
      <w:r w:rsidRPr="00B06262">
        <w:rPr>
          <w:rFonts w:ascii="Arial" w:hAnsi="Arial" w:cs="Arial"/>
          <w:lang w:val="mk-MK"/>
        </w:rPr>
        <w:t xml:space="preserve"> </w:t>
      </w:r>
      <w:proofErr w:type="spellStart"/>
      <w:r w:rsidRPr="00B06262">
        <w:rPr>
          <w:rFonts w:ascii="Arial" w:hAnsi="Arial" w:cs="Arial"/>
          <w:lang w:val="mk-MK"/>
        </w:rPr>
        <w:t>in</w:t>
      </w:r>
      <w:proofErr w:type="spellEnd"/>
      <w:r w:rsidRPr="00B06262">
        <w:rPr>
          <w:rFonts w:ascii="Arial" w:hAnsi="Arial" w:cs="Arial"/>
          <w:lang w:val="mk-MK"/>
        </w:rPr>
        <w:t xml:space="preserve"> </w:t>
      </w:r>
      <w:proofErr w:type="spellStart"/>
      <w:r w:rsidRPr="00B06262">
        <w:rPr>
          <w:rFonts w:ascii="Arial" w:hAnsi="Arial" w:cs="Arial"/>
          <w:lang w:val="mk-MK"/>
        </w:rPr>
        <w:t>the</w:t>
      </w:r>
      <w:proofErr w:type="spellEnd"/>
      <w:r w:rsidRPr="00B06262">
        <w:rPr>
          <w:rFonts w:ascii="Arial" w:hAnsi="Arial" w:cs="Arial"/>
          <w:lang w:val="mk-MK"/>
        </w:rPr>
        <w:t xml:space="preserve"> </w:t>
      </w:r>
      <w:proofErr w:type="spellStart"/>
      <w:r w:rsidRPr="00B06262">
        <w:rPr>
          <w:rFonts w:ascii="Arial" w:hAnsi="Arial" w:cs="Arial"/>
          <w:lang w:val="mk-MK"/>
        </w:rPr>
        <w:t>Statement</w:t>
      </w:r>
      <w:proofErr w:type="spellEnd"/>
      <w:r w:rsidRPr="00B06262">
        <w:rPr>
          <w:rFonts w:ascii="Arial" w:hAnsi="Arial" w:cs="Arial"/>
          <w:lang w:val="mk-MK"/>
        </w:rPr>
        <w:t xml:space="preserve"> </w:t>
      </w:r>
      <w:proofErr w:type="spellStart"/>
      <w:r w:rsidRPr="00B06262">
        <w:rPr>
          <w:rFonts w:ascii="Arial" w:hAnsi="Arial" w:cs="Arial"/>
          <w:lang w:val="mk-MK"/>
        </w:rPr>
        <w:t>of</w:t>
      </w:r>
      <w:proofErr w:type="spellEnd"/>
      <w:r w:rsidRPr="00B06262">
        <w:rPr>
          <w:rFonts w:ascii="Arial" w:hAnsi="Arial" w:cs="Arial"/>
          <w:lang w:val="mk-MK"/>
        </w:rPr>
        <w:t xml:space="preserve"> </w:t>
      </w:r>
      <w:proofErr w:type="spellStart"/>
      <w:r w:rsidRPr="00B06262">
        <w:rPr>
          <w:rFonts w:ascii="Arial" w:hAnsi="Arial" w:cs="Arial"/>
          <w:lang w:val="mk-MK"/>
        </w:rPr>
        <w:t>Comprehensive</w:t>
      </w:r>
      <w:proofErr w:type="spellEnd"/>
      <w:r w:rsidRPr="00B06262">
        <w:rPr>
          <w:rFonts w:ascii="Arial" w:hAnsi="Arial" w:cs="Arial"/>
          <w:lang w:val="mk-MK"/>
        </w:rPr>
        <w:t xml:space="preserve"> </w:t>
      </w:r>
      <w:proofErr w:type="spellStart"/>
      <w:r w:rsidRPr="00B06262">
        <w:rPr>
          <w:rFonts w:ascii="Arial" w:hAnsi="Arial" w:cs="Arial"/>
          <w:lang w:val="mk-MK"/>
        </w:rPr>
        <w:t>Income</w:t>
      </w:r>
      <w:proofErr w:type="spellEnd"/>
      <w:r w:rsidRPr="00B06262">
        <w:rPr>
          <w:rFonts w:ascii="Arial" w:hAnsi="Arial" w:cs="Arial"/>
          <w:lang w:val="mk-MK"/>
        </w:rPr>
        <w:t>.</w:t>
      </w:r>
      <w:r w:rsidRPr="00B06262">
        <w:t xml:space="preserve"> </w:t>
      </w:r>
      <w:proofErr w:type="spellStart"/>
      <w:r w:rsidRPr="00B06262">
        <w:rPr>
          <w:rFonts w:ascii="Arial" w:hAnsi="Arial" w:cs="Arial"/>
          <w:lang w:val="mk-MK"/>
        </w:rPr>
        <w:t>The</w:t>
      </w:r>
      <w:proofErr w:type="spellEnd"/>
      <w:r w:rsidRPr="00B06262">
        <w:rPr>
          <w:rFonts w:ascii="Arial" w:hAnsi="Arial" w:cs="Arial"/>
          <w:lang w:val="mk-MK"/>
        </w:rPr>
        <w:t xml:space="preserve"> </w:t>
      </w:r>
      <w:proofErr w:type="spellStart"/>
      <w:r w:rsidRPr="00B06262">
        <w:rPr>
          <w:rFonts w:ascii="Arial" w:hAnsi="Arial" w:cs="Arial"/>
          <w:lang w:val="mk-MK"/>
        </w:rPr>
        <w:t>recoverable</w:t>
      </w:r>
      <w:proofErr w:type="spellEnd"/>
      <w:r w:rsidRPr="00B06262">
        <w:rPr>
          <w:rFonts w:ascii="Arial" w:hAnsi="Arial" w:cs="Arial"/>
          <w:lang w:val="mk-MK"/>
        </w:rPr>
        <w:t xml:space="preserve"> </w:t>
      </w:r>
      <w:proofErr w:type="spellStart"/>
      <w:r w:rsidRPr="00B06262">
        <w:rPr>
          <w:rFonts w:ascii="Arial" w:hAnsi="Arial" w:cs="Arial"/>
          <w:lang w:val="mk-MK"/>
        </w:rPr>
        <w:t>amount</w:t>
      </w:r>
      <w:proofErr w:type="spellEnd"/>
      <w:r w:rsidRPr="00B06262">
        <w:rPr>
          <w:rFonts w:ascii="Arial" w:hAnsi="Arial" w:cs="Arial"/>
          <w:lang w:val="mk-MK"/>
        </w:rPr>
        <w:t xml:space="preserve"> </w:t>
      </w:r>
      <w:proofErr w:type="spellStart"/>
      <w:r w:rsidRPr="00B06262">
        <w:rPr>
          <w:rFonts w:ascii="Arial" w:hAnsi="Arial" w:cs="Arial"/>
          <w:lang w:val="mk-MK"/>
        </w:rPr>
        <w:t>is</w:t>
      </w:r>
      <w:proofErr w:type="spellEnd"/>
      <w:r w:rsidRPr="00B06262">
        <w:rPr>
          <w:rFonts w:ascii="Arial" w:hAnsi="Arial" w:cs="Arial"/>
          <w:lang w:val="mk-MK"/>
        </w:rPr>
        <w:t xml:space="preserve"> </w:t>
      </w:r>
      <w:proofErr w:type="spellStart"/>
      <w:r w:rsidRPr="00B06262">
        <w:rPr>
          <w:rFonts w:ascii="Arial" w:hAnsi="Arial" w:cs="Arial"/>
          <w:lang w:val="mk-MK"/>
        </w:rPr>
        <w:t>the</w:t>
      </w:r>
      <w:proofErr w:type="spellEnd"/>
      <w:r w:rsidRPr="00B06262">
        <w:rPr>
          <w:rFonts w:ascii="Arial" w:hAnsi="Arial" w:cs="Arial"/>
          <w:lang w:val="mk-MK"/>
        </w:rPr>
        <w:t xml:space="preserve"> </w:t>
      </w:r>
      <w:proofErr w:type="spellStart"/>
      <w:r w:rsidRPr="00B06262">
        <w:rPr>
          <w:rFonts w:ascii="Arial" w:hAnsi="Arial" w:cs="Arial"/>
          <w:lang w:val="mk-MK"/>
        </w:rPr>
        <w:t>higher</w:t>
      </w:r>
      <w:proofErr w:type="spellEnd"/>
      <w:r w:rsidRPr="00B06262">
        <w:rPr>
          <w:rFonts w:ascii="Arial" w:hAnsi="Arial" w:cs="Arial"/>
          <w:lang w:val="mk-MK"/>
        </w:rPr>
        <w:t xml:space="preserve"> </w:t>
      </w:r>
      <w:proofErr w:type="spellStart"/>
      <w:r w:rsidRPr="00B06262">
        <w:rPr>
          <w:rFonts w:ascii="Arial" w:hAnsi="Arial" w:cs="Arial"/>
          <w:lang w:val="mk-MK"/>
        </w:rPr>
        <w:t>of</w:t>
      </w:r>
      <w:proofErr w:type="spellEnd"/>
      <w:r w:rsidRPr="00B06262">
        <w:rPr>
          <w:rFonts w:ascii="Arial" w:hAnsi="Arial" w:cs="Arial"/>
          <w:lang w:val="mk-MK"/>
        </w:rPr>
        <w:t xml:space="preserve"> </w:t>
      </w:r>
      <w:proofErr w:type="spellStart"/>
      <w:r w:rsidRPr="00B06262">
        <w:rPr>
          <w:rFonts w:ascii="Arial" w:hAnsi="Arial" w:cs="Arial"/>
          <w:lang w:val="mk-MK"/>
        </w:rPr>
        <w:t>the</w:t>
      </w:r>
      <w:proofErr w:type="spellEnd"/>
      <w:r w:rsidRPr="00B06262">
        <w:rPr>
          <w:rFonts w:ascii="Arial" w:hAnsi="Arial" w:cs="Arial"/>
          <w:lang w:val="mk-MK"/>
        </w:rPr>
        <w:t xml:space="preserve"> </w:t>
      </w:r>
      <w:proofErr w:type="spellStart"/>
      <w:r w:rsidRPr="00B06262">
        <w:rPr>
          <w:rFonts w:ascii="Arial" w:hAnsi="Arial" w:cs="Arial"/>
          <w:lang w:val="mk-MK"/>
        </w:rPr>
        <w:t>asset’s</w:t>
      </w:r>
      <w:proofErr w:type="spellEnd"/>
      <w:r w:rsidRPr="00B06262">
        <w:rPr>
          <w:rFonts w:ascii="Arial" w:hAnsi="Arial" w:cs="Arial"/>
          <w:lang w:val="mk-MK"/>
        </w:rPr>
        <w:t xml:space="preserve"> </w:t>
      </w:r>
      <w:proofErr w:type="spellStart"/>
      <w:r w:rsidRPr="00B06262">
        <w:rPr>
          <w:rFonts w:ascii="Arial" w:hAnsi="Arial" w:cs="Arial"/>
          <w:lang w:val="mk-MK"/>
        </w:rPr>
        <w:t>fair</w:t>
      </w:r>
      <w:proofErr w:type="spellEnd"/>
      <w:r w:rsidRPr="00B06262">
        <w:rPr>
          <w:rFonts w:ascii="Arial" w:hAnsi="Arial" w:cs="Arial"/>
          <w:lang w:val="mk-MK"/>
        </w:rPr>
        <w:t xml:space="preserve"> </w:t>
      </w:r>
      <w:proofErr w:type="spellStart"/>
      <w:r w:rsidRPr="00B06262">
        <w:rPr>
          <w:rFonts w:ascii="Arial" w:hAnsi="Arial" w:cs="Arial"/>
          <w:lang w:val="mk-MK"/>
        </w:rPr>
        <w:t>value</w:t>
      </w:r>
      <w:proofErr w:type="spellEnd"/>
      <w:r w:rsidRPr="00B06262">
        <w:rPr>
          <w:rFonts w:ascii="Arial" w:hAnsi="Arial" w:cs="Arial"/>
          <w:lang w:val="mk-MK"/>
        </w:rPr>
        <w:t xml:space="preserve"> </w:t>
      </w:r>
      <w:proofErr w:type="spellStart"/>
      <w:r w:rsidRPr="00B06262">
        <w:rPr>
          <w:rFonts w:ascii="Arial" w:hAnsi="Arial" w:cs="Arial"/>
          <w:lang w:val="mk-MK"/>
        </w:rPr>
        <w:t>less</w:t>
      </w:r>
      <w:proofErr w:type="spellEnd"/>
      <w:r w:rsidRPr="00B06262">
        <w:rPr>
          <w:rFonts w:ascii="Arial" w:hAnsi="Arial" w:cs="Arial"/>
          <w:lang w:val="mk-MK"/>
        </w:rPr>
        <w:t xml:space="preserve"> </w:t>
      </w:r>
      <w:proofErr w:type="spellStart"/>
      <w:r w:rsidRPr="00B06262">
        <w:rPr>
          <w:rFonts w:ascii="Arial" w:hAnsi="Arial" w:cs="Arial"/>
          <w:lang w:val="mk-MK"/>
        </w:rPr>
        <w:t>costs</w:t>
      </w:r>
      <w:proofErr w:type="spellEnd"/>
      <w:r w:rsidRPr="00B06262">
        <w:rPr>
          <w:rFonts w:ascii="Arial" w:hAnsi="Arial" w:cs="Arial"/>
          <w:lang w:val="mk-MK"/>
        </w:rPr>
        <w:t xml:space="preserve"> </w:t>
      </w:r>
      <w:proofErr w:type="spellStart"/>
      <w:r w:rsidRPr="00B06262">
        <w:rPr>
          <w:rFonts w:ascii="Arial" w:hAnsi="Arial" w:cs="Arial"/>
          <w:lang w:val="mk-MK"/>
        </w:rPr>
        <w:t>to</w:t>
      </w:r>
      <w:proofErr w:type="spellEnd"/>
      <w:r w:rsidRPr="00B06262">
        <w:rPr>
          <w:rFonts w:ascii="Arial" w:hAnsi="Arial" w:cs="Arial"/>
          <w:lang w:val="mk-MK"/>
        </w:rPr>
        <w:t xml:space="preserve"> </w:t>
      </w:r>
      <w:proofErr w:type="spellStart"/>
      <w:r w:rsidRPr="00B06262">
        <w:rPr>
          <w:rFonts w:ascii="Arial" w:hAnsi="Arial" w:cs="Arial"/>
          <w:lang w:val="mk-MK"/>
        </w:rPr>
        <w:t>sell</w:t>
      </w:r>
      <w:proofErr w:type="spellEnd"/>
      <w:r w:rsidRPr="00B06262">
        <w:rPr>
          <w:rFonts w:ascii="Arial" w:hAnsi="Arial" w:cs="Arial"/>
          <w:lang w:val="mk-MK"/>
        </w:rPr>
        <w:t xml:space="preserve"> </w:t>
      </w:r>
      <w:proofErr w:type="spellStart"/>
      <w:r w:rsidRPr="00B06262">
        <w:rPr>
          <w:rFonts w:ascii="Arial" w:hAnsi="Arial" w:cs="Arial"/>
          <w:lang w:val="mk-MK"/>
        </w:rPr>
        <w:t>and</w:t>
      </w:r>
      <w:proofErr w:type="spellEnd"/>
      <w:r w:rsidRPr="00B06262">
        <w:rPr>
          <w:rFonts w:ascii="Arial" w:hAnsi="Arial" w:cs="Arial"/>
          <w:lang w:val="mk-MK"/>
        </w:rPr>
        <w:t xml:space="preserve"> </w:t>
      </w:r>
      <w:proofErr w:type="spellStart"/>
      <w:r w:rsidRPr="00B06262">
        <w:rPr>
          <w:rFonts w:ascii="Arial" w:hAnsi="Arial" w:cs="Arial"/>
          <w:lang w:val="mk-MK"/>
        </w:rPr>
        <w:t>value</w:t>
      </w:r>
      <w:proofErr w:type="spellEnd"/>
      <w:r w:rsidRPr="00B06262">
        <w:rPr>
          <w:rFonts w:ascii="Arial" w:hAnsi="Arial" w:cs="Arial"/>
          <w:lang w:val="mk-MK"/>
        </w:rPr>
        <w:t xml:space="preserve"> </w:t>
      </w:r>
      <w:proofErr w:type="spellStart"/>
      <w:r w:rsidRPr="00B06262">
        <w:rPr>
          <w:rFonts w:ascii="Arial" w:hAnsi="Arial" w:cs="Arial"/>
          <w:lang w:val="mk-MK"/>
        </w:rPr>
        <w:t>in</w:t>
      </w:r>
      <w:proofErr w:type="spellEnd"/>
      <w:r w:rsidRPr="00B06262">
        <w:rPr>
          <w:rFonts w:ascii="Arial" w:hAnsi="Arial" w:cs="Arial"/>
          <w:lang w:val="mk-MK"/>
        </w:rPr>
        <w:t xml:space="preserve"> </w:t>
      </w:r>
      <w:proofErr w:type="spellStart"/>
      <w:r w:rsidRPr="00B06262">
        <w:rPr>
          <w:rFonts w:ascii="Arial" w:hAnsi="Arial" w:cs="Arial"/>
          <w:lang w:val="mk-MK"/>
        </w:rPr>
        <w:t>use</w:t>
      </w:r>
      <w:proofErr w:type="spellEnd"/>
      <w:r w:rsidRPr="00B06262">
        <w:rPr>
          <w:rFonts w:ascii="Arial" w:hAnsi="Arial" w:cs="Arial"/>
          <w:lang w:val="mk-MK"/>
        </w:rPr>
        <w:t xml:space="preserve">. </w:t>
      </w:r>
      <w:proofErr w:type="spellStart"/>
      <w:r w:rsidRPr="00B06262">
        <w:rPr>
          <w:rFonts w:ascii="Arial" w:hAnsi="Arial" w:cs="Arial"/>
          <w:lang w:val="mk-MK"/>
        </w:rPr>
        <w:t>The</w:t>
      </w:r>
      <w:proofErr w:type="spellEnd"/>
      <w:r w:rsidRPr="00B06262">
        <w:rPr>
          <w:rFonts w:ascii="Arial" w:hAnsi="Arial" w:cs="Arial"/>
          <w:lang w:val="mk-MK"/>
        </w:rPr>
        <w:t xml:space="preserve"> </w:t>
      </w:r>
      <w:proofErr w:type="spellStart"/>
      <w:r w:rsidRPr="00B06262">
        <w:rPr>
          <w:rFonts w:ascii="Arial" w:hAnsi="Arial" w:cs="Arial"/>
          <w:lang w:val="mk-MK"/>
        </w:rPr>
        <w:t>net</w:t>
      </w:r>
      <w:proofErr w:type="spellEnd"/>
      <w:r w:rsidRPr="00B06262">
        <w:rPr>
          <w:rFonts w:ascii="Arial" w:hAnsi="Arial" w:cs="Arial"/>
          <w:lang w:val="mk-MK"/>
        </w:rPr>
        <w:t xml:space="preserve"> </w:t>
      </w:r>
      <w:proofErr w:type="spellStart"/>
      <w:r w:rsidRPr="00B06262">
        <w:rPr>
          <w:rFonts w:ascii="Arial" w:hAnsi="Arial" w:cs="Arial"/>
          <w:lang w:val="mk-MK"/>
        </w:rPr>
        <w:t>selling</w:t>
      </w:r>
      <w:proofErr w:type="spellEnd"/>
      <w:r w:rsidRPr="00B06262">
        <w:rPr>
          <w:rFonts w:ascii="Arial" w:hAnsi="Arial" w:cs="Arial"/>
          <w:lang w:val="mk-MK"/>
        </w:rPr>
        <w:t xml:space="preserve"> </w:t>
      </w:r>
      <w:proofErr w:type="spellStart"/>
      <w:r w:rsidRPr="00B06262">
        <w:rPr>
          <w:rFonts w:ascii="Arial" w:hAnsi="Arial" w:cs="Arial"/>
          <w:lang w:val="mk-MK"/>
        </w:rPr>
        <w:t>price</w:t>
      </w:r>
      <w:proofErr w:type="spellEnd"/>
      <w:r w:rsidRPr="00B06262">
        <w:rPr>
          <w:rFonts w:ascii="Arial" w:hAnsi="Arial" w:cs="Arial"/>
          <w:lang w:val="mk-MK"/>
        </w:rPr>
        <w:t xml:space="preserve"> </w:t>
      </w:r>
      <w:proofErr w:type="spellStart"/>
      <w:r w:rsidRPr="00B06262">
        <w:rPr>
          <w:rFonts w:ascii="Arial" w:hAnsi="Arial" w:cs="Arial"/>
          <w:lang w:val="mk-MK"/>
        </w:rPr>
        <w:t>is</w:t>
      </w:r>
      <w:proofErr w:type="spellEnd"/>
      <w:r w:rsidRPr="00B06262">
        <w:rPr>
          <w:rFonts w:ascii="Arial" w:hAnsi="Arial" w:cs="Arial"/>
          <w:lang w:val="mk-MK"/>
        </w:rPr>
        <w:t xml:space="preserve"> </w:t>
      </w:r>
      <w:proofErr w:type="spellStart"/>
      <w:r w:rsidRPr="00B06262">
        <w:rPr>
          <w:rFonts w:ascii="Arial" w:hAnsi="Arial" w:cs="Arial"/>
          <w:lang w:val="mk-MK"/>
        </w:rPr>
        <w:t>the</w:t>
      </w:r>
      <w:proofErr w:type="spellEnd"/>
      <w:r w:rsidRPr="00B06262">
        <w:rPr>
          <w:rFonts w:ascii="Arial" w:hAnsi="Arial" w:cs="Arial"/>
          <w:lang w:val="mk-MK"/>
        </w:rPr>
        <w:t xml:space="preserve"> </w:t>
      </w:r>
      <w:proofErr w:type="spellStart"/>
      <w:r w:rsidRPr="00B06262">
        <w:rPr>
          <w:rFonts w:ascii="Arial" w:hAnsi="Arial" w:cs="Arial"/>
          <w:lang w:val="mk-MK"/>
        </w:rPr>
        <w:t>amount</w:t>
      </w:r>
      <w:proofErr w:type="spellEnd"/>
      <w:r w:rsidRPr="00B06262">
        <w:rPr>
          <w:rFonts w:ascii="Arial" w:hAnsi="Arial" w:cs="Arial"/>
          <w:lang w:val="mk-MK"/>
        </w:rPr>
        <w:t xml:space="preserve"> </w:t>
      </w:r>
      <w:proofErr w:type="spellStart"/>
      <w:r w:rsidRPr="00B06262">
        <w:rPr>
          <w:rFonts w:ascii="Arial" w:hAnsi="Arial" w:cs="Arial"/>
          <w:lang w:val="mk-MK"/>
        </w:rPr>
        <w:t>obtainable</w:t>
      </w:r>
      <w:proofErr w:type="spellEnd"/>
      <w:r w:rsidRPr="00B06262">
        <w:rPr>
          <w:rFonts w:ascii="Arial" w:hAnsi="Arial" w:cs="Arial"/>
          <w:lang w:val="mk-MK"/>
        </w:rPr>
        <w:t xml:space="preserve"> </w:t>
      </w:r>
      <w:proofErr w:type="spellStart"/>
      <w:r w:rsidRPr="00B06262">
        <w:rPr>
          <w:rFonts w:ascii="Arial" w:hAnsi="Arial" w:cs="Arial"/>
          <w:lang w:val="mk-MK"/>
        </w:rPr>
        <w:t>from</w:t>
      </w:r>
      <w:proofErr w:type="spellEnd"/>
      <w:r w:rsidRPr="00B06262">
        <w:rPr>
          <w:rFonts w:ascii="Arial" w:hAnsi="Arial" w:cs="Arial"/>
          <w:lang w:val="mk-MK"/>
        </w:rPr>
        <w:t xml:space="preserve"> </w:t>
      </w:r>
      <w:proofErr w:type="spellStart"/>
      <w:r w:rsidRPr="00B06262">
        <w:rPr>
          <w:rFonts w:ascii="Arial" w:hAnsi="Arial" w:cs="Arial"/>
          <w:lang w:val="mk-MK"/>
        </w:rPr>
        <w:t>the</w:t>
      </w:r>
      <w:proofErr w:type="spellEnd"/>
      <w:r w:rsidRPr="00B06262">
        <w:rPr>
          <w:rFonts w:ascii="Arial" w:hAnsi="Arial" w:cs="Arial"/>
          <w:lang w:val="mk-MK"/>
        </w:rPr>
        <w:t xml:space="preserve"> </w:t>
      </w:r>
      <w:proofErr w:type="spellStart"/>
      <w:r w:rsidRPr="00B06262">
        <w:rPr>
          <w:rFonts w:ascii="Arial" w:hAnsi="Arial" w:cs="Arial"/>
          <w:lang w:val="mk-MK"/>
        </w:rPr>
        <w:t>sale</w:t>
      </w:r>
      <w:proofErr w:type="spellEnd"/>
      <w:r w:rsidRPr="00B06262">
        <w:rPr>
          <w:rFonts w:ascii="Arial" w:hAnsi="Arial" w:cs="Arial"/>
          <w:lang w:val="mk-MK"/>
        </w:rPr>
        <w:t xml:space="preserve"> </w:t>
      </w:r>
      <w:proofErr w:type="spellStart"/>
      <w:r w:rsidRPr="00B06262">
        <w:rPr>
          <w:rFonts w:ascii="Arial" w:hAnsi="Arial" w:cs="Arial"/>
          <w:lang w:val="mk-MK"/>
        </w:rPr>
        <w:t>of</w:t>
      </w:r>
      <w:proofErr w:type="spellEnd"/>
      <w:r w:rsidRPr="00B06262">
        <w:rPr>
          <w:rFonts w:ascii="Arial" w:hAnsi="Arial" w:cs="Arial"/>
          <w:lang w:val="mk-MK"/>
        </w:rPr>
        <w:t xml:space="preserve"> </w:t>
      </w:r>
      <w:proofErr w:type="spellStart"/>
      <w:r w:rsidRPr="00B06262">
        <w:rPr>
          <w:rFonts w:ascii="Arial" w:hAnsi="Arial" w:cs="Arial"/>
          <w:lang w:val="mk-MK"/>
        </w:rPr>
        <w:t>an</w:t>
      </w:r>
      <w:proofErr w:type="spellEnd"/>
      <w:r w:rsidRPr="00B06262">
        <w:rPr>
          <w:rFonts w:ascii="Arial" w:hAnsi="Arial" w:cs="Arial"/>
          <w:lang w:val="mk-MK"/>
        </w:rPr>
        <w:t xml:space="preserve"> </w:t>
      </w:r>
      <w:proofErr w:type="spellStart"/>
      <w:r w:rsidRPr="00B06262">
        <w:rPr>
          <w:rFonts w:ascii="Arial" w:hAnsi="Arial" w:cs="Arial"/>
          <w:lang w:val="mk-MK"/>
        </w:rPr>
        <w:t>asset</w:t>
      </w:r>
      <w:proofErr w:type="spellEnd"/>
      <w:r w:rsidRPr="00B06262">
        <w:rPr>
          <w:rFonts w:ascii="Arial" w:hAnsi="Arial" w:cs="Arial"/>
          <w:lang w:val="mk-MK"/>
        </w:rPr>
        <w:t xml:space="preserve"> </w:t>
      </w:r>
      <w:proofErr w:type="spellStart"/>
      <w:r w:rsidRPr="00B06262">
        <w:rPr>
          <w:rFonts w:ascii="Arial" w:hAnsi="Arial" w:cs="Arial"/>
          <w:lang w:val="mk-MK"/>
        </w:rPr>
        <w:t>in</w:t>
      </w:r>
      <w:proofErr w:type="spellEnd"/>
      <w:r w:rsidRPr="00B06262">
        <w:rPr>
          <w:rFonts w:ascii="Arial" w:hAnsi="Arial" w:cs="Arial"/>
          <w:lang w:val="mk-MK"/>
        </w:rPr>
        <w:t xml:space="preserve"> </w:t>
      </w:r>
      <w:proofErr w:type="spellStart"/>
      <w:r w:rsidRPr="00B06262">
        <w:rPr>
          <w:rFonts w:ascii="Arial" w:hAnsi="Arial" w:cs="Arial"/>
          <w:lang w:val="mk-MK"/>
        </w:rPr>
        <w:t>an</w:t>
      </w:r>
      <w:proofErr w:type="spellEnd"/>
      <w:r w:rsidRPr="00B06262">
        <w:rPr>
          <w:rFonts w:ascii="Arial" w:hAnsi="Arial" w:cs="Arial"/>
          <w:lang w:val="mk-MK"/>
        </w:rPr>
        <w:t xml:space="preserve"> </w:t>
      </w:r>
      <w:proofErr w:type="spellStart"/>
      <w:r w:rsidRPr="00B06262">
        <w:rPr>
          <w:rFonts w:ascii="Arial" w:hAnsi="Arial" w:cs="Arial"/>
          <w:lang w:val="mk-MK"/>
        </w:rPr>
        <w:t>arm’s</w:t>
      </w:r>
      <w:proofErr w:type="spellEnd"/>
      <w:r w:rsidRPr="00B06262">
        <w:rPr>
          <w:rFonts w:ascii="Arial" w:hAnsi="Arial" w:cs="Arial"/>
          <w:lang w:val="mk-MK"/>
        </w:rPr>
        <w:t xml:space="preserve"> </w:t>
      </w:r>
      <w:proofErr w:type="spellStart"/>
      <w:r w:rsidRPr="00B06262">
        <w:rPr>
          <w:rFonts w:ascii="Arial" w:hAnsi="Arial" w:cs="Arial"/>
          <w:lang w:val="mk-MK"/>
        </w:rPr>
        <w:t>length</w:t>
      </w:r>
      <w:proofErr w:type="spellEnd"/>
      <w:r w:rsidRPr="00B06262">
        <w:rPr>
          <w:rFonts w:ascii="Arial" w:hAnsi="Arial" w:cs="Arial"/>
          <w:lang w:val="mk-MK"/>
        </w:rPr>
        <w:t xml:space="preserve"> </w:t>
      </w:r>
      <w:proofErr w:type="spellStart"/>
      <w:r w:rsidRPr="00B06262">
        <w:rPr>
          <w:rFonts w:ascii="Arial" w:hAnsi="Arial" w:cs="Arial"/>
          <w:lang w:val="mk-MK"/>
        </w:rPr>
        <w:t>transaction</w:t>
      </w:r>
      <w:proofErr w:type="spellEnd"/>
      <w:r w:rsidRPr="00B06262">
        <w:rPr>
          <w:rFonts w:ascii="Arial" w:hAnsi="Arial" w:cs="Arial"/>
          <w:lang w:val="mk-MK"/>
        </w:rPr>
        <w:t xml:space="preserve"> </w:t>
      </w:r>
      <w:proofErr w:type="spellStart"/>
      <w:r w:rsidRPr="00B06262">
        <w:rPr>
          <w:rFonts w:ascii="Arial" w:hAnsi="Arial" w:cs="Arial"/>
          <w:lang w:val="mk-MK"/>
        </w:rPr>
        <w:t>while</w:t>
      </w:r>
      <w:proofErr w:type="spellEnd"/>
      <w:r w:rsidRPr="00B06262">
        <w:rPr>
          <w:rFonts w:ascii="Arial" w:hAnsi="Arial" w:cs="Arial"/>
          <w:lang w:val="mk-MK"/>
        </w:rPr>
        <w:t xml:space="preserve"> </w:t>
      </w:r>
      <w:proofErr w:type="spellStart"/>
      <w:r w:rsidRPr="00B06262">
        <w:rPr>
          <w:rFonts w:ascii="Arial" w:hAnsi="Arial" w:cs="Arial"/>
          <w:lang w:val="mk-MK"/>
        </w:rPr>
        <w:t>value</w:t>
      </w:r>
      <w:proofErr w:type="spellEnd"/>
      <w:r w:rsidRPr="00B06262">
        <w:rPr>
          <w:rFonts w:ascii="Arial" w:hAnsi="Arial" w:cs="Arial"/>
          <w:lang w:val="mk-MK"/>
        </w:rPr>
        <w:t xml:space="preserve"> </w:t>
      </w:r>
      <w:proofErr w:type="spellStart"/>
      <w:r w:rsidRPr="00B06262">
        <w:rPr>
          <w:rFonts w:ascii="Arial" w:hAnsi="Arial" w:cs="Arial"/>
          <w:lang w:val="mk-MK"/>
        </w:rPr>
        <w:t>in</w:t>
      </w:r>
      <w:proofErr w:type="spellEnd"/>
      <w:r w:rsidRPr="00B06262">
        <w:rPr>
          <w:rFonts w:ascii="Arial" w:hAnsi="Arial" w:cs="Arial"/>
          <w:lang w:val="mk-MK"/>
        </w:rPr>
        <w:t xml:space="preserve"> </w:t>
      </w:r>
      <w:proofErr w:type="spellStart"/>
      <w:r w:rsidRPr="00B06262">
        <w:rPr>
          <w:rFonts w:ascii="Arial" w:hAnsi="Arial" w:cs="Arial"/>
          <w:lang w:val="mk-MK"/>
        </w:rPr>
        <w:t>use</w:t>
      </w:r>
      <w:proofErr w:type="spellEnd"/>
      <w:r w:rsidRPr="00B06262">
        <w:rPr>
          <w:rFonts w:ascii="Arial" w:hAnsi="Arial" w:cs="Arial"/>
          <w:lang w:val="mk-MK"/>
        </w:rPr>
        <w:t xml:space="preserve"> </w:t>
      </w:r>
      <w:proofErr w:type="spellStart"/>
      <w:r w:rsidRPr="00B06262">
        <w:rPr>
          <w:rFonts w:ascii="Arial" w:hAnsi="Arial" w:cs="Arial"/>
          <w:lang w:val="mk-MK"/>
        </w:rPr>
        <w:t>is</w:t>
      </w:r>
      <w:proofErr w:type="spellEnd"/>
      <w:r w:rsidRPr="00B06262">
        <w:rPr>
          <w:rFonts w:ascii="Arial" w:hAnsi="Arial" w:cs="Arial"/>
          <w:lang w:val="mk-MK"/>
        </w:rPr>
        <w:t xml:space="preserve"> </w:t>
      </w:r>
      <w:proofErr w:type="spellStart"/>
      <w:r w:rsidRPr="00B06262">
        <w:rPr>
          <w:rFonts w:ascii="Arial" w:hAnsi="Arial" w:cs="Arial"/>
          <w:lang w:val="mk-MK"/>
        </w:rPr>
        <w:t>the</w:t>
      </w:r>
      <w:proofErr w:type="spellEnd"/>
      <w:r w:rsidRPr="00B06262">
        <w:rPr>
          <w:rFonts w:ascii="Arial" w:hAnsi="Arial" w:cs="Arial"/>
          <w:lang w:val="mk-MK"/>
        </w:rPr>
        <w:t xml:space="preserve"> </w:t>
      </w:r>
      <w:proofErr w:type="spellStart"/>
      <w:r w:rsidRPr="00B06262">
        <w:rPr>
          <w:rFonts w:ascii="Arial" w:hAnsi="Arial" w:cs="Arial"/>
          <w:lang w:val="mk-MK"/>
        </w:rPr>
        <w:t>present</w:t>
      </w:r>
      <w:proofErr w:type="spellEnd"/>
      <w:r w:rsidRPr="00B06262">
        <w:rPr>
          <w:rFonts w:ascii="Arial" w:hAnsi="Arial" w:cs="Arial"/>
          <w:lang w:val="mk-MK"/>
        </w:rPr>
        <w:t xml:space="preserve"> </w:t>
      </w:r>
      <w:proofErr w:type="spellStart"/>
      <w:r w:rsidRPr="00B06262">
        <w:rPr>
          <w:rFonts w:ascii="Arial" w:hAnsi="Arial" w:cs="Arial"/>
          <w:lang w:val="mk-MK"/>
        </w:rPr>
        <w:t>value</w:t>
      </w:r>
      <w:proofErr w:type="spellEnd"/>
      <w:r w:rsidRPr="00B06262">
        <w:rPr>
          <w:rFonts w:ascii="Arial" w:hAnsi="Arial" w:cs="Arial"/>
          <w:lang w:val="mk-MK"/>
        </w:rPr>
        <w:t xml:space="preserve"> </w:t>
      </w:r>
      <w:proofErr w:type="spellStart"/>
      <w:r w:rsidRPr="00B06262">
        <w:rPr>
          <w:rFonts w:ascii="Arial" w:hAnsi="Arial" w:cs="Arial"/>
          <w:lang w:val="mk-MK"/>
        </w:rPr>
        <w:t>of</w:t>
      </w:r>
      <w:proofErr w:type="spellEnd"/>
      <w:r w:rsidRPr="00B06262">
        <w:rPr>
          <w:rFonts w:ascii="Arial" w:hAnsi="Arial" w:cs="Arial"/>
          <w:lang w:val="mk-MK"/>
        </w:rPr>
        <w:t xml:space="preserve"> </w:t>
      </w:r>
      <w:proofErr w:type="spellStart"/>
      <w:r w:rsidRPr="00B06262">
        <w:rPr>
          <w:rFonts w:ascii="Arial" w:hAnsi="Arial" w:cs="Arial"/>
          <w:lang w:val="mk-MK"/>
        </w:rPr>
        <w:t>estimated</w:t>
      </w:r>
      <w:proofErr w:type="spellEnd"/>
      <w:r w:rsidRPr="00B06262">
        <w:rPr>
          <w:rFonts w:ascii="Arial" w:hAnsi="Arial" w:cs="Arial"/>
          <w:lang w:val="mk-MK"/>
        </w:rPr>
        <w:t xml:space="preserve"> </w:t>
      </w:r>
      <w:proofErr w:type="spellStart"/>
      <w:r w:rsidRPr="00B06262">
        <w:rPr>
          <w:rFonts w:ascii="Arial" w:hAnsi="Arial" w:cs="Arial"/>
          <w:lang w:val="mk-MK"/>
        </w:rPr>
        <w:t>future</w:t>
      </w:r>
      <w:proofErr w:type="spellEnd"/>
      <w:r w:rsidRPr="00B06262">
        <w:rPr>
          <w:rFonts w:ascii="Arial" w:hAnsi="Arial" w:cs="Arial"/>
          <w:lang w:val="mk-MK"/>
        </w:rPr>
        <w:t xml:space="preserve"> </w:t>
      </w:r>
      <w:proofErr w:type="spellStart"/>
      <w:r w:rsidRPr="00B06262">
        <w:rPr>
          <w:rFonts w:ascii="Arial" w:hAnsi="Arial" w:cs="Arial"/>
          <w:lang w:val="mk-MK"/>
        </w:rPr>
        <w:t>cash</w:t>
      </w:r>
      <w:proofErr w:type="spellEnd"/>
      <w:r w:rsidRPr="00B06262">
        <w:rPr>
          <w:rFonts w:ascii="Arial" w:hAnsi="Arial" w:cs="Arial"/>
          <w:lang w:val="mk-MK"/>
        </w:rPr>
        <w:t xml:space="preserve"> </w:t>
      </w:r>
      <w:proofErr w:type="spellStart"/>
      <w:r w:rsidRPr="00B06262">
        <w:rPr>
          <w:rFonts w:ascii="Arial" w:hAnsi="Arial" w:cs="Arial"/>
          <w:lang w:val="mk-MK"/>
        </w:rPr>
        <w:t>flows</w:t>
      </w:r>
      <w:proofErr w:type="spellEnd"/>
      <w:r w:rsidRPr="00B06262">
        <w:rPr>
          <w:rFonts w:ascii="Arial" w:hAnsi="Arial" w:cs="Arial"/>
          <w:lang w:val="mk-MK"/>
        </w:rPr>
        <w:t xml:space="preserve"> </w:t>
      </w:r>
      <w:proofErr w:type="spellStart"/>
      <w:r w:rsidRPr="00B06262">
        <w:rPr>
          <w:rFonts w:ascii="Arial" w:hAnsi="Arial" w:cs="Arial"/>
          <w:lang w:val="mk-MK"/>
        </w:rPr>
        <w:t>expected</w:t>
      </w:r>
      <w:proofErr w:type="spellEnd"/>
      <w:r w:rsidRPr="00B06262">
        <w:rPr>
          <w:rFonts w:ascii="Arial" w:hAnsi="Arial" w:cs="Arial"/>
          <w:lang w:val="mk-MK"/>
        </w:rPr>
        <w:t xml:space="preserve"> </w:t>
      </w:r>
      <w:proofErr w:type="spellStart"/>
      <w:r w:rsidRPr="00B06262">
        <w:rPr>
          <w:rFonts w:ascii="Arial" w:hAnsi="Arial" w:cs="Arial"/>
          <w:lang w:val="mk-MK"/>
        </w:rPr>
        <w:t>to</w:t>
      </w:r>
      <w:proofErr w:type="spellEnd"/>
      <w:r w:rsidRPr="00B06262">
        <w:rPr>
          <w:rFonts w:ascii="Arial" w:hAnsi="Arial" w:cs="Arial"/>
          <w:lang w:val="mk-MK"/>
        </w:rPr>
        <w:t xml:space="preserve"> </w:t>
      </w:r>
      <w:proofErr w:type="spellStart"/>
      <w:r w:rsidRPr="00B06262">
        <w:rPr>
          <w:rFonts w:ascii="Arial" w:hAnsi="Arial" w:cs="Arial"/>
          <w:lang w:val="mk-MK"/>
        </w:rPr>
        <w:t>arise</w:t>
      </w:r>
      <w:proofErr w:type="spellEnd"/>
      <w:r w:rsidRPr="00B06262">
        <w:rPr>
          <w:rFonts w:ascii="Arial" w:hAnsi="Arial" w:cs="Arial"/>
          <w:lang w:val="mk-MK"/>
        </w:rPr>
        <w:t xml:space="preserve"> </w:t>
      </w:r>
      <w:proofErr w:type="spellStart"/>
      <w:r w:rsidRPr="00B06262">
        <w:rPr>
          <w:rFonts w:ascii="Arial" w:hAnsi="Arial" w:cs="Arial"/>
          <w:lang w:val="mk-MK"/>
        </w:rPr>
        <w:t>from</w:t>
      </w:r>
      <w:proofErr w:type="spellEnd"/>
      <w:r w:rsidRPr="00B06262">
        <w:rPr>
          <w:rFonts w:ascii="Arial" w:hAnsi="Arial" w:cs="Arial"/>
          <w:lang w:val="mk-MK"/>
        </w:rPr>
        <w:t xml:space="preserve"> </w:t>
      </w:r>
      <w:proofErr w:type="spellStart"/>
      <w:r w:rsidRPr="00B06262">
        <w:rPr>
          <w:rFonts w:ascii="Arial" w:hAnsi="Arial" w:cs="Arial"/>
          <w:lang w:val="mk-MK"/>
        </w:rPr>
        <w:t>the</w:t>
      </w:r>
      <w:proofErr w:type="spellEnd"/>
      <w:r w:rsidRPr="00B06262">
        <w:rPr>
          <w:rFonts w:ascii="Arial" w:hAnsi="Arial" w:cs="Arial"/>
          <w:lang w:val="mk-MK"/>
        </w:rPr>
        <w:t xml:space="preserve"> </w:t>
      </w:r>
      <w:proofErr w:type="spellStart"/>
      <w:r w:rsidRPr="00B06262">
        <w:rPr>
          <w:rFonts w:ascii="Arial" w:hAnsi="Arial" w:cs="Arial"/>
          <w:lang w:val="mk-MK"/>
        </w:rPr>
        <w:t>continuing</w:t>
      </w:r>
      <w:proofErr w:type="spellEnd"/>
      <w:r w:rsidRPr="00B06262">
        <w:rPr>
          <w:rFonts w:ascii="Arial" w:hAnsi="Arial" w:cs="Arial"/>
          <w:lang w:val="mk-MK"/>
        </w:rPr>
        <w:t xml:space="preserve"> </w:t>
      </w:r>
      <w:proofErr w:type="spellStart"/>
      <w:r w:rsidRPr="00B06262">
        <w:rPr>
          <w:rFonts w:ascii="Arial" w:hAnsi="Arial" w:cs="Arial"/>
          <w:lang w:val="mk-MK"/>
        </w:rPr>
        <w:t>use</w:t>
      </w:r>
      <w:proofErr w:type="spellEnd"/>
      <w:r w:rsidRPr="00B06262">
        <w:rPr>
          <w:rFonts w:ascii="Arial" w:hAnsi="Arial" w:cs="Arial"/>
          <w:lang w:val="mk-MK"/>
        </w:rPr>
        <w:t xml:space="preserve"> </w:t>
      </w:r>
      <w:proofErr w:type="spellStart"/>
      <w:r w:rsidRPr="00B06262">
        <w:rPr>
          <w:rFonts w:ascii="Arial" w:hAnsi="Arial" w:cs="Arial"/>
          <w:lang w:val="mk-MK"/>
        </w:rPr>
        <w:t>of</w:t>
      </w:r>
      <w:proofErr w:type="spellEnd"/>
      <w:r w:rsidRPr="00B06262">
        <w:rPr>
          <w:rFonts w:ascii="Arial" w:hAnsi="Arial" w:cs="Arial"/>
          <w:lang w:val="mk-MK"/>
        </w:rPr>
        <w:t xml:space="preserve"> </w:t>
      </w:r>
      <w:proofErr w:type="spellStart"/>
      <w:r w:rsidRPr="00B06262">
        <w:rPr>
          <w:rFonts w:ascii="Arial" w:hAnsi="Arial" w:cs="Arial"/>
          <w:lang w:val="mk-MK"/>
        </w:rPr>
        <w:t>an</w:t>
      </w:r>
      <w:proofErr w:type="spellEnd"/>
      <w:r w:rsidRPr="00B06262">
        <w:rPr>
          <w:rFonts w:ascii="Arial" w:hAnsi="Arial" w:cs="Arial"/>
          <w:lang w:val="mk-MK"/>
        </w:rPr>
        <w:t xml:space="preserve"> </w:t>
      </w:r>
      <w:proofErr w:type="spellStart"/>
      <w:r w:rsidRPr="00B06262">
        <w:rPr>
          <w:rFonts w:ascii="Arial" w:hAnsi="Arial" w:cs="Arial"/>
          <w:lang w:val="mk-MK"/>
        </w:rPr>
        <w:t>asset</w:t>
      </w:r>
      <w:proofErr w:type="spellEnd"/>
      <w:r w:rsidRPr="00B06262">
        <w:rPr>
          <w:rFonts w:ascii="Arial" w:hAnsi="Arial" w:cs="Arial"/>
          <w:lang w:val="mk-MK"/>
        </w:rPr>
        <w:t xml:space="preserve"> </w:t>
      </w:r>
      <w:proofErr w:type="spellStart"/>
      <w:r w:rsidRPr="00B06262">
        <w:rPr>
          <w:rFonts w:ascii="Arial" w:hAnsi="Arial" w:cs="Arial"/>
          <w:lang w:val="mk-MK"/>
        </w:rPr>
        <w:t>and</w:t>
      </w:r>
      <w:proofErr w:type="spellEnd"/>
      <w:r w:rsidRPr="00B06262">
        <w:rPr>
          <w:rFonts w:ascii="Arial" w:hAnsi="Arial" w:cs="Arial"/>
          <w:lang w:val="mk-MK"/>
        </w:rPr>
        <w:t xml:space="preserve"> </w:t>
      </w:r>
      <w:proofErr w:type="spellStart"/>
      <w:r w:rsidRPr="00B06262">
        <w:rPr>
          <w:rFonts w:ascii="Arial" w:hAnsi="Arial" w:cs="Arial"/>
          <w:lang w:val="mk-MK"/>
        </w:rPr>
        <w:t>from</w:t>
      </w:r>
      <w:proofErr w:type="spellEnd"/>
      <w:r w:rsidRPr="00B06262">
        <w:rPr>
          <w:rFonts w:ascii="Arial" w:hAnsi="Arial" w:cs="Arial"/>
          <w:lang w:val="mk-MK"/>
        </w:rPr>
        <w:t xml:space="preserve"> </w:t>
      </w:r>
      <w:proofErr w:type="spellStart"/>
      <w:r w:rsidRPr="00B06262">
        <w:rPr>
          <w:rFonts w:ascii="Arial" w:hAnsi="Arial" w:cs="Arial"/>
          <w:lang w:val="mk-MK"/>
        </w:rPr>
        <w:t>its</w:t>
      </w:r>
      <w:proofErr w:type="spellEnd"/>
      <w:r w:rsidRPr="00B06262">
        <w:rPr>
          <w:rFonts w:ascii="Arial" w:hAnsi="Arial" w:cs="Arial"/>
          <w:lang w:val="mk-MK"/>
        </w:rPr>
        <w:t xml:space="preserve"> </w:t>
      </w:r>
      <w:proofErr w:type="spellStart"/>
      <w:r w:rsidRPr="00B06262">
        <w:rPr>
          <w:rFonts w:ascii="Arial" w:hAnsi="Arial" w:cs="Arial"/>
          <w:lang w:val="mk-MK"/>
        </w:rPr>
        <w:t>disposal</w:t>
      </w:r>
      <w:proofErr w:type="spellEnd"/>
      <w:r w:rsidRPr="00B06262">
        <w:rPr>
          <w:rFonts w:ascii="Arial" w:hAnsi="Arial" w:cs="Arial"/>
          <w:lang w:val="mk-MK"/>
        </w:rPr>
        <w:t xml:space="preserve"> </w:t>
      </w:r>
      <w:proofErr w:type="spellStart"/>
      <w:r w:rsidRPr="00B06262">
        <w:rPr>
          <w:rFonts w:ascii="Arial" w:hAnsi="Arial" w:cs="Arial"/>
          <w:lang w:val="mk-MK"/>
        </w:rPr>
        <w:t>at</w:t>
      </w:r>
      <w:proofErr w:type="spellEnd"/>
      <w:r w:rsidRPr="00B06262">
        <w:rPr>
          <w:rFonts w:ascii="Arial" w:hAnsi="Arial" w:cs="Arial"/>
          <w:lang w:val="mk-MK"/>
        </w:rPr>
        <w:t xml:space="preserve"> </w:t>
      </w:r>
      <w:proofErr w:type="spellStart"/>
      <w:r w:rsidRPr="00B06262">
        <w:rPr>
          <w:rFonts w:ascii="Arial" w:hAnsi="Arial" w:cs="Arial"/>
          <w:lang w:val="mk-MK"/>
        </w:rPr>
        <w:t>the</w:t>
      </w:r>
      <w:proofErr w:type="spellEnd"/>
      <w:r w:rsidRPr="00B06262">
        <w:rPr>
          <w:rFonts w:ascii="Arial" w:hAnsi="Arial" w:cs="Arial"/>
          <w:lang w:val="mk-MK"/>
        </w:rPr>
        <w:t xml:space="preserve"> </w:t>
      </w:r>
      <w:proofErr w:type="spellStart"/>
      <w:r w:rsidRPr="00B06262">
        <w:rPr>
          <w:rFonts w:ascii="Arial" w:hAnsi="Arial" w:cs="Arial"/>
          <w:lang w:val="mk-MK"/>
        </w:rPr>
        <w:t>end</w:t>
      </w:r>
      <w:proofErr w:type="spellEnd"/>
      <w:r w:rsidRPr="00B06262">
        <w:rPr>
          <w:rFonts w:ascii="Arial" w:hAnsi="Arial" w:cs="Arial"/>
          <w:lang w:val="mk-MK"/>
        </w:rPr>
        <w:t xml:space="preserve"> </w:t>
      </w:r>
      <w:proofErr w:type="spellStart"/>
      <w:r w:rsidRPr="00B06262">
        <w:rPr>
          <w:rFonts w:ascii="Arial" w:hAnsi="Arial" w:cs="Arial"/>
          <w:lang w:val="mk-MK"/>
        </w:rPr>
        <w:t>of</w:t>
      </w:r>
      <w:proofErr w:type="spellEnd"/>
      <w:r w:rsidRPr="00B06262">
        <w:rPr>
          <w:rFonts w:ascii="Arial" w:hAnsi="Arial" w:cs="Arial"/>
          <w:lang w:val="mk-MK"/>
        </w:rPr>
        <w:t xml:space="preserve"> </w:t>
      </w:r>
      <w:proofErr w:type="spellStart"/>
      <w:r w:rsidRPr="00B06262">
        <w:rPr>
          <w:rFonts w:ascii="Arial" w:hAnsi="Arial" w:cs="Arial"/>
          <w:lang w:val="mk-MK"/>
        </w:rPr>
        <w:t>its</w:t>
      </w:r>
      <w:proofErr w:type="spellEnd"/>
      <w:r w:rsidRPr="00B06262">
        <w:rPr>
          <w:rFonts w:ascii="Arial" w:hAnsi="Arial" w:cs="Arial"/>
          <w:lang w:val="mk-MK"/>
        </w:rPr>
        <w:t xml:space="preserve"> </w:t>
      </w:r>
      <w:proofErr w:type="spellStart"/>
      <w:r w:rsidRPr="00B06262">
        <w:rPr>
          <w:rFonts w:ascii="Arial" w:hAnsi="Arial" w:cs="Arial"/>
          <w:lang w:val="mk-MK"/>
        </w:rPr>
        <w:t>useful</w:t>
      </w:r>
      <w:proofErr w:type="spellEnd"/>
      <w:r w:rsidRPr="00B06262">
        <w:rPr>
          <w:rFonts w:ascii="Arial" w:hAnsi="Arial" w:cs="Arial"/>
          <w:lang w:val="mk-MK"/>
        </w:rPr>
        <w:t xml:space="preserve"> </w:t>
      </w:r>
      <w:proofErr w:type="spellStart"/>
      <w:r w:rsidRPr="00B06262">
        <w:rPr>
          <w:rFonts w:ascii="Arial" w:hAnsi="Arial" w:cs="Arial"/>
          <w:lang w:val="mk-MK"/>
        </w:rPr>
        <w:t>life</w:t>
      </w:r>
      <w:proofErr w:type="spellEnd"/>
      <w:r w:rsidRPr="00B06262">
        <w:rPr>
          <w:rFonts w:ascii="Arial" w:hAnsi="Arial" w:cs="Arial"/>
          <w:lang w:val="mk-MK"/>
        </w:rPr>
        <w:t xml:space="preserve">. </w:t>
      </w:r>
      <w:proofErr w:type="spellStart"/>
      <w:r w:rsidRPr="00B06262">
        <w:rPr>
          <w:rFonts w:ascii="Arial" w:hAnsi="Arial" w:cs="Arial"/>
          <w:lang w:val="mk-MK"/>
        </w:rPr>
        <w:t>Recoverable</w:t>
      </w:r>
      <w:proofErr w:type="spellEnd"/>
      <w:r w:rsidRPr="00B06262">
        <w:rPr>
          <w:rFonts w:ascii="Arial" w:hAnsi="Arial" w:cs="Arial"/>
          <w:lang w:val="mk-MK"/>
        </w:rPr>
        <w:t xml:space="preserve"> </w:t>
      </w:r>
      <w:proofErr w:type="spellStart"/>
      <w:r w:rsidRPr="00B06262">
        <w:rPr>
          <w:rFonts w:ascii="Arial" w:hAnsi="Arial" w:cs="Arial"/>
          <w:lang w:val="mk-MK"/>
        </w:rPr>
        <w:t>amounts</w:t>
      </w:r>
      <w:proofErr w:type="spellEnd"/>
      <w:r w:rsidRPr="00B06262">
        <w:rPr>
          <w:rFonts w:ascii="Arial" w:hAnsi="Arial" w:cs="Arial"/>
          <w:lang w:val="mk-MK"/>
        </w:rPr>
        <w:t xml:space="preserve"> </w:t>
      </w:r>
      <w:proofErr w:type="spellStart"/>
      <w:r w:rsidRPr="00B06262">
        <w:rPr>
          <w:rFonts w:ascii="Arial" w:hAnsi="Arial" w:cs="Arial"/>
          <w:lang w:val="mk-MK"/>
        </w:rPr>
        <w:t>are</w:t>
      </w:r>
      <w:proofErr w:type="spellEnd"/>
      <w:r w:rsidRPr="00B06262">
        <w:rPr>
          <w:rFonts w:ascii="Arial" w:hAnsi="Arial" w:cs="Arial"/>
          <w:lang w:val="mk-MK"/>
        </w:rPr>
        <w:t xml:space="preserve"> </w:t>
      </w:r>
      <w:proofErr w:type="spellStart"/>
      <w:r w:rsidRPr="00B06262">
        <w:rPr>
          <w:rFonts w:ascii="Arial" w:hAnsi="Arial" w:cs="Arial"/>
          <w:lang w:val="mk-MK"/>
        </w:rPr>
        <w:t>estimated</w:t>
      </w:r>
      <w:proofErr w:type="spellEnd"/>
      <w:r w:rsidRPr="00B06262">
        <w:rPr>
          <w:rFonts w:ascii="Arial" w:hAnsi="Arial" w:cs="Arial"/>
          <w:lang w:val="mk-MK"/>
        </w:rPr>
        <w:t xml:space="preserve"> </w:t>
      </w:r>
      <w:proofErr w:type="spellStart"/>
      <w:r w:rsidRPr="00B06262">
        <w:rPr>
          <w:rFonts w:ascii="Arial" w:hAnsi="Arial" w:cs="Arial"/>
          <w:lang w:val="mk-MK"/>
        </w:rPr>
        <w:t>for</w:t>
      </w:r>
      <w:proofErr w:type="spellEnd"/>
      <w:r w:rsidRPr="00B06262">
        <w:rPr>
          <w:rFonts w:ascii="Arial" w:hAnsi="Arial" w:cs="Arial"/>
          <w:lang w:val="mk-MK"/>
        </w:rPr>
        <w:t xml:space="preserve"> </w:t>
      </w:r>
      <w:proofErr w:type="spellStart"/>
      <w:r w:rsidRPr="00B06262">
        <w:rPr>
          <w:rFonts w:ascii="Arial" w:hAnsi="Arial" w:cs="Arial"/>
          <w:lang w:val="mk-MK"/>
        </w:rPr>
        <w:t>individual</w:t>
      </w:r>
      <w:proofErr w:type="spellEnd"/>
      <w:r w:rsidRPr="00B06262">
        <w:rPr>
          <w:rFonts w:ascii="Arial" w:hAnsi="Arial" w:cs="Arial"/>
          <w:lang w:val="mk-MK"/>
        </w:rPr>
        <w:t xml:space="preserve"> </w:t>
      </w:r>
      <w:proofErr w:type="spellStart"/>
      <w:r w:rsidRPr="00B06262">
        <w:rPr>
          <w:rFonts w:ascii="Arial" w:hAnsi="Arial" w:cs="Arial"/>
          <w:lang w:val="mk-MK"/>
        </w:rPr>
        <w:t>assets</w:t>
      </w:r>
      <w:proofErr w:type="spellEnd"/>
      <w:r w:rsidRPr="00B06262">
        <w:rPr>
          <w:rFonts w:ascii="Arial" w:hAnsi="Arial" w:cs="Arial"/>
          <w:lang w:val="mk-MK"/>
        </w:rPr>
        <w:t xml:space="preserve"> </w:t>
      </w:r>
      <w:proofErr w:type="spellStart"/>
      <w:r w:rsidRPr="00B06262">
        <w:rPr>
          <w:rFonts w:ascii="Arial" w:hAnsi="Arial" w:cs="Arial"/>
          <w:lang w:val="mk-MK"/>
        </w:rPr>
        <w:t>or</w:t>
      </w:r>
      <w:proofErr w:type="spellEnd"/>
      <w:r w:rsidRPr="00B06262">
        <w:rPr>
          <w:rFonts w:ascii="Arial" w:hAnsi="Arial" w:cs="Arial"/>
          <w:lang w:val="mk-MK"/>
        </w:rPr>
        <w:t xml:space="preserve">, </w:t>
      </w:r>
      <w:proofErr w:type="spellStart"/>
      <w:r w:rsidRPr="00B06262">
        <w:rPr>
          <w:rFonts w:ascii="Arial" w:hAnsi="Arial" w:cs="Arial"/>
          <w:lang w:val="mk-MK"/>
        </w:rPr>
        <w:t>if</w:t>
      </w:r>
      <w:proofErr w:type="spellEnd"/>
      <w:r w:rsidRPr="00B06262">
        <w:rPr>
          <w:rFonts w:ascii="Arial" w:hAnsi="Arial" w:cs="Arial"/>
          <w:lang w:val="mk-MK"/>
        </w:rPr>
        <w:t xml:space="preserve"> </w:t>
      </w:r>
      <w:proofErr w:type="spellStart"/>
      <w:r w:rsidRPr="00B06262">
        <w:rPr>
          <w:rFonts w:ascii="Arial" w:hAnsi="Arial" w:cs="Arial"/>
          <w:lang w:val="mk-MK"/>
        </w:rPr>
        <w:t>it</w:t>
      </w:r>
      <w:proofErr w:type="spellEnd"/>
      <w:r w:rsidRPr="00B06262">
        <w:rPr>
          <w:rFonts w:ascii="Arial" w:hAnsi="Arial" w:cs="Arial"/>
          <w:lang w:val="mk-MK"/>
        </w:rPr>
        <w:t xml:space="preserve"> </w:t>
      </w:r>
      <w:proofErr w:type="spellStart"/>
      <w:r w:rsidRPr="00B06262">
        <w:rPr>
          <w:rFonts w:ascii="Arial" w:hAnsi="Arial" w:cs="Arial"/>
          <w:lang w:val="mk-MK"/>
        </w:rPr>
        <w:t>is</w:t>
      </w:r>
      <w:proofErr w:type="spellEnd"/>
      <w:r w:rsidRPr="00B06262">
        <w:rPr>
          <w:rFonts w:ascii="Arial" w:hAnsi="Arial" w:cs="Arial"/>
          <w:lang w:val="mk-MK"/>
        </w:rPr>
        <w:t xml:space="preserve"> </w:t>
      </w:r>
      <w:proofErr w:type="spellStart"/>
      <w:r w:rsidRPr="00B06262">
        <w:rPr>
          <w:rFonts w:ascii="Arial" w:hAnsi="Arial" w:cs="Arial"/>
          <w:lang w:val="mk-MK"/>
        </w:rPr>
        <w:t>not</w:t>
      </w:r>
      <w:proofErr w:type="spellEnd"/>
      <w:r w:rsidRPr="00B06262">
        <w:rPr>
          <w:rFonts w:ascii="Arial" w:hAnsi="Arial" w:cs="Arial"/>
          <w:lang w:val="mk-MK"/>
        </w:rPr>
        <w:t xml:space="preserve"> </w:t>
      </w:r>
      <w:proofErr w:type="spellStart"/>
      <w:r w:rsidRPr="00B06262">
        <w:rPr>
          <w:rFonts w:ascii="Arial" w:hAnsi="Arial" w:cs="Arial"/>
          <w:lang w:val="mk-MK"/>
        </w:rPr>
        <w:t>possible</w:t>
      </w:r>
      <w:proofErr w:type="spellEnd"/>
      <w:r w:rsidRPr="00B06262">
        <w:rPr>
          <w:rFonts w:ascii="Arial" w:hAnsi="Arial" w:cs="Arial"/>
          <w:lang w:val="mk-MK"/>
        </w:rPr>
        <w:t xml:space="preserve">, </w:t>
      </w:r>
      <w:proofErr w:type="spellStart"/>
      <w:r w:rsidRPr="00B06262">
        <w:rPr>
          <w:rFonts w:ascii="Arial" w:hAnsi="Arial" w:cs="Arial"/>
          <w:lang w:val="mk-MK"/>
        </w:rPr>
        <w:t>for</w:t>
      </w:r>
      <w:proofErr w:type="spellEnd"/>
      <w:r w:rsidRPr="00B06262">
        <w:rPr>
          <w:rFonts w:ascii="Arial" w:hAnsi="Arial" w:cs="Arial"/>
          <w:lang w:val="mk-MK"/>
        </w:rPr>
        <w:t xml:space="preserve"> </w:t>
      </w:r>
      <w:proofErr w:type="spellStart"/>
      <w:r w:rsidRPr="00B06262">
        <w:rPr>
          <w:rFonts w:ascii="Arial" w:hAnsi="Arial" w:cs="Arial"/>
          <w:lang w:val="mk-MK"/>
        </w:rPr>
        <w:t>the</w:t>
      </w:r>
      <w:proofErr w:type="spellEnd"/>
      <w:r w:rsidRPr="00B06262">
        <w:rPr>
          <w:rFonts w:ascii="Arial" w:hAnsi="Arial" w:cs="Arial"/>
          <w:lang w:val="mk-MK"/>
        </w:rPr>
        <w:t xml:space="preserve"> </w:t>
      </w:r>
      <w:proofErr w:type="spellStart"/>
      <w:r w:rsidRPr="00B06262">
        <w:rPr>
          <w:rFonts w:ascii="Arial" w:hAnsi="Arial" w:cs="Arial"/>
          <w:lang w:val="mk-MK"/>
        </w:rPr>
        <w:t>cash-generating</w:t>
      </w:r>
      <w:proofErr w:type="spellEnd"/>
      <w:r w:rsidRPr="00B06262">
        <w:rPr>
          <w:rFonts w:ascii="Arial" w:hAnsi="Arial" w:cs="Arial"/>
          <w:lang w:val="mk-MK"/>
        </w:rPr>
        <w:t xml:space="preserve"> </w:t>
      </w:r>
      <w:proofErr w:type="spellStart"/>
      <w:r w:rsidRPr="00B06262">
        <w:rPr>
          <w:rFonts w:ascii="Arial" w:hAnsi="Arial" w:cs="Arial"/>
          <w:lang w:val="mk-MK"/>
        </w:rPr>
        <w:t>unit</w:t>
      </w:r>
      <w:proofErr w:type="spellEnd"/>
      <w:r w:rsidRPr="00B06262">
        <w:rPr>
          <w:rFonts w:ascii="Arial" w:hAnsi="Arial" w:cs="Arial"/>
          <w:lang w:val="mk-MK"/>
        </w:rPr>
        <w:t>.</w:t>
      </w:r>
    </w:p>
    <w:p w14:paraId="4ED23808" w14:textId="77777777" w:rsidR="00FD06BB" w:rsidRPr="001E6526" w:rsidRDefault="00FD06BB" w:rsidP="00FD06BB">
      <w:pPr>
        <w:pStyle w:val="BodyText"/>
        <w:jc w:val="both"/>
        <w:rPr>
          <w:rFonts w:ascii="Arial" w:hAnsi="Arial" w:cs="Arial"/>
          <w:lang w:val="mk-MK"/>
        </w:rPr>
      </w:pPr>
    </w:p>
    <w:p w14:paraId="71BC7261" w14:textId="77777777" w:rsidR="00FD06BB" w:rsidRPr="00CE3053" w:rsidRDefault="00FD06BB" w:rsidP="00FD06BB">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sidRPr="00CE3053">
        <w:rPr>
          <w:rFonts w:ascii="Arial" w:hAnsi="Arial" w:cs="Arial"/>
          <w:b/>
          <w:color w:val="4F2D7F"/>
          <w:sz w:val="18"/>
          <w:lang w:val="mk-MK"/>
        </w:rPr>
        <w:t xml:space="preserve"> </w:t>
      </w:r>
      <w:r>
        <w:rPr>
          <w:rFonts w:ascii="Arial" w:hAnsi="Arial" w:cs="Arial"/>
          <w:b/>
          <w:color w:val="4F2D7F"/>
          <w:sz w:val="18"/>
          <w:lang w:val="en-US"/>
        </w:rPr>
        <w:t xml:space="preserve">Cash and cash </w:t>
      </w:r>
      <w:proofErr w:type="spellStart"/>
      <w:r>
        <w:rPr>
          <w:rFonts w:ascii="Arial" w:hAnsi="Arial" w:cs="Arial"/>
          <w:b/>
          <w:color w:val="4F2D7F"/>
          <w:sz w:val="18"/>
          <w:lang w:val="en-US"/>
        </w:rPr>
        <w:t>equvalents</w:t>
      </w:r>
      <w:proofErr w:type="spellEnd"/>
    </w:p>
    <w:p w14:paraId="657CED85" w14:textId="77777777" w:rsidR="00FD06BB" w:rsidRDefault="00FD06BB" w:rsidP="00FD06BB">
      <w:pPr>
        <w:pStyle w:val="BodyText"/>
        <w:jc w:val="both"/>
        <w:rPr>
          <w:rFonts w:ascii="Arial" w:hAnsi="Arial" w:cs="Arial"/>
          <w:lang w:val="mk-MK"/>
        </w:rPr>
      </w:pPr>
      <w:proofErr w:type="spellStart"/>
      <w:r w:rsidRPr="005833FA">
        <w:rPr>
          <w:rFonts w:ascii="Arial" w:hAnsi="Arial" w:cs="Arial"/>
          <w:lang w:val="mk-MK"/>
        </w:rPr>
        <w:t>For</w:t>
      </w:r>
      <w:proofErr w:type="spellEnd"/>
      <w:r w:rsidRPr="005833FA">
        <w:rPr>
          <w:rFonts w:ascii="Arial" w:hAnsi="Arial" w:cs="Arial"/>
          <w:lang w:val="mk-MK"/>
        </w:rPr>
        <w:t xml:space="preserve"> </w:t>
      </w:r>
      <w:proofErr w:type="spellStart"/>
      <w:r w:rsidRPr="005833FA">
        <w:rPr>
          <w:rFonts w:ascii="Arial" w:hAnsi="Arial" w:cs="Arial"/>
          <w:lang w:val="mk-MK"/>
        </w:rPr>
        <w:t>the</w:t>
      </w:r>
      <w:proofErr w:type="spellEnd"/>
      <w:r w:rsidRPr="005833FA">
        <w:rPr>
          <w:rFonts w:ascii="Arial" w:hAnsi="Arial" w:cs="Arial"/>
          <w:lang w:val="mk-MK"/>
        </w:rPr>
        <w:t xml:space="preserve"> </w:t>
      </w:r>
      <w:proofErr w:type="spellStart"/>
      <w:r w:rsidRPr="005833FA">
        <w:rPr>
          <w:rFonts w:ascii="Arial" w:hAnsi="Arial" w:cs="Arial"/>
          <w:lang w:val="mk-MK"/>
        </w:rPr>
        <w:t>purposes</w:t>
      </w:r>
      <w:proofErr w:type="spellEnd"/>
      <w:r w:rsidRPr="005833FA">
        <w:rPr>
          <w:rFonts w:ascii="Arial" w:hAnsi="Arial" w:cs="Arial"/>
          <w:lang w:val="mk-MK"/>
        </w:rPr>
        <w:t xml:space="preserve"> </w:t>
      </w:r>
      <w:proofErr w:type="spellStart"/>
      <w:r w:rsidRPr="005833FA">
        <w:rPr>
          <w:rFonts w:ascii="Arial" w:hAnsi="Arial" w:cs="Arial"/>
          <w:lang w:val="mk-MK"/>
        </w:rPr>
        <w:t>of</w:t>
      </w:r>
      <w:proofErr w:type="spellEnd"/>
      <w:r w:rsidRPr="005833FA">
        <w:rPr>
          <w:rFonts w:ascii="Arial" w:hAnsi="Arial" w:cs="Arial"/>
          <w:lang w:val="mk-MK"/>
        </w:rPr>
        <w:t xml:space="preserve"> </w:t>
      </w:r>
      <w:proofErr w:type="spellStart"/>
      <w:r w:rsidRPr="005833FA">
        <w:rPr>
          <w:rFonts w:ascii="Arial" w:hAnsi="Arial" w:cs="Arial"/>
          <w:lang w:val="mk-MK"/>
        </w:rPr>
        <w:t>the</w:t>
      </w:r>
      <w:proofErr w:type="spellEnd"/>
      <w:r w:rsidRPr="005833FA">
        <w:rPr>
          <w:rFonts w:ascii="Arial" w:hAnsi="Arial" w:cs="Arial"/>
          <w:lang w:val="mk-MK"/>
        </w:rPr>
        <w:t xml:space="preserve"> </w:t>
      </w:r>
      <w:proofErr w:type="spellStart"/>
      <w:r w:rsidRPr="005833FA">
        <w:rPr>
          <w:rFonts w:ascii="Arial" w:hAnsi="Arial" w:cs="Arial"/>
          <w:lang w:val="mk-MK"/>
        </w:rPr>
        <w:t>Statement</w:t>
      </w:r>
      <w:proofErr w:type="spellEnd"/>
      <w:r w:rsidRPr="005833FA">
        <w:rPr>
          <w:rFonts w:ascii="Arial" w:hAnsi="Arial" w:cs="Arial"/>
          <w:lang w:val="mk-MK"/>
        </w:rPr>
        <w:t xml:space="preserve"> </w:t>
      </w:r>
      <w:proofErr w:type="spellStart"/>
      <w:r w:rsidRPr="005833FA">
        <w:rPr>
          <w:rFonts w:ascii="Arial" w:hAnsi="Arial" w:cs="Arial"/>
          <w:lang w:val="mk-MK"/>
        </w:rPr>
        <w:t>of</w:t>
      </w:r>
      <w:proofErr w:type="spellEnd"/>
      <w:r w:rsidRPr="005833FA">
        <w:rPr>
          <w:rFonts w:ascii="Arial" w:hAnsi="Arial" w:cs="Arial"/>
          <w:lang w:val="mk-MK"/>
        </w:rPr>
        <w:t xml:space="preserve"> </w:t>
      </w:r>
      <w:proofErr w:type="spellStart"/>
      <w:r w:rsidRPr="005833FA">
        <w:rPr>
          <w:rFonts w:ascii="Arial" w:hAnsi="Arial" w:cs="Arial"/>
          <w:lang w:val="mk-MK"/>
        </w:rPr>
        <w:t>cash</w:t>
      </w:r>
      <w:proofErr w:type="spellEnd"/>
      <w:r w:rsidRPr="005833FA">
        <w:rPr>
          <w:rFonts w:ascii="Arial" w:hAnsi="Arial" w:cs="Arial"/>
          <w:lang w:val="mk-MK"/>
        </w:rPr>
        <w:t xml:space="preserve"> </w:t>
      </w:r>
      <w:proofErr w:type="spellStart"/>
      <w:r w:rsidRPr="005833FA">
        <w:rPr>
          <w:rFonts w:ascii="Arial" w:hAnsi="Arial" w:cs="Arial"/>
          <w:lang w:val="mk-MK"/>
        </w:rPr>
        <w:t>flow</w:t>
      </w:r>
      <w:proofErr w:type="spellEnd"/>
      <w:r w:rsidRPr="005833FA">
        <w:rPr>
          <w:rFonts w:ascii="Arial" w:hAnsi="Arial" w:cs="Arial"/>
          <w:lang w:val="mk-MK"/>
        </w:rPr>
        <w:t xml:space="preserve">, </w:t>
      </w:r>
      <w:proofErr w:type="spellStart"/>
      <w:r w:rsidRPr="005833FA">
        <w:rPr>
          <w:rFonts w:ascii="Arial" w:hAnsi="Arial" w:cs="Arial"/>
          <w:lang w:val="mk-MK"/>
        </w:rPr>
        <w:t>cash</w:t>
      </w:r>
      <w:proofErr w:type="spellEnd"/>
      <w:r w:rsidRPr="005833FA">
        <w:rPr>
          <w:rFonts w:ascii="Arial" w:hAnsi="Arial" w:cs="Arial"/>
          <w:lang w:val="mk-MK"/>
        </w:rPr>
        <w:t xml:space="preserve"> </w:t>
      </w:r>
      <w:proofErr w:type="spellStart"/>
      <w:r w:rsidRPr="005833FA">
        <w:rPr>
          <w:rFonts w:ascii="Arial" w:hAnsi="Arial" w:cs="Arial"/>
          <w:lang w:val="mk-MK"/>
        </w:rPr>
        <w:t>and</w:t>
      </w:r>
      <w:proofErr w:type="spellEnd"/>
      <w:r w:rsidRPr="005833FA">
        <w:rPr>
          <w:rFonts w:ascii="Arial" w:hAnsi="Arial" w:cs="Arial"/>
          <w:lang w:val="mk-MK"/>
        </w:rPr>
        <w:t xml:space="preserve"> </w:t>
      </w:r>
      <w:proofErr w:type="spellStart"/>
      <w:r w:rsidRPr="005833FA">
        <w:rPr>
          <w:rFonts w:ascii="Arial" w:hAnsi="Arial" w:cs="Arial"/>
          <w:lang w:val="mk-MK"/>
        </w:rPr>
        <w:t>cash</w:t>
      </w:r>
      <w:proofErr w:type="spellEnd"/>
      <w:r w:rsidRPr="005833FA">
        <w:rPr>
          <w:rFonts w:ascii="Arial" w:hAnsi="Arial" w:cs="Arial"/>
          <w:lang w:val="mk-MK"/>
        </w:rPr>
        <w:t xml:space="preserve"> </w:t>
      </w:r>
      <w:proofErr w:type="spellStart"/>
      <w:r w:rsidRPr="005833FA">
        <w:rPr>
          <w:rFonts w:ascii="Arial" w:hAnsi="Arial" w:cs="Arial"/>
          <w:lang w:val="mk-MK"/>
        </w:rPr>
        <w:t>equivalents</w:t>
      </w:r>
      <w:proofErr w:type="spellEnd"/>
      <w:r w:rsidRPr="005833FA">
        <w:rPr>
          <w:rFonts w:ascii="Arial" w:hAnsi="Arial" w:cs="Arial"/>
          <w:lang w:val="mk-MK"/>
        </w:rPr>
        <w:t xml:space="preserve"> </w:t>
      </w:r>
      <w:proofErr w:type="spellStart"/>
      <w:r w:rsidRPr="005833FA">
        <w:rPr>
          <w:rFonts w:ascii="Arial" w:hAnsi="Arial" w:cs="Arial"/>
          <w:lang w:val="mk-MK"/>
        </w:rPr>
        <w:t>comprise</w:t>
      </w:r>
      <w:proofErr w:type="spellEnd"/>
      <w:r w:rsidRPr="005833FA">
        <w:rPr>
          <w:rFonts w:ascii="Arial" w:hAnsi="Arial" w:cs="Arial"/>
          <w:lang w:val="mk-MK"/>
        </w:rPr>
        <w:t xml:space="preserve"> </w:t>
      </w:r>
      <w:proofErr w:type="spellStart"/>
      <w:r w:rsidRPr="005833FA">
        <w:rPr>
          <w:rFonts w:ascii="Arial" w:hAnsi="Arial" w:cs="Arial"/>
          <w:lang w:val="mk-MK"/>
        </w:rPr>
        <w:t>balances</w:t>
      </w:r>
      <w:proofErr w:type="spellEnd"/>
      <w:r w:rsidRPr="005833FA">
        <w:rPr>
          <w:rFonts w:ascii="Arial" w:hAnsi="Arial" w:cs="Arial"/>
          <w:lang w:val="mk-MK"/>
        </w:rPr>
        <w:t xml:space="preserve"> </w:t>
      </w:r>
      <w:proofErr w:type="spellStart"/>
      <w:r w:rsidRPr="005833FA">
        <w:rPr>
          <w:rFonts w:ascii="Arial" w:hAnsi="Arial" w:cs="Arial"/>
          <w:lang w:val="mk-MK"/>
        </w:rPr>
        <w:t>with</w:t>
      </w:r>
      <w:proofErr w:type="spellEnd"/>
      <w:r w:rsidRPr="005833FA">
        <w:rPr>
          <w:rFonts w:ascii="Arial" w:hAnsi="Arial" w:cs="Arial"/>
          <w:lang w:val="mk-MK"/>
        </w:rPr>
        <w:t xml:space="preserve"> </w:t>
      </w:r>
      <w:proofErr w:type="spellStart"/>
      <w:r w:rsidRPr="005833FA">
        <w:rPr>
          <w:rFonts w:ascii="Arial" w:hAnsi="Arial" w:cs="Arial"/>
          <w:lang w:val="mk-MK"/>
        </w:rPr>
        <w:t>less</w:t>
      </w:r>
      <w:proofErr w:type="spellEnd"/>
      <w:r w:rsidRPr="005833FA">
        <w:rPr>
          <w:rFonts w:ascii="Arial" w:hAnsi="Arial" w:cs="Arial"/>
          <w:lang w:val="mk-MK"/>
        </w:rPr>
        <w:t xml:space="preserve"> </w:t>
      </w:r>
      <w:proofErr w:type="spellStart"/>
      <w:r w:rsidRPr="005833FA">
        <w:rPr>
          <w:rFonts w:ascii="Arial" w:hAnsi="Arial" w:cs="Arial"/>
          <w:lang w:val="mk-MK"/>
        </w:rPr>
        <w:t>than</w:t>
      </w:r>
      <w:proofErr w:type="spellEnd"/>
      <w:r w:rsidRPr="005833FA">
        <w:rPr>
          <w:rFonts w:ascii="Arial" w:hAnsi="Arial" w:cs="Arial"/>
          <w:lang w:val="mk-MK"/>
        </w:rPr>
        <w:t xml:space="preserve"> </w:t>
      </w:r>
      <w:proofErr w:type="spellStart"/>
      <w:r w:rsidRPr="005833FA">
        <w:rPr>
          <w:rFonts w:ascii="Arial" w:hAnsi="Arial" w:cs="Arial"/>
          <w:lang w:val="mk-MK"/>
        </w:rPr>
        <w:t>three</w:t>
      </w:r>
      <w:proofErr w:type="spellEnd"/>
      <w:r w:rsidRPr="005833FA">
        <w:rPr>
          <w:rFonts w:ascii="Arial" w:hAnsi="Arial" w:cs="Arial"/>
          <w:lang w:val="mk-MK"/>
        </w:rPr>
        <w:t xml:space="preserve"> </w:t>
      </w:r>
      <w:proofErr w:type="spellStart"/>
      <w:r w:rsidRPr="005833FA">
        <w:rPr>
          <w:rFonts w:ascii="Arial" w:hAnsi="Arial" w:cs="Arial"/>
          <w:lang w:val="mk-MK"/>
        </w:rPr>
        <w:t>months</w:t>
      </w:r>
      <w:proofErr w:type="spellEnd"/>
      <w:r w:rsidRPr="005833FA">
        <w:rPr>
          <w:rFonts w:ascii="Arial" w:hAnsi="Arial" w:cs="Arial"/>
          <w:lang w:val="mk-MK"/>
        </w:rPr>
        <w:t xml:space="preserve">’ </w:t>
      </w:r>
      <w:proofErr w:type="spellStart"/>
      <w:r w:rsidRPr="005833FA">
        <w:rPr>
          <w:rFonts w:ascii="Arial" w:hAnsi="Arial" w:cs="Arial"/>
          <w:lang w:val="mk-MK"/>
        </w:rPr>
        <w:t>maturity</w:t>
      </w:r>
      <w:proofErr w:type="spellEnd"/>
      <w:r w:rsidRPr="005833FA">
        <w:rPr>
          <w:rFonts w:ascii="Arial" w:hAnsi="Arial" w:cs="Arial"/>
          <w:lang w:val="mk-MK"/>
        </w:rPr>
        <w:t xml:space="preserve"> </w:t>
      </w:r>
      <w:proofErr w:type="spellStart"/>
      <w:r w:rsidRPr="005833FA">
        <w:rPr>
          <w:rFonts w:ascii="Arial" w:hAnsi="Arial" w:cs="Arial"/>
          <w:lang w:val="mk-MK"/>
        </w:rPr>
        <w:t>from</w:t>
      </w:r>
      <w:proofErr w:type="spellEnd"/>
      <w:r w:rsidRPr="005833FA">
        <w:rPr>
          <w:rFonts w:ascii="Arial" w:hAnsi="Arial" w:cs="Arial"/>
          <w:lang w:val="mk-MK"/>
        </w:rPr>
        <w:t xml:space="preserve"> </w:t>
      </w:r>
      <w:proofErr w:type="spellStart"/>
      <w:r w:rsidRPr="005833FA">
        <w:rPr>
          <w:rFonts w:ascii="Arial" w:hAnsi="Arial" w:cs="Arial"/>
          <w:lang w:val="mk-MK"/>
        </w:rPr>
        <w:t>the</w:t>
      </w:r>
      <w:proofErr w:type="spellEnd"/>
      <w:r w:rsidRPr="005833FA">
        <w:rPr>
          <w:rFonts w:ascii="Arial" w:hAnsi="Arial" w:cs="Arial"/>
          <w:lang w:val="mk-MK"/>
        </w:rPr>
        <w:t xml:space="preserve"> </w:t>
      </w:r>
      <w:proofErr w:type="spellStart"/>
      <w:r w:rsidRPr="005833FA">
        <w:rPr>
          <w:rFonts w:ascii="Arial" w:hAnsi="Arial" w:cs="Arial"/>
          <w:lang w:val="mk-MK"/>
        </w:rPr>
        <w:t>date</w:t>
      </w:r>
      <w:proofErr w:type="spellEnd"/>
      <w:r w:rsidRPr="005833FA">
        <w:rPr>
          <w:rFonts w:ascii="Arial" w:hAnsi="Arial" w:cs="Arial"/>
          <w:lang w:val="mk-MK"/>
        </w:rPr>
        <w:t xml:space="preserve"> </w:t>
      </w:r>
      <w:proofErr w:type="spellStart"/>
      <w:r w:rsidRPr="005833FA">
        <w:rPr>
          <w:rFonts w:ascii="Arial" w:hAnsi="Arial" w:cs="Arial"/>
          <w:lang w:val="mk-MK"/>
        </w:rPr>
        <w:t>of</w:t>
      </w:r>
      <w:proofErr w:type="spellEnd"/>
      <w:r w:rsidRPr="005833FA">
        <w:rPr>
          <w:rFonts w:ascii="Arial" w:hAnsi="Arial" w:cs="Arial"/>
          <w:lang w:val="mk-MK"/>
        </w:rPr>
        <w:t xml:space="preserve"> </w:t>
      </w:r>
      <w:proofErr w:type="spellStart"/>
      <w:r w:rsidRPr="005833FA">
        <w:rPr>
          <w:rFonts w:ascii="Arial" w:hAnsi="Arial" w:cs="Arial"/>
          <w:lang w:val="mk-MK"/>
        </w:rPr>
        <w:t>acquisition</w:t>
      </w:r>
      <w:proofErr w:type="spellEnd"/>
      <w:r w:rsidRPr="005833FA">
        <w:rPr>
          <w:rFonts w:ascii="Arial" w:hAnsi="Arial" w:cs="Arial"/>
          <w:lang w:val="mk-MK"/>
        </w:rPr>
        <w:t xml:space="preserve">, </w:t>
      </w:r>
      <w:proofErr w:type="spellStart"/>
      <w:r w:rsidRPr="005833FA">
        <w:rPr>
          <w:rFonts w:ascii="Arial" w:hAnsi="Arial" w:cs="Arial"/>
          <w:lang w:val="mk-MK"/>
        </w:rPr>
        <w:t>including</w:t>
      </w:r>
      <w:proofErr w:type="spellEnd"/>
      <w:r w:rsidRPr="005833FA">
        <w:rPr>
          <w:rFonts w:ascii="Arial" w:hAnsi="Arial" w:cs="Arial"/>
          <w:lang w:val="mk-MK"/>
        </w:rPr>
        <w:t xml:space="preserve"> </w:t>
      </w:r>
      <w:proofErr w:type="spellStart"/>
      <w:r w:rsidRPr="005833FA">
        <w:rPr>
          <w:rFonts w:ascii="Arial" w:hAnsi="Arial" w:cs="Arial"/>
          <w:lang w:val="mk-MK"/>
        </w:rPr>
        <w:t>cash</w:t>
      </w:r>
      <w:proofErr w:type="spellEnd"/>
      <w:r w:rsidRPr="005833FA">
        <w:rPr>
          <w:rFonts w:ascii="Arial" w:hAnsi="Arial" w:cs="Arial"/>
          <w:lang w:val="mk-MK"/>
        </w:rPr>
        <w:t xml:space="preserve"> </w:t>
      </w:r>
      <w:proofErr w:type="spellStart"/>
      <w:r w:rsidRPr="005833FA">
        <w:rPr>
          <w:rFonts w:ascii="Arial" w:hAnsi="Arial" w:cs="Arial"/>
          <w:lang w:val="mk-MK"/>
        </w:rPr>
        <w:t>and</w:t>
      </w:r>
      <w:proofErr w:type="spellEnd"/>
      <w:r w:rsidRPr="005833FA">
        <w:rPr>
          <w:rFonts w:ascii="Arial" w:hAnsi="Arial" w:cs="Arial"/>
          <w:lang w:val="mk-MK"/>
        </w:rPr>
        <w:t xml:space="preserve"> </w:t>
      </w:r>
      <w:proofErr w:type="spellStart"/>
      <w:r w:rsidRPr="005833FA">
        <w:rPr>
          <w:rFonts w:ascii="Arial" w:hAnsi="Arial" w:cs="Arial"/>
          <w:lang w:val="mk-MK"/>
        </w:rPr>
        <w:t>balances</w:t>
      </w:r>
      <w:proofErr w:type="spellEnd"/>
      <w:r w:rsidRPr="005833FA">
        <w:rPr>
          <w:rFonts w:ascii="Arial" w:hAnsi="Arial" w:cs="Arial"/>
          <w:lang w:val="mk-MK"/>
        </w:rPr>
        <w:t xml:space="preserve"> </w:t>
      </w:r>
      <w:proofErr w:type="spellStart"/>
      <w:r w:rsidRPr="005833FA">
        <w:rPr>
          <w:rFonts w:ascii="Arial" w:hAnsi="Arial" w:cs="Arial"/>
          <w:lang w:val="mk-MK"/>
        </w:rPr>
        <w:t>with</w:t>
      </w:r>
      <w:proofErr w:type="spellEnd"/>
      <w:r w:rsidRPr="005833FA">
        <w:rPr>
          <w:rFonts w:ascii="Arial" w:hAnsi="Arial" w:cs="Arial"/>
          <w:lang w:val="mk-MK"/>
        </w:rPr>
        <w:t xml:space="preserve"> </w:t>
      </w:r>
      <w:proofErr w:type="spellStart"/>
      <w:r w:rsidRPr="005833FA">
        <w:rPr>
          <w:rFonts w:ascii="Arial" w:hAnsi="Arial" w:cs="Arial"/>
          <w:lang w:val="mk-MK"/>
        </w:rPr>
        <w:t>the</w:t>
      </w:r>
      <w:proofErr w:type="spellEnd"/>
      <w:r w:rsidRPr="005833FA">
        <w:rPr>
          <w:rFonts w:ascii="Arial" w:hAnsi="Arial" w:cs="Arial"/>
          <w:lang w:val="mk-MK"/>
        </w:rPr>
        <w:t xml:space="preserve"> </w:t>
      </w:r>
      <w:proofErr w:type="spellStart"/>
      <w:r w:rsidRPr="005833FA">
        <w:rPr>
          <w:rFonts w:ascii="Arial" w:hAnsi="Arial" w:cs="Arial"/>
          <w:lang w:val="mk-MK"/>
        </w:rPr>
        <w:t>National</w:t>
      </w:r>
      <w:proofErr w:type="spellEnd"/>
      <w:r w:rsidRPr="005833FA">
        <w:rPr>
          <w:rFonts w:ascii="Arial" w:hAnsi="Arial" w:cs="Arial"/>
          <w:lang w:val="mk-MK"/>
        </w:rPr>
        <w:t xml:space="preserve"> </w:t>
      </w:r>
      <w:proofErr w:type="spellStart"/>
      <w:r w:rsidRPr="005833FA">
        <w:rPr>
          <w:rFonts w:ascii="Arial" w:hAnsi="Arial" w:cs="Arial"/>
          <w:lang w:val="mk-MK"/>
        </w:rPr>
        <w:t>Bank</w:t>
      </w:r>
      <w:proofErr w:type="spellEnd"/>
      <w:r w:rsidRPr="005833FA">
        <w:rPr>
          <w:rFonts w:ascii="Arial" w:hAnsi="Arial" w:cs="Arial"/>
          <w:lang w:val="mk-MK"/>
        </w:rPr>
        <w:t xml:space="preserve"> </w:t>
      </w:r>
      <w:proofErr w:type="spellStart"/>
      <w:r w:rsidRPr="005833FA">
        <w:rPr>
          <w:rFonts w:ascii="Arial" w:hAnsi="Arial" w:cs="Arial"/>
          <w:lang w:val="mk-MK"/>
        </w:rPr>
        <w:t>and</w:t>
      </w:r>
      <w:proofErr w:type="spellEnd"/>
      <w:r w:rsidRPr="005833FA">
        <w:rPr>
          <w:rFonts w:ascii="Arial" w:hAnsi="Arial" w:cs="Arial"/>
          <w:lang w:val="mk-MK"/>
        </w:rPr>
        <w:t xml:space="preserve"> </w:t>
      </w:r>
      <w:proofErr w:type="spellStart"/>
      <w:r w:rsidRPr="005833FA">
        <w:rPr>
          <w:rFonts w:ascii="Arial" w:hAnsi="Arial" w:cs="Arial"/>
          <w:lang w:val="mk-MK"/>
        </w:rPr>
        <w:t>in</w:t>
      </w:r>
      <w:proofErr w:type="spellEnd"/>
      <w:r w:rsidRPr="005833FA">
        <w:rPr>
          <w:rFonts w:ascii="Arial" w:hAnsi="Arial" w:cs="Arial"/>
          <w:lang w:val="mk-MK"/>
        </w:rPr>
        <w:t xml:space="preserve"> </w:t>
      </w:r>
      <w:proofErr w:type="spellStart"/>
      <w:r w:rsidRPr="005833FA">
        <w:rPr>
          <w:rFonts w:ascii="Arial" w:hAnsi="Arial" w:cs="Arial"/>
          <w:lang w:val="mk-MK"/>
        </w:rPr>
        <w:t>commercial</w:t>
      </w:r>
      <w:proofErr w:type="spellEnd"/>
      <w:r w:rsidRPr="005833FA">
        <w:rPr>
          <w:rFonts w:ascii="Arial" w:hAnsi="Arial" w:cs="Arial"/>
          <w:lang w:val="mk-MK"/>
        </w:rPr>
        <w:t xml:space="preserve"> </w:t>
      </w:r>
      <w:proofErr w:type="spellStart"/>
      <w:r w:rsidRPr="005833FA">
        <w:rPr>
          <w:rFonts w:ascii="Arial" w:hAnsi="Arial" w:cs="Arial"/>
          <w:lang w:val="mk-MK"/>
        </w:rPr>
        <w:t>banks</w:t>
      </w:r>
      <w:proofErr w:type="spellEnd"/>
      <w:r w:rsidRPr="005833FA">
        <w:rPr>
          <w:rFonts w:ascii="Arial" w:hAnsi="Arial" w:cs="Arial"/>
          <w:lang w:val="mk-MK"/>
        </w:rPr>
        <w:t>.</w:t>
      </w:r>
    </w:p>
    <w:p w14:paraId="04B0F1F1" w14:textId="77777777" w:rsidR="00FD06BB" w:rsidRPr="001E6526" w:rsidRDefault="00FD06BB" w:rsidP="00FD06BB">
      <w:pPr>
        <w:pStyle w:val="BodyText"/>
        <w:jc w:val="both"/>
        <w:rPr>
          <w:rFonts w:ascii="Arial" w:hAnsi="Arial" w:cs="Arial"/>
          <w:lang w:val="mk-MK"/>
        </w:rPr>
      </w:pPr>
    </w:p>
    <w:p w14:paraId="133E703D" w14:textId="77777777" w:rsidR="00FD06BB" w:rsidRPr="00CE3053" w:rsidRDefault="00FD06BB" w:rsidP="00FD06BB">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sidRPr="00CE3053">
        <w:rPr>
          <w:rFonts w:ascii="Arial" w:hAnsi="Arial" w:cs="Arial"/>
          <w:b/>
          <w:color w:val="4F2D7F"/>
          <w:sz w:val="18"/>
          <w:lang w:val="mk-MK"/>
        </w:rPr>
        <w:t xml:space="preserve"> </w:t>
      </w:r>
      <w:r>
        <w:rPr>
          <w:rFonts w:ascii="Arial" w:hAnsi="Arial" w:cs="Arial"/>
          <w:b/>
          <w:color w:val="4F2D7F"/>
          <w:sz w:val="18"/>
          <w:lang w:val="en-US"/>
        </w:rPr>
        <w:t>Deposit insurance premium</w:t>
      </w:r>
    </w:p>
    <w:p w14:paraId="5D6484CA" w14:textId="77777777" w:rsidR="00FD06BB" w:rsidRPr="001E6526" w:rsidRDefault="00FD06BB" w:rsidP="00FD06BB">
      <w:pPr>
        <w:pStyle w:val="BodyText"/>
        <w:jc w:val="both"/>
        <w:rPr>
          <w:rFonts w:ascii="Arial" w:hAnsi="Arial" w:cs="Arial"/>
          <w:lang w:val="mk-MK"/>
        </w:rPr>
      </w:pPr>
      <w:proofErr w:type="spellStart"/>
      <w:r w:rsidRPr="00AA64B1">
        <w:rPr>
          <w:rFonts w:ascii="Arial" w:hAnsi="Arial" w:cs="Arial"/>
          <w:lang w:val="mk-MK"/>
        </w:rPr>
        <w:t>The</w:t>
      </w:r>
      <w:proofErr w:type="spellEnd"/>
      <w:r w:rsidRPr="00AA64B1">
        <w:rPr>
          <w:rFonts w:ascii="Arial" w:hAnsi="Arial" w:cs="Arial"/>
          <w:lang w:val="mk-MK"/>
        </w:rPr>
        <w:t xml:space="preserve"> </w:t>
      </w:r>
      <w:proofErr w:type="spellStart"/>
      <w:r w:rsidRPr="00AA64B1">
        <w:rPr>
          <w:rFonts w:ascii="Arial" w:hAnsi="Arial" w:cs="Arial"/>
          <w:lang w:val="mk-MK"/>
        </w:rPr>
        <w:t>deposit</w:t>
      </w:r>
      <w:proofErr w:type="spellEnd"/>
      <w:r w:rsidRPr="00AA64B1">
        <w:rPr>
          <w:rFonts w:ascii="Arial" w:hAnsi="Arial" w:cs="Arial"/>
          <w:lang w:val="mk-MK"/>
        </w:rPr>
        <w:t xml:space="preserve"> </w:t>
      </w:r>
      <w:proofErr w:type="spellStart"/>
      <w:r w:rsidRPr="00AA64B1">
        <w:rPr>
          <w:rFonts w:ascii="Arial" w:hAnsi="Arial" w:cs="Arial"/>
          <w:lang w:val="mk-MK"/>
        </w:rPr>
        <w:t>insurance</w:t>
      </w:r>
      <w:proofErr w:type="spellEnd"/>
      <w:r w:rsidRPr="00AA64B1">
        <w:rPr>
          <w:rFonts w:ascii="Arial" w:hAnsi="Arial" w:cs="Arial"/>
          <w:lang w:val="mk-MK"/>
        </w:rPr>
        <w:t xml:space="preserve"> </w:t>
      </w:r>
      <w:proofErr w:type="spellStart"/>
      <w:r w:rsidRPr="00AA64B1">
        <w:rPr>
          <w:rFonts w:ascii="Arial" w:hAnsi="Arial" w:cs="Arial"/>
          <w:lang w:val="mk-MK"/>
        </w:rPr>
        <w:t>premium</w:t>
      </w:r>
      <w:proofErr w:type="spellEnd"/>
      <w:r w:rsidRPr="00AA64B1">
        <w:rPr>
          <w:rFonts w:ascii="Arial" w:hAnsi="Arial" w:cs="Arial"/>
          <w:lang w:val="mk-MK"/>
        </w:rPr>
        <w:t xml:space="preserve"> </w:t>
      </w:r>
      <w:proofErr w:type="spellStart"/>
      <w:r w:rsidRPr="00AA64B1">
        <w:rPr>
          <w:rFonts w:ascii="Arial" w:hAnsi="Arial" w:cs="Arial"/>
          <w:lang w:val="mk-MK"/>
        </w:rPr>
        <w:t>which</w:t>
      </w:r>
      <w:proofErr w:type="spellEnd"/>
      <w:r w:rsidRPr="00AA64B1">
        <w:rPr>
          <w:rFonts w:ascii="Arial" w:hAnsi="Arial" w:cs="Arial"/>
          <w:lang w:val="mk-MK"/>
        </w:rPr>
        <w:t xml:space="preserve"> </w:t>
      </w:r>
      <w:proofErr w:type="spellStart"/>
      <w:r w:rsidRPr="00AA64B1">
        <w:rPr>
          <w:rFonts w:ascii="Arial" w:hAnsi="Arial" w:cs="Arial"/>
          <w:lang w:val="mk-MK"/>
        </w:rPr>
        <w:t>is</w:t>
      </w:r>
      <w:proofErr w:type="spellEnd"/>
      <w:r w:rsidRPr="00AA64B1">
        <w:rPr>
          <w:rFonts w:ascii="Arial" w:hAnsi="Arial" w:cs="Arial"/>
          <w:lang w:val="mk-MK"/>
        </w:rPr>
        <w:t xml:space="preserve"> </w:t>
      </w:r>
      <w:proofErr w:type="spellStart"/>
      <w:r w:rsidRPr="00AA64B1">
        <w:rPr>
          <w:rFonts w:ascii="Arial" w:hAnsi="Arial" w:cs="Arial"/>
          <w:lang w:val="mk-MK"/>
        </w:rPr>
        <w:t>paid</w:t>
      </w:r>
      <w:proofErr w:type="spellEnd"/>
      <w:r w:rsidRPr="00AA64B1">
        <w:rPr>
          <w:rFonts w:ascii="Arial" w:hAnsi="Arial" w:cs="Arial"/>
          <w:lang w:val="mk-MK"/>
        </w:rPr>
        <w:t xml:space="preserve"> </w:t>
      </w:r>
      <w:proofErr w:type="spellStart"/>
      <w:r w:rsidRPr="00AA64B1">
        <w:rPr>
          <w:rFonts w:ascii="Arial" w:hAnsi="Arial" w:cs="Arial"/>
          <w:lang w:val="mk-MK"/>
        </w:rPr>
        <w:t>by</w:t>
      </w:r>
      <w:proofErr w:type="spellEnd"/>
      <w:r w:rsidRPr="00AA64B1">
        <w:rPr>
          <w:rFonts w:ascii="Arial" w:hAnsi="Arial" w:cs="Arial"/>
          <w:lang w:val="mk-MK"/>
        </w:rPr>
        <w:t xml:space="preserve"> </w:t>
      </w:r>
      <w:proofErr w:type="spellStart"/>
      <w:r w:rsidRPr="00AA64B1">
        <w:rPr>
          <w:rFonts w:ascii="Arial" w:hAnsi="Arial" w:cs="Arial"/>
          <w:lang w:val="mk-MK"/>
        </w:rPr>
        <w:t>the</w:t>
      </w:r>
      <w:proofErr w:type="spellEnd"/>
      <w:r w:rsidRPr="00AA64B1">
        <w:rPr>
          <w:rFonts w:ascii="Arial" w:hAnsi="Arial" w:cs="Arial"/>
          <w:lang w:val="mk-MK"/>
        </w:rPr>
        <w:t xml:space="preserve"> </w:t>
      </w:r>
      <w:proofErr w:type="spellStart"/>
      <w:r w:rsidRPr="00AA64B1">
        <w:rPr>
          <w:rFonts w:ascii="Arial" w:hAnsi="Arial" w:cs="Arial"/>
          <w:lang w:val="mk-MK"/>
        </w:rPr>
        <w:t>members</w:t>
      </w:r>
      <w:proofErr w:type="spellEnd"/>
      <w:r w:rsidRPr="00AA64B1">
        <w:rPr>
          <w:rFonts w:ascii="Arial" w:hAnsi="Arial" w:cs="Arial"/>
          <w:lang w:val="mk-MK"/>
        </w:rPr>
        <w:t xml:space="preserve"> </w:t>
      </w:r>
      <w:proofErr w:type="spellStart"/>
      <w:r w:rsidRPr="00AA64B1">
        <w:rPr>
          <w:rFonts w:ascii="Arial" w:hAnsi="Arial" w:cs="Arial"/>
          <w:lang w:val="mk-MK"/>
        </w:rPr>
        <w:t>is</w:t>
      </w:r>
      <w:proofErr w:type="spellEnd"/>
      <w:r w:rsidRPr="00AA64B1">
        <w:rPr>
          <w:rFonts w:ascii="Arial" w:hAnsi="Arial" w:cs="Arial"/>
          <w:lang w:val="mk-MK"/>
        </w:rPr>
        <w:t xml:space="preserve"> </w:t>
      </w:r>
      <w:proofErr w:type="spellStart"/>
      <w:r w:rsidRPr="00AA64B1">
        <w:rPr>
          <w:rFonts w:ascii="Arial" w:hAnsi="Arial" w:cs="Arial"/>
          <w:lang w:val="mk-MK"/>
        </w:rPr>
        <w:t>not</w:t>
      </w:r>
      <w:proofErr w:type="spellEnd"/>
      <w:r w:rsidRPr="00AA64B1">
        <w:rPr>
          <w:rFonts w:ascii="Arial" w:hAnsi="Arial" w:cs="Arial"/>
          <w:lang w:val="mk-MK"/>
        </w:rPr>
        <w:t xml:space="preserve"> </w:t>
      </w:r>
      <w:proofErr w:type="spellStart"/>
      <w:r w:rsidRPr="00AA64B1">
        <w:rPr>
          <w:rFonts w:ascii="Arial" w:hAnsi="Arial" w:cs="Arial"/>
          <w:lang w:val="mk-MK"/>
        </w:rPr>
        <w:t>the</w:t>
      </w:r>
      <w:proofErr w:type="spellEnd"/>
      <w:r w:rsidRPr="00AA64B1">
        <w:rPr>
          <w:rFonts w:ascii="Arial" w:hAnsi="Arial" w:cs="Arial"/>
          <w:lang w:val="mk-MK"/>
        </w:rPr>
        <w:t xml:space="preserve"> </w:t>
      </w:r>
      <w:proofErr w:type="spellStart"/>
      <w:r w:rsidRPr="00AA64B1">
        <w:rPr>
          <w:rFonts w:ascii="Arial" w:hAnsi="Arial" w:cs="Arial"/>
          <w:lang w:val="mk-MK"/>
        </w:rPr>
        <w:t>Fund’s</w:t>
      </w:r>
      <w:proofErr w:type="spellEnd"/>
      <w:r w:rsidRPr="00AA64B1">
        <w:rPr>
          <w:rFonts w:ascii="Arial" w:hAnsi="Arial" w:cs="Arial"/>
          <w:lang w:val="mk-MK"/>
        </w:rPr>
        <w:t xml:space="preserve"> </w:t>
      </w:r>
      <w:proofErr w:type="spellStart"/>
      <w:r w:rsidRPr="00AA64B1">
        <w:rPr>
          <w:rFonts w:ascii="Arial" w:hAnsi="Arial" w:cs="Arial"/>
          <w:lang w:val="mk-MK"/>
        </w:rPr>
        <w:t>income</w:t>
      </w:r>
      <w:proofErr w:type="spellEnd"/>
      <w:r w:rsidRPr="00AA64B1">
        <w:rPr>
          <w:rFonts w:ascii="Arial" w:hAnsi="Arial" w:cs="Arial"/>
          <w:lang w:val="mk-MK"/>
        </w:rPr>
        <w:t xml:space="preserve">, </w:t>
      </w:r>
      <w:proofErr w:type="spellStart"/>
      <w:r w:rsidRPr="00AA64B1">
        <w:rPr>
          <w:rFonts w:ascii="Arial" w:hAnsi="Arial" w:cs="Arial"/>
          <w:lang w:val="mk-MK"/>
        </w:rPr>
        <w:t>but</w:t>
      </w:r>
      <w:proofErr w:type="spellEnd"/>
      <w:r w:rsidRPr="00AA64B1">
        <w:rPr>
          <w:rFonts w:ascii="Arial" w:hAnsi="Arial" w:cs="Arial"/>
          <w:lang w:val="mk-MK"/>
        </w:rPr>
        <w:t xml:space="preserve"> </w:t>
      </w:r>
      <w:proofErr w:type="spellStart"/>
      <w:r w:rsidRPr="00AA64B1">
        <w:rPr>
          <w:rFonts w:ascii="Arial" w:hAnsi="Arial" w:cs="Arial"/>
          <w:lang w:val="mk-MK"/>
        </w:rPr>
        <w:t>proceeds</w:t>
      </w:r>
      <w:proofErr w:type="spellEnd"/>
      <w:r w:rsidRPr="00AA64B1">
        <w:rPr>
          <w:rFonts w:ascii="Arial" w:hAnsi="Arial" w:cs="Arial"/>
          <w:lang w:val="mk-MK"/>
        </w:rPr>
        <w:t xml:space="preserve"> </w:t>
      </w:r>
      <w:proofErr w:type="spellStart"/>
      <w:r w:rsidRPr="00AA64B1">
        <w:rPr>
          <w:rFonts w:ascii="Arial" w:hAnsi="Arial" w:cs="Arial"/>
          <w:lang w:val="mk-MK"/>
        </w:rPr>
        <w:t>in</w:t>
      </w:r>
      <w:proofErr w:type="spellEnd"/>
      <w:r w:rsidRPr="00AA64B1">
        <w:rPr>
          <w:rFonts w:ascii="Arial" w:hAnsi="Arial" w:cs="Arial"/>
          <w:lang w:val="mk-MK"/>
        </w:rPr>
        <w:t xml:space="preserve"> </w:t>
      </w:r>
      <w:proofErr w:type="spellStart"/>
      <w:r w:rsidRPr="00AA64B1">
        <w:rPr>
          <w:rFonts w:ascii="Arial" w:hAnsi="Arial" w:cs="Arial"/>
          <w:lang w:val="mk-MK"/>
        </w:rPr>
        <w:t>the</w:t>
      </w:r>
      <w:proofErr w:type="spellEnd"/>
      <w:r w:rsidRPr="00AA64B1">
        <w:rPr>
          <w:rFonts w:ascii="Arial" w:hAnsi="Arial" w:cs="Arial"/>
          <w:lang w:val="mk-MK"/>
        </w:rPr>
        <w:t xml:space="preserve"> </w:t>
      </w:r>
      <w:proofErr w:type="spellStart"/>
      <w:r w:rsidRPr="00AA64B1">
        <w:rPr>
          <w:rFonts w:ascii="Arial" w:hAnsi="Arial" w:cs="Arial"/>
          <w:lang w:val="mk-MK"/>
        </w:rPr>
        <w:t>insurance</w:t>
      </w:r>
      <w:proofErr w:type="spellEnd"/>
      <w:r w:rsidRPr="00AA64B1">
        <w:rPr>
          <w:rFonts w:ascii="Arial" w:hAnsi="Arial" w:cs="Arial"/>
          <w:lang w:val="mk-MK"/>
        </w:rPr>
        <w:t xml:space="preserve"> </w:t>
      </w:r>
      <w:proofErr w:type="spellStart"/>
      <w:r w:rsidRPr="00AA64B1">
        <w:rPr>
          <w:rFonts w:ascii="Arial" w:hAnsi="Arial" w:cs="Arial"/>
          <w:lang w:val="mk-MK"/>
        </w:rPr>
        <w:t>fund</w:t>
      </w:r>
      <w:proofErr w:type="spellEnd"/>
      <w:r w:rsidRPr="00AA64B1">
        <w:rPr>
          <w:rFonts w:ascii="Arial" w:hAnsi="Arial" w:cs="Arial"/>
          <w:lang w:val="mk-MK"/>
        </w:rPr>
        <w:t xml:space="preserve"> </w:t>
      </w:r>
      <w:proofErr w:type="spellStart"/>
      <w:r w:rsidRPr="00AA64B1">
        <w:rPr>
          <w:rFonts w:ascii="Arial" w:hAnsi="Arial" w:cs="Arial"/>
          <w:lang w:val="mk-MK"/>
        </w:rPr>
        <w:t>according</w:t>
      </w:r>
      <w:proofErr w:type="spellEnd"/>
      <w:r w:rsidRPr="00AA64B1">
        <w:rPr>
          <w:rFonts w:ascii="Arial" w:hAnsi="Arial" w:cs="Arial"/>
          <w:lang w:val="mk-MK"/>
        </w:rPr>
        <w:t xml:space="preserve"> </w:t>
      </w:r>
      <w:proofErr w:type="spellStart"/>
      <w:r w:rsidRPr="00AA64B1">
        <w:rPr>
          <w:rFonts w:ascii="Arial" w:hAnsi="Arial" w:cs="Arial"/>
          <w:lang w:val="mk-MK"/>
        </w:rPr>
        <w:t>to</w:t>
      </w:r>
      <w:proofErr w:type="spellEnd"/>
      <w:r w:rsidRPr="00AA64B1">
        <w:rPr>
          <w:rFonts w:ascii="Arial" w:hAnsi="Arial" w:cs="Arial"/>
          <w:lang w:val="mk-MK"/>
        </w:rPr>
        <w:t xml:space="preserve"> </w:t>
      </w:r>
      <w:proofErr w:type="spellStart"/>
      <w:r w:rsidRPr="00AA64B1">
        <w:rPr>
          <w:rFonts w:ascii="Arial" w:hAnsi="Arial" w:cs="Arial"/>
          <w:lang w:val="mk-MK"/>
        </w:rPr>
        <w:t>the</w:t>
      </w:r>
      <w:proofErr w:type="spellEnd"/>
      <w:r w:rsidRPr="00AA64B1">
        <w:rPr>
          <w:rFonts w:ascii="Arial" w:hAnsi="Arial" w:cs="Arial"/>
          <w:lang w:val="mk-MK"/>
        </w:rPr>
        <w:t xml:space="preserve"> </w:t>
      </w:r>
      <w:proofErr w:type="spellStart"/>
      <w:r w:rsidRPr="00AA64B1">
        <w:rPr>
          <w:rFonts w:ascii="Arial" w:hAnsi="Arial" w:cs="Arial"/>
          <w:lang w:val="mk-MK"/>
        </w:rPr>
        <w:t>Fund’s</w:t>
      </w:r>
      <w:proofErr w:type="spellEnd"/>
      <w:r w:rsidRPr="00AA64B1">
        <w:rPr>
          <w:rFonts w:ascii="Arial" w:hAnsi="Arial" w:cs="Arial"/>
          <w:lang w:val="mk-MK"/>
        </w:rPr>
        <w:t xml:space="preserve"> </w:t>
      </w:r>
      <w:proofErr w:type="spellStart"/>
      <w:r w:rsidRPr="00AA64B1">
        <w:rPr>
          <w:rFonts w:ascii="Arial" w:hAnsi="Arial" w:cs="Arial"/>
          <w:lang w:val="mk-MK"/>
        </w:rPr>
        <w:t>Statute</w:t>
      </w:r>
      <w:proofErr w:type="spellEnd"/>
      <w:r w:rsidRPr="00AA64B1">
        <w:rPr>
          <w:rFonts w:ascii="Arial" w:hAnsi="Arial" w:cs="Arial"/>
          <w:lang w:val="mk-MK"/>
        </w:rPr>
        <w:t xml:space="preserve">. </w:t>
      </w:r>
      <w:proofErr w:type="spellStart"/>
      <w:r w:rsidRPr="00AA64B1">
        <w:rPr>
          <w:rFonts w:ascii="Arial" w:hAnsi="Arial" w:cs="Arial"/>
          <w:lang w:val="mk-MK"/>
        </w:rPr>
        <w:t>The</w:t>
      </w:r>
      <w:proofErr w:type="spellEnd"/>
      <w:r w:rsidRPr="00AA64B1">
        <w:rPr>
          <w:rFonts w:ascii="Arial" w:hAnsi="Arial" w:cs="Arial"/>
          <w:lang w:val="mk-MK"/>
        </w:rPr>
        <w:t xml:space="preserve"> </w:t>
      </w:r>
      <w:proofErr w:type="spellStart"/>
      <w:r w:rsidRPr="00AA64B1">
        <w:rPr>
          <w:rFonts w:ascii="Arial" w:hAnsi="Arial" w:cs="Arial"/>
          <w:lang w:val="mk-MK"/>
        </w:rPr>
        <w:t>premium</w:t>
      </w:r>
      <w:proofErr w:type="spellEnd"/>
      <w:r w:rsidRPr="00AA64B1">
        <w:rPr>
          <w:rFonts w:ascii="Arial" w:hAnsi="Arial" w:cs="Arial"/>
          <w:lang w:val="mk-MK"/>
        </w:rPr>
        <w:t xml:space="preserve"> </w:t>
      </w:r>
      <w:proofErr w:type="spellStart"/>
      <w:r w:rsidRPr="00AA64B1">
        <w:rPr>
          <w:rFonts w:ascii="Arial" w:hAnsi="Arial" w:cs="Arial"/>
          <w:lang w:val="mk-MK"/>
        </w:rPr>
        <w:t>is</w:t>
      </w:r>
      <w:proofErr w:type="spellEnd"/>
      <w:r w:rsidRPr="00AA64B1">
        <w:rPr>
          <w:rFonts w:ascii="Arial" w:hAnsi="Arial" w:cs="Arial"/>
          <w:lang w:val="mk-MK"/>
        </w:rPr>
        <w:t xml:space="preserve"> </w:t>
      </w:r>
      <w:proofErr w:type="spellStart"/>
      <w:r w:rsidRPr="00AA64B1">
        <w:rPr>
          <w:rFonts w:ascii="Arial" w:hAnsi="Arial" w:cs="Arial"/>
          <w:lang w:val="mk-MK"/>
        </w:rPr>
        <w:t>calculated</w:t>
      </w:r>
      <w:proofErr w:type="spellEnd"/>
      <w:r w:rsidRPr="00AA64B1">
        <w:rPr>
          <w:rFonts w:ascii="Arial" w:hAnsi="Arial" w:cs="Arial"/>
          <w:lang w:val="mk-MK"/>
        </w:rPr>
        <w:t xml:space="preserve"> </w:t>
      </w:r>
      <w:proofErr w:type="spellStart"/>
      <w:r w:rsidRPr="00AA64B1">
        <w:rPr>
          <w:rFonts w:ascii="Arial" w:hAnsi="Arial" w:cs="Arial"/>
          <w:lang w:val="mk-MK"/>
        </w:rPr>
        <w:t>monthly</w:t>
      </w:r>
      <w:proofErr w:type="spellEnd"/>
      <w:r w:rsidRPr="00AA64B1">
        <w:rPr>
          <w:rFonts w:ascii="Arial" w:hAnsi="Arial" w:cs="Arial"/>
          <w:lang w:val="mk-MK"/>
        </w:rPr>
        <w:t xml:space="preserve"> </w:t>
      </w:r>
      <w:proofErr w:type="spellStart"/>
      <w:r w:rsidRPr="00AA64B1">
        <w:rPr>
          <w:rFonts w:ascii="Arial" w:hAnsi="Arial" w:cs="Arial"/>
          <w:lang w:val="mk-MK"/>
        </w:rPr>
        <w:t>on</w:t>
      </w:r>
      <w:proofErr w:type="spellEnd"/>
      <w:r w:rsidRPr="00AA64B1">
        <w:rPr>
          <w:rFonts w:ascii="Arial" w:hAnsi="Arial" w:cs="Arial"/>
          <w:lang w:val="mk-MK"/>
        </w:rPr>
        <w:t xml:space="preserve"> </w:t>
      </w:r>
      <w:proofErr w:type="spellStart"/>
      <w:r w:rsidRPr="00AA64B1">
        <w:rPr>
          <w:rFonts w:ascii="Arial" w:hAnsi="Arial" w:cs="Arial"/>
          <w:lang w:val="mk-MK"/>
        </w:rPr>
        <w:t>the</w:t>
      </w:r>
      <w:proofErr w:type="spellEnd"/>
      <w:r w:rsidRPr="00AA64B1">
        <w:rPr>
          <w:rFonts w:ascii="Arial" w:hAnsi="Arial" w:cs="Arial"/>
          <w:lang w:val="mk-MK"/>
        </w:rPr>
        <w:t xml:space="preserve"> </w:t>
      </w:r>
      <w:proofErr w:type="spellStart"/>
      <w:r w:rsidRPr="00AA64B1">
        <w:rPr>
          <w:rFonts w:ascii="Arial" w:hAnsi="Arial" w:cs="Arial"/>
          <w:lang w:val="mk-MK"/>
        </w:rPr>
        <w:t>balance</w:t>
      </w:r>
      <w:proofErr w:type="spellEnd"/>
      <w:r w:rsidRPr="00AA64B1">
        <w:rPr>
          <w:rFonts w:ascii="Arial" w:hAnsi="Arial" w:cs="Arial"/>
          <w:lang w:val="mk-MK"/>
        </w:rPr>
        <w:t xml:space="preserve"> </w:t>
      </w:r>
      <w:proofErr w:type="spellStart"/>
      <w:r w:rsidRPr="00AA64B1">
        <w:rPr>
          <w:rFonts w:ascii="Arial" w:hAnsi="Arial" w:cs="Arial"/>
          <w:lang w:val="mk-MK"/>
        </w:rPr>
        <w:t>of</w:t>
      </w:r>
      <w:proofErr w:type="spellEnd"/>
      <w:r w:rsidRPr="00AA64B1">
        <w:rPr>
          <w:rFonts w:ascii="Arial" w:hAnsi="Arial" w:cs="Arial"/>
          <w:lang w:val="mk-MK"/>
        </w:rPr>
        <w:t xml:space="preserve"> </w:t>
      </w:r>
      <w:proofErr w:type="spellStart"/>
      <w:r w:rsidRPr="00AA64B1">
        <w:rPr>
          <w:rFonts w:ascii="Arial" w:hAnsi="Arial" w:cs="Arial"/>
          <w:lang w:val="mk-MK"/>
        </w:rPr>
        <w:t>deposits</w:t>
      </w:r>
      <w:proofErr w:type="spellEnd"/>
      <w:r w:rsidRPr="00AA64B1">
        <w:rPr>
          <w:rFonts w:ascii="Arial" w:hAnsi="Arial" w:cs="Arial"/>
          <w:lang w:val="mk-MK"/>
        </w:rPr>
        <w:t xml:space="preserve"> </w:t>
      </w:r>
      <w:proofErr w:type="spellStart"/>
      <w:r w:rsidRPr="00AA64B1">
        <w:rPr>
          <w:rFonts w:ascii="Arial" w:hAnsi="Arial" w:cs="Arial"/>
          <w:lang w:val="mk-MK"/>
        </w:rPr>
        <w:t>at</w:t>
      </w:r>
      <w:proofErr w:type="spellEnd"/>
      <w:r w:rsidRPr="00AA64B1">
        <w:rPr>
          <w:rFonts w:ascii="Arial" w:hAnsi="Arial" w:cs="Arial"/>
          <w:lang w:val="mk-MK"/>
        </w:rPr>
        <w:t xml:space="preserve"> </w:t>
      </w:r>
      <w:proofErr w:type="spellStart"/>
      <w:r w:rsidRPr="00AA64B1">
        <w:rPr>
          <w:rFonts w:ascii="Arial" w:hAnsi="Arial" w:cs="Arial"/>
          <w:lang w:val="mk-MK"/>
        </w:rPr>
        <w:t>the</w:t>
      </w:r>
      <w:proofErr w:type="spellEnd"/>
      <w:r w:rsidRPr="00AA64B1">
        <w:rPr>
          <w:rFonts w:ascii="Arial" w:hAnsi="Arial" w:cs="Arial"/>
          <w:lang w:val="mk-MK"/>
        </w:rPr>
        <w:t xml:space="preserve"> </w:t>
      </w:r>
      <w:proofErr w:type="spellStart"/>
      <w:r w:rsidRPr="00AA64B1">
        <w:rPr>
          <w:rFonts w:ascii="Arial" w:hAnsi="Arial" w:cs="Arial"/>
          <w:lang w:val="mk-MK"/>
        </w:rPr>
        <w:t>end</w:t>
      </w:r>
      <w:proofErr w:type="spellEnd"/>
      <w:r w:rsidRPr="00AA64B1">
        <w:rPr>
          <w:rFonts w:ascii="Arial" w:hAnsi="Arial" w:cs="Arial"/>
          <w:lang w:val="mk-MK"/>
        </w:rPr>
        <w:t xml:space="preserve"> </w:t>
      </w:r>
      <w:proofErr w:type="spellStart"/>
      <w:r w:rsidRPr="00AA64B1">
        <w:rPr>
          <w:rFonts w:ascii="Arial" w:hAnsi="Arial" w:cs="Arial"/>
          <w:lang w:val="mk-MK"/>
        </w:rPr>
        <w:t>of</w:t>
      </w:r>
      <w:proofErr w:type="spellEnd"/>
      <w:r w:rsidRPr="00AA64B1">
        <w:rPr>
          <w:rFonts w:ascii="Arial" w:hAnsi="Arial" w:cs="Arial"/>
          <w:lang w:val="mk-MK"/>
        </w:rPr>
        <w:t xml:space="preserve"> </w:t>
      </w:r>
      <w:proofErr w:type="spellStart"/>
      <w:r w:rsidRPr="00AA64B1">
        <w:rPr>
          <w:rFonts w:ascii="Arial" w:hAnsi="Arial" w:cs="Arial"/>
          <w:lang w:val="mk-MK"/>
        </w:rPr>
        <w:t>the</w:t>
      </w:r>
      <w:proofErr w:type="spellEnd"/>
      <w:r w:rsidRPr="00AA64B1">
        <w:rPr>
          <w:rFonts w:ascii="Arial" w:hAnsi="Arial" w:cs="Arial"/>
          <w:lang w:val="mk-MK"/>
        </w:rPr>
        <w:t xml:space="preserve"> </w:t>
      </w:r>
      <w:proofErr w:type="spellStart"/>
      <w:r w:rsidRPr="00AA64B1">
        <w:rPr>
          <w:rFonts w:ascii="Arial" w:hAnsi="Arial" w:cs="Arial"/>
          <w:lang w:val="mk-MK"/>
        </w:rPr>
        <w:t>previous</w:t>
      </w:r>
      <w:proofErr w:type="spellEnd"/>
      <w:r w:rsidRPr="00AA64B1">
        <w:rPr>
          <w:rFonts w:ascii="Arial" w:hAnsi="Arial" w:cs="Arial"/>
          <w:lang w:val="mk-MK"/>
        </w:rPr>
        <w:t xml:space="preserve"> </w:t>
      </w:r>
      <w:proofErr w:type="spellStart"/>
      <w:r w:rsidRPr="00AA64B1">
        <w:rPr>
          <w:rFonts w:ascii="Arial" w:hAnsi="Arial" w:cs="Arial"/>
          <w:lang w:val="mk-MK"/>
        </w:rPr>
        <w:t>month</w:t>
      </w:r>
      <w:proofErr w:type="spellEnd"/>
      <w:r w:rsidRPr="00AA64B1">
        <w:rPr>
          <w:rFonts w:ascii="Arial" w:hAnsi="Arial" w:cs="Arial"/>
          <w:lang w:val="mk-MK"/>
        </w:rPr>
        <w:t xml:space="preserve">. </w:t>
      </w:r>
      <w:proofErr w:type="spellStart"/>
      <w:r w:rsidRPr="00AA64B1">
        <w:rPr>
          <w:rFonts w:ascii="Arial" w:hAnsi="Arial" w:cs="Arial"/>
          <w:lang w:val="mk-MK"/>
        </w:rPr>
        <w:t>Based</w:t>
      </w:r>
      <w:proofErr w:type="spellEnd"/>
      <w:r w:rsidRPr="00AA64B1">
        <w:rPr>
          <w:rFonts w:ascii="Arial" w:hAnsi="Arial" w:cs="Arial"/>
          <w:lang w:val="mk-MK"/>
        </w:rPr>
        <w:t xml:space="preserve"> </w:t>
      </w:r>
      <w:proofErr w:type="spellStart"/>
      <w:r w:rsidRPr="00AA64B1">
        <w:rPr>
          <w:rFonts w:ascii="Arial" w:hAnsi="Arial" w:cs="Arial"/>
          <w:lang w:val="mk-MK"/>
        </w:rPr>
        <w:t>on</w:t>
      </w:r>
      <w:proofErr w:type="spellEnd"/>
      <w:r w:rsidRPr="00AA64B1">
        <w:rPr>
          <w:rFonts w:ascii="Arial" w:hAnsi="Arial" w:cs="Arial"/>
          <w:lang w:val="mk-MK"/>
        </w:rPr>
        <w:t xml:space="preserve"> </w:t>
      </w:r>
      <w:proofErr w:type="spellStart"/>
      <w:r w:rsidRPr="00AA64B1">
        <w:rPr>
          <w:rFonts w:ascii="Arial" w:hAnsi="Arial" w:cs="Arial"/>
          <w:lang w:val="mk-MK"/>
        </w:rPr>
        <w:t>Board</w:t>
      </w:r>
      <w:proofErr w:type="spellEnd"/>
      <w:r w:rsidRPr="00AA64B1">
        <w:rPr>
          <w:rFonts w:ascii="Arial" w:hAnsi="Arial" w:cs="Arial"/>
          <w:lang w:val="mk-MK"/>
        </w:rPr>
        <w:t xml:space="preserve"> </w:t>
      </w:r>
      <w:proofErr w:type="spellStart"/>
      <w:r w:rsidRPr="00AA64B1">
        <w:rPr>
          <w:rFonts w:ascii="Arial" w:hAnsi="Arial" w:cs="Arial"/>
          <w:lang w:val="mk-MK"/>
        </w:rPr>
        <w:t>of</w:t>
      </w:r>
      <w:proofErr w:type="spellEnd"/>
      <w:r w:rsidRPr="00AA64B1">
        <w:rPr>
          <w:rFonts w:ascii="Arial" w:hAnsi="Arial" w:cs="Arial"/>
          <w:lang w:val="mk-MK"/>
        </w:rPr>
        <w:t xml:space="preserve"> </w:t>
      </w:r>
      <w:proofErr w:type="spellStart"/>
      <w:r w:rsidRPr="00AA64B1">
        <w:rPr>
          <w:rFonts w:ascii="Arial" w:hAnsi="Arial" w:cs="Arial"/>
          <w:lang w:val="mk-MK"/>
        </w:rPr>
        <w:t>Directors</w:t>
      </w:r>
      <w:proofErr w:type="spellEnd"/>
      <w:r w:rsidRPr="00AA64B1">
        <w:rPr>
          <w:rFonts w:ascii="Arial" w:hAnsi="Arial" w:cs="Arial"/>
          <w:lang w:val="mk-MK"/>
        </w:rPr>
        <w:t xml:space="preserve"> </w:t>
      </w:r>
      <w:proofErr w:type="spellStart"/>
      <w:r w:rsidRPr="00AA64B1">
        <w:rPr>
          <w:rFonts w:ascii="Arial" w:hAnsi="Arial" w:cs="Arial"/>
          <w:lang w:val="mk-MK"/>
        </w:rPr>
        <w:t>decision</w:t>
      </w:r>
      <w:proofErr w:type="spellEnd"/>
      <w:r w:rsidRPr="00AA64B1">
        <w:rPr>
          <w:rFonts w:ascii="Arial" w:hAnsi="Arial" w:cs="Arial"/>
          <w:lang w:val="mk-MK"/>
        </w:rPr>
        <w:t xml:space="preserve"> </w:t>
      </w:r>
      <w:proofErr w:type="spellStart"/>
      <w:r w:rsidRPr="00AA64B1">
        <w:rPr>
          <w:rFonts w:ascii="Arial" w:hAnsi="Arial" w:cs="Arial"/>
          <w:lang w:val="mk-MK"/>
        </w:rPr>
        <w:t>No</w:t>
      </w:r>
      <w:proofErr w:type="spellEnd"/>
      <w:r w:rsidRPr="00AA64B1">
        <w:rPr>
          <w:rFonts w:ascii="Arial" w:hAnsi="Arial" w:cs="Arial"/>
          <w:lang w:val="mk-MK"/>
        </w:rPr>
        <w:t xml:space="preserve">. 02-381 </w:t>
      </w:r>
      <w:proofErr w:type="spellStart"/>
      <w:r w:rsidRPr="00AA64B1">
        <w:rPr>
          <w:rFonts w:ascii="Arial" w:hAnsi="Arial" w:cs="Arial"/>
          <w:lang w:val="mk-MK"/>
        </w:rPr>
        <w:t>from</w:t>
      </w:r>
      <w:proofErr w:type="spellEnd"/>
      <w:r w:rsidRPr="00AA64B1">
        <w:rPr>
          <w:rFonts w:ascii="Arial" w:hAnsi="Arial" w:cs="Arial"/>
          <w:lang w:val="mk-MK"/>
        </w:rPr>
        <w:t xml:space="preserve"> </w:t>
      </w:r>
      <w:proofErr w:type="spellStart"/>
      <w:r w:rsidRPr="00AA64B1">
        <w:rPr>
          <w:rFonts w:ascii="Arial" w:hAnsi="Arial" w:cs="Arial"/>
          <w:lang w:val="mk-MK"/>
        </w:rPr>
        <w:t>the</w:t>
      </w:r>
      <w:proofErr w:type="spellEnd"/>
      <w:r w:rsidRPr="00AA64B1">
        <w:rPr>
          <w:rFonts w:ascii="Arial" w:hAnsi="Arial" w:cs="Arial"/>
          <w:lang w:val="mk-MK"/>
        </w:rPr>
        <w:t xml:space="preserve"> </w:t>
      </w:r>
      <w:proofErr w:type="spellStart"/>
      <w:r w:rsidRPr="00AA64B1">
        <w:rPr>
          <w:rFonts w:ascii="Arial" w:hAnsi="Arial" w:cs="Arial"/>
          <w:lang w:val="mk-MK"/>
        </w:rPr>
        <w:t>meeting</w:t>
      </w:r>
      <w:proofErr w:type="spellEnd"/>
      <w:r w:rsidRPr="00AA64B1">
        <w:rPr>
          <w:rFonts w:ascii="Arial" w:hAnsi="Arial" w:cs="Arial"/>
          <w:lang w:val="mk-MK"/>
        </w:rPr>
        <w:t xml:space="preserve"> </w:t>
      </w:r>
      <w:proofErr w:type="spellStart"/>
      <w:r w:rsidRPr="00AA64B1">
        <w:rPr>
          <w:rFonts w:ascii="Arial" w:hAnsi="Arial" w:cs="Arial"/>
          <w:lang w:val="mk-MK"/>
        </w:rPr>
        <w:t>held</w:t>
      </w:r>
      <w:proofErr w:type="spellEnd"/>
      <w:r w:rsidRPr="00AA64B1">
        <w:rPr>
          <w:rFonts w:ascii="Arial" w:hAnsi="Arial" w:cs="Arial"/>
          <w:lang w:val="mk-MK"/>
        </w:rPr>
        <w:t xml:space="preserve"> </w:t>
      </w:r>
      <w:proofErr w:type="spellStart"/>
      <w:r w:rsidRPr="00AA64B1">
        <w:rPr>
          <w:rFonts w:ascii="Arial" w:hAnsi="Arial" w:cs="Arial"/>
          <w:lang w:val="mk-MK"/>
        </w:rPr>
        <w:t>on</w:t>
      </w:r>
      <w:proofErr w:type="spellEnd"/>
      <w:r w:rsidRPr="00AA64B1">
        <w:rPr>
          <w:rFonts w:ascii="Arial" w:hAnsi="Arial" w:cs="Arial"/>
          <w:lang w:val="mk-MK"/>
        </w:rPr>
        <w:t xml:space="preserve"> 07 </w:t>
      </w:r>
      <w:proofErr w:type="spellStart"/>
      <w:r w:rsidRPr="00AA64B1">
        <w:rPr>
          <w:rFonts w:ascii="Arial" w:hAnsi="Arial" w:cs="Arial"/>
          <w:lang w:val="mk-MK"/>
        </w:rPr>
        <w:t>November</w:t>
      </w:r>
      <w:proofErr w:type="spellEnd"/>
      <w:r w:rsidRPr="00AA64B1">
        <w:rPr>
          <w:rFonts w:ascii="Arial" w:hAnsi="Arial" w:cs="Arial"/>
          <w:lang w:val="mk-MK"/>
        </w:rPr>
        <w:t xml:space="preserve"> 2017 </w:t>
      </w:r>
      <w:proofErr w:type="spellStart"/>
      <w:r w:rsidRPr="00AA64B1">
        <w:rPr>
          <w:rFonts w:ascii="Arial" w:hAnsi="Arial" w:cs="Arial"/>
          <w:lang w:val="mk-MK"/>
        </w:rPr>
        <w:t>the</w:t>
      </w:r>
      <w:proofErr w:type="spellEnd"/>
      <w:r w:rsidRPr="00AA64B1">
        <w:rPr>
          <w:rFonts w:ascii="Arial" w:hAnsi="Arial" w:cs="Arial"/>
          <w:lang w:val="mk-MK"/>
        </w:rPr>
        <w:t xml:space="preserve"> </w:t>
      </w:r>
      <w:proofErr w:type="spellStart"/>
      <w:r w:rsidRPr="00AA64B1">
        <w:rPr>
          <w:rFonts w:ascii="Arial" w:hAnsi="Arial" w:cs="Arial"/>
          <w:lang w:val="mk-MK"/>
        </w:rPr>
        <w:t>premium</w:t>
      </w:r>
      <w:proofErr w:type="spellEnd"/>
      <w:r w:rsidRPr="00AA64B1">
        <w:rPr>
          <w:rFonts w:ascii="Arial" w:hAnsi="Arial" w:cs="Arial"/>
          <w:lang w:val="mk-MK"/>
        </w:rPr>
        <w:t xml:space="preserve"> </w:t>
      </w:r>
      <w:proofErr w:type="spellStart"/>
      <w:r w:rsidRPr="00AA64B1">
        <w:rPr>
          <w:rFonts w:ascii="Arial" w:hAnsi="Arial" w:cs="Arial"/>
          <w:lang w:val="mk-MK"/>
        </w:rPr>
        <w:t>rate</w:t>
      </w:r>
      <w:proofErr w:type="spellEnd"/>
      <w:r w:rsidRPr="00AA64B1">
        <w:rPr>
          <w:rFonts w:ascii="Arial" w:hAnsi="Arial" w:cs="Arial"/>
          <w:lang w:val="mk-MK"/>
        </w:rPr>
        <w:t xml:space="preserve"> </w:t>
      </w:r>
      <w:proofErr w:type="spellStart"/>
      <w:r w:rsidRPr="00AA64B1">
        <w:rPr>
          <w:rFonts w:ascii="Arial" w:hAnsi="Arial" w:cs="Arial"/>
          <w:lang w:val="mk-MK"/>
        </w:rPr>
        <w:t>of</w:t>
      </w:r>
      <w:proofErr w:type="spellEnd"/>
      <w:r w:rsidRPr="00AA64B1">
        <w:rPr>
          <w:rFonts w:ascii="Arial" w:hAnsi="Arial" w:cs="Arial"/>
          <w:lang w:val="mk-MK"/>
        </w:rPr>
        <w:t xml:space="preserve"> 0.5 % </w:t>
      </w:r>
      <w:proofErr w:type="spellStart"/>
      <w:r w:rsidRPr="00AA64B1">
        <w:rPr>
          <w:rFonts w:ascii="Arial" w:hAnsi="Arial" w:cs="Arial"/>
          <w:lang w:val="mk-MK"/>
        </w:rPr>
        <w:t>per</w:t>
      </w:r>
      <w:proofErr w:type="spellEnd"/>
      <w:r w:rsidRPr="00AA64B1">
        <w:rPr>
          <w:rFonts w:ascii="Arial" w:hAnsi="Arial" w:cs="Arial"/>
          <w:lang w:val="mk-MK"/>
        </w:rPr>
        <w:t xml:space="preserve"> </w:t>
      </w:r>
      <w:proofErr w:type="spellStart"/>
      <w:r w:rsidRPr="00AA64B1">
        <w:rPr>
          <w:rFonts w:ascii="Arial" w:hAnsi="Arial" w:cs="Arial"/>
          <w:lang w:val="mk-MK"/>
        </w:rPr>
        <w:t>year</w:t>
      </w:r>
      <w:proofErr w:type="spellEnd"/>
      <w:r w:rsidRPr="00AA64B1">
        <w:rPr>
          <w:rFonts w:ascii="Arial" w:hAnsi="Arial" w:cs="Arial"/>
          <w:lang w:val="mk-MK"/>
        </w:rPr>
        <w:t xml:space="preserve"> (</w:t>
      </w:r>
      <w:proofErr w:type="spellStart"/>
      <w:r w:rsidRPr="00AA64B1">
        <w:rPr>
          <w:rFonts w:ascii="Arial" w:hAnsi="Arial" w:cs="Arial"/>
          <w:lang w:val="mk-MK"/>
        </w:rPr>
        <w:t>up</w:t>
      </w:r>
      <w:proofErr w:type="spellEnd"/>
      <w:r w:rsidRPr="00AA64B1">
        <w:rPr>
          <w:rFonts w:ascii="Arial" w:hAnsi="Arial" w:cs="Arial"/>
          <w:lang w:val="mk-MK"/>
        </w:rPr>
        <w:t xml:space="preserve"> </w:t>
      </w:r>
      <w:proofErr w:type="spellStart"/>
      <w:r w:rsidRPr="00AA64B1">
        <w:rPr>
          <w:rFonts w:ascii="Arial" w:hAnsi="Arial" w:cs="Arial"/>
          <w:lang w:val="mk-MK"/>
        </w:rPr>
        <w:t>to</w:t>
      </w:r>
      <w:proofErr w:type="spellEnd"/>
      <w:r w:rsidRPr="00AA64B1">
        <w:rPr>
          <w:rFonts w:ascii="Arial" w:hAnsi="Arial" w:cs="Arial"/>
          <w:lang w:val="mk-MK"/>
        </w:rPr>
        <w:t xml:space="preserve"> 31 </w:t>
      </w:r>
      <w:proofErr w:type="spellStart"/>
      <w:r w:rsidRPr="00AA64B1">
        <w:rPr>
          <w:rFonts w:ascii="Arial" w:hAnsi="Arial" w:cs="Arial"/>
          <w:lang w:val="mk-MK"/>
        </w:rPr>
        <w:t>October</w:t>
      </w:r>
      <w:proofErr w:type="spellEnd"/>
      <w:r w:rsidRPr="00AA64B1">
        <w:rPr>
          <w:rFonts w:ascii="Arial" w:hAnsi="Arial" w:cs="Arial"/>
          <w:lang w:val="mk-MK"/>
        </w:rPr>
        <w:t xml:space="preserve"> 2017) </w:t>
      </w:r>
      <w:proofErr w:type="spellStart"/>
      <w:r w:rsidRPr="00AA64B1">
        <w:rPr>
          <w:rFonts w:ascii="Arial" w:hAnsi="Arial" w:cs="Arial"/>
          <w:lang w:val="mk-MK"/>
        </w:rPr>
        <w:t>is</w:t>
      </w:r>
      <w:proofErr w:type="spellEnd"/>
      <w:r w:rsidRPr="00AA64B1">
        <w:rPr>
          <w:rFonts w:ascii="Arial" w:hAnsi="Arial" w:cs="Arial"/>
          <w:lang w:val="mk-MK"/>
        </w:rPr>
        <w:t xml:space="preserve"> </w:t>
      </w:r>
      <w:proofErr w:type="spellStart"/>
      <w:r w:rsidRPr="00AA64B1">
        <w:rPr>
          <w:rFonts w:ascii="Arial" w:hAnsi="Arial" w:cs="Arial"/>
          <w:lang w:val="mk-MK"/>
        </w:rPr>
        <w:t>decreased</w:t>
      </w:r>
      <w:proofErr w:type="spellEnd"/>
      <w:r w:rsidRPr="00AA64B1">
        <w:rPr>
          <w:rFonts w:ascii="Arial" w:hAnsi="Arial" w:cs="Arial"/>
          <w:lang w:val="mk-MK"/>
        </w:rPr>
        <w:t xml:space="preserve"> </w:t>
      </w:r>
      <w:proofErr w:type="spellStart"/>
      <w:r w:rsidRPr="00AA64B1">
        <w:rPr>
          <w:rFonts w:ascii="Arial" w:hAnsi="Arial" w:cs="Arial"/>
          <w:lang w:val="mk-MK"/>
        </w:rPr>
        <w:t>to</w:t>
      </w:r>
      <w:proofErr w:type="spellEnd"/>
      <w:r w:rsidRPr="00AA64B1">
        <w:rPr>
          <w:rFonts w:ascii="Arial" w:hAnsi="Arial" w:cs="Arial"/>
          <w:lang w:val="mk-MK"/>
        </w:rPr>
        <w:t xml:space="preserve"> 0.25% </w:t>
      </w:r>
      <w:proofErr w:type="spellStart"/>
      <w:r w:rsidRPr="00AA64B1">
        <w:rPr>
          <w:rFonts w:ascii="Arial" w:hAnsi="Arial" w:cs="Arial"/>
          <w:lang w:val="mk-MK"/>
        </w:rPr>
        <w:t>per</w:t>
      </w:r>
      <w:proofErr w:type="spellEnd"/>
      <w:r w:rsidRPr="00AA64B1">
        <w:rPr>
          <w:rFonts w:ascii="Arial" w:hAnsi="Arial" w:cs="Arial"/>
          <w:lang w:val="mk-MK"/>
        </w:rPr>
        <w:t xml:space="preserve"> </w:t>
      </w:r>
      <w:proofErr w:type="spellStart"/>
      <w:r w:rsidRPr="00AA64B1">
        <w:rPr>
          <w:rFonts w:ascii="Arial" w:hAnsi="Arial" w:cs="Arial"/>
          <w:lang w:val="mk-MK"/>
        </w:rPr>
        <w:t>year</w:t>
      </w:r>
      <w:proofErr w:type="spellEnd"/>
      <w:r w:rsidRPr="00AA64B1">
        <w:rPr>
          <w:rFonts w:ascii="Arial" w:hAnsi="Arial" w:cs="Arial"/>
          <w:lang w:val="mk-MK"/>
        </w:rPr>
        <w:t xml:space="preserve"> (</w:t>
      </w:r>
      <w:proofErr w:type="spellStart"/>
      <w:r w:rsidRPr="00AA64B1">
        <w:rPr>
          <w:rFonts w:ascii="Arial" w:hAnsi="Arial" w:cs="Arial"/>
          <w:lang w:val="mk-MK"/>
        </w:rPr>
        <w:t>from</w:t>
      </w:r>
      <w:proofErr w:type="spellEnd"/>
      <w:r w:rsidRPr="00AA64B1">
        <w:rPr>
          <w:rFonts w:ascii="Arial" w:hAnsi="Arial" w:cs="Arial"/>
          <w:lang w:val="mk-MK"/>
        </w:rPr>
        <w:t xml:space="preserve"> 01 </w:t>
      </w:r>
      <w:proofErr w:type="spellStart"/>
      <w:r w:rsidRPr="00AA64B1">
        <w:rPr>
          <w:rFonts w:ascii="Arial" w:hAnsi="Arial" w:cs="Arial"/>
          <w:lang w:val="mk-MK"/>
        </w:rPr>
        <w:t>November</w:t>
      </w:r>
      <w:proofErr w:type="spellEnd"/>
      <w:r w:rsidRPr="00AA64B1">
        <w:rPr>
          <w:rFonts w:ascii="Arial" w:hAnsi="Arial" w:cs="Arial"/>
          <w:lang w:val="mk-MK"/>
        </w:rPr>
        <w:t xml:space="preserve"> 2017) </w:t>
      </w:r>
      <w:proofErr w:type="spellStart"/>
      <w:r w:rsidRPr="00AA64B1">
        <w:rPr>
          <w:rFonts w:ascii="Arial" w:hAnsi="Arial" w:cs="Arial"/>
          <w:lang w:val="mk-MK"/>
        </w:rPr>
        <w:t>and</w:t>
      </w:r>
      <w:proofErr w:type="spellEnd"/>
      <w:r w:rsidRPr="00AA64B1">
        <w:rPr>
          <w:rFonts w:ascii="Arial" w:hAnsi="Arial" w:cs="Arial"/>
          <w:lang w:val="mk-MK"/>
        </w:rPr>
        <w:t xml:space="preserve"> </w:t>
      </w:r>
      <w:proofErr w:type="spellStart"/>
      <w:r w:rsidRPr="00AA64B1">
        <w:rPr>
          <w:rFonts w:ascii="Arial" w:hAnsi="Arial" w:cs="Arial"/>
          <w:lang w:val="mk-MK"/>
        </w:rPr>
        <w:t>is</w:t>
      </w:r>
      <w:proofErr w:type="spellEnd"/>
      <w:r w:rsidRPr="00AA64B1">
        <w:rPr>
          <w:rFonts w:ascii="Arial" w:hAnsi="Arial" w:cs="Arial"/>
          <w:lang w:val="mk-MK"/>
        </w:rPr>
        <w:t xml:space="preserve"> </w:t>
      </w:r>
      <w:proofErr w:type="spellStart"/>
      <w:r w:rsidRPr="00AA64B1">
        <w:rPr>
          <w:rFonts w:ascii="Arial" w:hAnsi="Arial" w:cs="Arial"/>
          <w:lang w:val="mk-MK"/>
        </w:rPr>
        <w:t>applicable</w:t>
      </w:r>
      <w:proofErr w:type="spellEnd"/>
      <w:r w:rsidRPr="00AA64B1">
        <w:rPr>
          <w:rFonts w:ascii="Arial" w:hAnsi="Arial" w:cs="Arial"/>
          <w:lang w:val="mk-MK"/>
        </w:rPr>
        <w:t xml:space="preserve"> </w:t>
      </w:r>
      <w:proofErr w:type="spellStart"/>
      <w:r w:rsidRPr="00AA64B1">
        <w:rPr>
          <w:rFonts w:ascii="Arial" w:hAnsi="Arial" w:cs="Arial"/>
          <w:lang w:val="mk-MK"/>
        </w:rPr>
        <w:t>from</w:t>
      </w:r>
      <w:proofErr w:type="spellEnd"/>
      <w:r w:rsidRPr="00AA64B1">
        <w:rPr>
          <w:rFonts w:ascii="Arial" w:hAnsi="Arial" w:cs="Arial"/>
          <w:lang w:val="mk-MK"/>
        </w:rPr>
        <w:t xml:space="preserve"> </w:t>
      </w:r>
      <w:proofErr w:type="spellStart"/>
      <w:r w:rsidRPr="00AA64B1">
        <w:rPr>
          <w:rFonts w:ascii="Arial" w:hAnsi="Arial" w:cs="Arial"/>
          <w:lang w:val="mk-MK"/>
        </w:rPr>
        <w:t>the</w:t>
      </w:r>
      <w:proofErr w:type="spellEnd"/>
      <w:r w:rsidRPr="00AA64B1">
        <w:rPr>
          <w:rFonts w:ascii="Arial" w:hAnsi="Arial" w:cs="Arial"/>
          <w:lang w:val="mk-MK"/>
        </w:rPr>
        <w:t xml:space="preserve"> </w:t>
      </w:r>
      <w:proofErr w:type="spellStart"/>
      <w:r w:rsidRPr="00AA64B1">
        <w:rPr>
          <w:rFonts w:ascii="Arial" w:hAnsi="Arial" w:cs="Arial"/>
          <w:lang w:val="mk-MK"/>
        </w:rPr>
        <w:t>date</w:t>
      </w:r>
      <w:proofErr w:type="spellEnd"/>
      <w:r w:rsidRPr="00AA64B1">
        <w:rPr>
          <w:rFonts w:ascii="Arial" w:hAnsi="Arial" w:cs="Arial"/>
          <w:lang w:val="mk-MK"/>
        </w:rPr>
        <w:t xml:space="preserve"> </w:t>
      </w:r>
      <w:proofErr w:type="spellStart"/>
      <w:r w:rsidRPr="00AA64B1">
        <w:rPr>
          <w:rFonts w:ascii="Arial" w:hAnsi="Arial" w:cs="Arial"/>
          <w:lang w:val="mk-MK"/>
        </w:rPr>
        <w:t>of</w:t>
      </w:r>
      <w:proofErr w:type="spellEnd"/>
      <w:r w:rsidRPr="00AA64B1">
        <w:rPr>
          <w:rFonts w:ascii="Arial" w:hAnsi="Arial" w:cs="Arial"/>
          <w:lang w:val="mk-MK"/>
        </w:rPr>
        <w:t xml:space="preserve"> </w:t>
      </w:r>
      <w:proofErr w:type="spellStart"/>
      <w:r w:rsidRPr="00AA64B1">
        <w:rPr>
          <w:rFonts w:ascii="Arial" w:hAnsi="Arial" w:cs="Arial"/>
          <w:lang w:val="mk-MK"/>
        </w:rPr>
        <w:t>the</w:t>
      </w:r>
      <w:proofErr w:type="spellEnd"/>
      <w:r w:rsidRPr="00AA64B1">
        <w:rPr>
          <w:rFonts w:ascii="Arial" w:hAnsi="Arial" w:cs="Arial"/>
          <w:lang w:val="mk-MK"/>
        </w:rPr>
        <w:t xml:space="preserve"> </w:t>
      </w:r>
      <w:proofErr w:type="spellStart"/>
      <w:r w:rsidRPr="00AA64B1">
        <w:rPr>
          <w:rFonts w:ascii="Arial" w:hAnsi="Arial" w:cs="Arial"/>
          <w:lang w:val="mk-MK"/>
        </w:rPr>
        <w:t>decision</w:t>
      </w:r>
      <w:proofErr w:type="spellEnd"/>
      <w:r w:rsidRPr="00AA64B1">
        <w:rPr>
          <w:rFonts w:ascii="Arial" w:hAnsi="Arial" w:cs="Arial"/>
          <w:lang w:val="mk-MK"/>
        </w:rPr>
        <w:t xml:space="preserve"> </w:t>
      </w:r>
      <w:proofErr w:type="spellStart"/>
      <w:r w:rsidRPr="00AA64B1">
        <w:rPr>
          <w:rFonts w:ascii="Arial" w:hAnsi="Arial" w:cs="Arial"/>
          <w:lang w:val="mk-MK"/>
        </w:rPr>
        <w:t>to</w:t>
      </w:r>
      <w:proofErr w:type="spellEnd"/>
      <w:r w:rsidRPr="00AA64B1">
        <w:rPr>
          <w:rFonts w:ascii="Arial" w:hAnsi="Arial" w:cs="Arial"/>
          <w:lang w:val="mk-MK"/>
        </w:rPr>
        <w:t xml:space="preserve"> </w:t>
      </w:r>
      <w:proofErr w:type="spellStart"/>
      <w:r w:rsidRPr="00AA64B1">
        <w:rPr>
          <w:rFonts w:ascii="Arial" w:hAnsi="Arial" w:cs="Arial"/>
          <w:lang w:val="mk-MK"/>
        </w:rPr>
        <w:t>the</w:t>
      </w:r>
      <w:proofErr w:type="spellEnd"/>
      <w:r w:rsidRPr="00AA64B1">
        <w:rPr>
          <w:rFonts w:ascii="Arial" w:hAnsi="Arial" w:cs="Arial"/>
          <w:lang w:val="mk-MK"/>
        </w:rPr>
        <w:t xml:space="preserve"> </w:t>
      </w:r>
      <w:proofErr w:type="spellStart"/>
      <w:r w:rsidRPr="00AA64B1">
        <w:rPr>
          <w:rFonts w:ascii="Arial" w:hAnsi="Arial" w:cs="Arial"/>
          <w:lang w:val="mk-MK"/>
        </w:rPr>
        <w:t>date</w:t>
      </w:r>
      <w:proofErr w:type="spellEnd"/>
      <w:r w:rsidRPr="00AA64B1">
        <w:rPr>
          <w:rFonts w:ascii="Arial" w:hAnsi="Arial" w:cs="Arial"/>
          <w:lang w:val="mk-MK"/>
        </w:rPr>
        <w:t xml:space="preserve"> </w:t>
      </w:r>
      <w:proofErr w:type="spellStart"/>
      <w:r w:rsidRPr="00AA64B1">
        <w:rPr>
          <w:rFonts w:ascii="Arial" w:hAnsi="Arial" w:cs="Arial"/>
          <w:lang w:val="mk-MK"/>
        </w:rPr>
        <w:t>of</w:t>
      </w:r>
      <w:proofErr w:type="spellEnd"/>
      <w:r w:rsidRPr="00AA64B1">
        <w:rPr>
          <w:rFonts w:ascii="Arial" w:hAnsi="Arial" w:cs="Arial"/>
          <w:lang w:val="mk-MK"/>
        </w:rPr>
        <w:t xml:space="preserve"> </w:t>
      </w:r>
      <w:proofErr w:type="spellStart"/>
      <w:r w:rsidRPr="00AA64B1">
        <w:rPr>
          <w:rFonts w:ascii="Arial" w:hAnsi="Arial" w:cs="Arial"/>
          <w:lang w:val="mk-MK"/>
        </w:rPr>
        <w:t>issuance</w:t>
      </w:r>
      <w:proofErr w:type="spellEnd"/>
      <w:r w:rsidRPr="00AA64B1">
        <w:rPr>
          <w:rFonts w:ascii="Arial" w:hAnsi="Arial" w:cs="Arial"/>
          <w:lang w:val="mk-MK"/>
        </w:rPr>
        <w:t xml:space="preserve"> </w:t>
      </w:r>
      <w:proofErr w:type="spellStart"/>
      <w:r w:rsidRPr="00AA64B1">
        <w:rPr>
          <w:rFonts w:ascii="Arial" w:hAnsi="Arial" w:cs="Arial"/>
          <w:lang w:val="mk-MK"/>
        </w:rPr>
        <w:t>of</w:t>
      </w:r>
      <w:proofErr w:type="spellEnd"/>
      <w:r w:rsidRPr="00AA64B1">
        <w:rPr>
          <w:rFonts w:ascii="Arial" w:hAnsi="Arial" w:cs="Arial"/>
          <w:lang w:val="mk-MK"/>
        </w:rPr>
        <w:t xml:space="preserve"> </w:t>
      </w:r>
      <w:proofErr w:type="spellStart"/>
      <w:r w:rsidRPr="00AA64B1">
        <w:rPr>
          <w:rFonts w:ascii="Arial" w:hAnsi="Arial" w:cs="Arial"/>
          <w:lang w:val="mk-MK"/>
        </w:rPr>
        <w:t>these</w:t>
      </w:r>
      <w:proofErr w:type="spellEnd"/>
      <w:r w:rsidRPr="00AA64B1">
        <w:rPr>
          <w:rFonts w:ascii="Arial" w:hAnsi="Arial" w:cs="Arial"/>
          <w:lang w:val="mk-MK"/>
        </w:rPr>
        <w:t xml:space="preserve"> </w:t>
      </w:r>
      <w:proofErr w:type="spellStart"/>
      <w:r w:rsidRPr="00AA64B1">
        <w:rPr>
          <w:rFonts w:ascii="Arial" w:hAnsi="Arial" w:cs="Arial"/>
          <w:lang w:val="mk-MK"/>
        </w:rPr>
        <w:t>financial</w:t>
      </w:r>
      <w:proofErr w:type="spellEnd"/>
      <w:r w:rsidRPr="00AA64B1">
        <w:rPr>
          <w:rFonts w:ascii="Arial" w:hAnsi="Arial" w:cs="Arial"/>
          <w:lang w:val="mk-MK"/>
        </w:rPr>
        <w:t xml:space="preserve"> </w:t>
      </w:r>
      <w:proofErr w:type="spellStart"/>
      <w:r w:rsidRPr="00AA64B1">
        <w:rPr>
          <w:rFonts w:ascii="Arial" w:hAnsi="Arial" w:cs="Arial"/>
          <w:lang w:val="mk-MK"/>
        </w:rPr>
        <w:t>statements</w:t>
      </w:r>
      <w:proofErr w:type="spellEnd"/>
      <w:r w:rsidRPr="00AA64B1">
        <w:rPr>
          <w:rFonts w:ascii="Arial" w:hAnsi="Arial" w:cs="Arial"/>
          <w:lang w:val="mk-MK"/>
        </w:rPr>
        <w:t>.</w:t>
      </w:r>
      <w:r w:rsidRPr="001E6526">
        <w:rPr>
          <w:rFonts w:ascii="Arial" w:hAnsi="Arial" w:cs="Arial"/>
          <w:lang w:val="mk-MK"/>
        </w:rPr>
        <w:t xml:space="preserve"> </w:t>
      </w:r>
    </w:p>
    <w:p w14:paraId="1FF6DE65" w14:textId="74470ECC" w:rsidR="00815E65" w:rsidRPr="001E6526" w:rsidRDefault="00815E65" w:rsidP="00335782">
      <w:pPr>
        <w:pStyle w:val="BodyText"/>
        <w:jc w:val="both"/>
        <w:rPr>
          <w:rFonts w:ascii="Arial" w:hAnsi="Arial" w:cs="Arial"/>
          <w:b/>
          <w:color w:val="808080"/>
          <w:lang w:val="mk-MK"/>
        </w:rPr>
      </w:pPr>
      <w:r w:rsidRPr="00CE3053">
        <w:rPr>
          <w:rFonts w:ascii="Arial" w:hAnsi="Arial" w:cs="Arial"/>
          <w:b/>
          <w:color w:val="808080"/>
          <w:lang w:val="mk-MK"/>
        </w:rPr>
        <w:br w:type="page"/>
      </w:r>
    </w:p>
    <w:p w14:paraId="07677DAC" w14:textId="0A575169" w:rsidR="00815E65" w:rsidRPr="001E6526" w:rsidRDefault="00126FCB" w:rsidP="0061511C">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Pr>
          <w:rFonts w:ascii="Arial" w:hAnsi="Arial" w:cs="Arial"/>
          <w:b/>
          <w:color w:val="4F2D7F"/>
          <w:sz w:val="18"/>
          <w:lang w:val="en-US"/>
        </w:rPr>
        <w:lastRenderedPageBreak/>
        <w:t xml:space="preserve"> </w:t>
      </w:r>
      <w:r w:rsidR="00640F44">
        <w:rPr>
          <w:rFonts w:ascii="Arial" w:hAnsi="Arial" w:cs="Arial"/>
          <w:b/>
          <w:color w:val="4F2D7F"/>
          <w:sz w:val="18"/>
          <w:lang w:val="en-US"/>
        </w:rPr>
        <w:t>Paid capital and retained earning</w:t>
      </w:r>
    </w:p>
    <w:p w14:paraId="284CE2F6" w14:textId="138623D4" w:rsidR="00815E65" w:rsidRPr="00640F44" w:rsidRDefault="00640F44" w:rsidP="00815E65">
      <w:pPr>
        <w:pStyle w:val="Heading4"/>
        <w:jc w:val="both"/>
        <w:rPr>
          <w:rFonts w:ascii="Arial" w:hAnsi="Arial" w:cs="Arial"/>
          <w:lang w:val="en-US"/>
        </w:rPr>
      </w:pPr>
      <w:r>
        <w:rPr>
          <w:rFonts w:ascii="Arial" w:hAnsi="Arial" w:cs="Arial"/>
          <w:lang w:val="en-US"/>
        </w:rPr>
        <w:t>Paid capital</w:t>
      </w:r>
    </w:p>
    <w:p w14:paraId="28ABC90A" w14:textId="1E630EAB" w:rsidR="00815E65" w:rsidRPr="001E6526" w:rsidRDefault="00640F44" w:rsidP="00815E65">
      <w:pPr>
        <w:pStyle w:val="BodyText"/>
        <w:jc w:val="both"/>
        <w:rPr>
          <w:rFonts w:ascii="Arial" w:hAnsi="Arial" w:cs="Arial"/>
          <w:lang w:val="mk-MK"/>
        </w:rPr>
      </w:pPr>
      <w:proofErr w:type="spellStart"/>
      <w:r w:rsidRPr="00640F44">
        <w:rPr>
          <w:rFonts w:ascii="Arial" w:hAnsi="Arial" w:cs="Arial"/>
          <w:lang w:val="mk-MK"/>
        </w:rPr>
        <w:t>The</w:t>
      </w:r>
      <w:proofErr w:type="spellEnd"/>
      <w:r w:rsidRPr="00640F44">
        <w:rPr>
          <w:rFonts w:ascii="Arial" w:hAnsi="Arial" w:cs="Arial"/>
          <w:lang w:val="mk-MK"/>
        </w:rPr>
        <w:t xml:space="preserve"> </w:t>
      </w:r>
      <w:proofErr w:type="spellStart"/>
      <w:r w:rsidRPr="00640F44">
        <w:rPr>
          <w:rFonts w:ascii="Arial" w:hAnsi="Arial" w:cs="Arial"/>
          <w:lang w:val="mk-MK"/>
        </w:rPr>
        <w:t>owner's</w:t>
      </w:r>
      <w:proofErr w:type="spellEnd"/>
      <w:r w:rsidRPr="00640F44">
        <w:rPr>
          <w:rFonts w:ascii="Arial" w:hAnsi="Arial" w:cs="Arial"/>
          <w:lang w:val="mk-MK"/>
        </w:rPr>
        <w:t xml:space="preserve"> </w:t>
      </w:r>
      <w:proofErr w:type="spellStart"/>
      <w:r w:rsidRPr="00640F44">
        <w:rPr>
          <w:rFonts w:ascii="Arial" w:hAnsi="Arial" w:cs="Arial"/>
          <w:lang w:val="mk-MK"/>
        </w:rPr>
        <w:t>equity</w:t>
      </w:r>
      <w:proofErr w:type="spellEnd"/>
      <w:r w:rsidRPr="00640F44">
        <w:rPr>
          <w:rFonts w:ascii="Arial" w:hAnsi="Arial" w:cs="Arial"/>
          <w:lang w:val="mk-MK"/>
        </w:rPr>
        <w:t xml:space="preserve"> </w:t>
      </w:r>
      <w:proofErr w:type="spellStart"/>
      <w:r w:rsidRPr="00640F44">
        <w:rPr>
          <w:rFonts w:ascii="Arial" w:hAnsi="Arial" w:cs="Arial"/>
          <w:lang w:val="mk-MK"/>
        </w:rPr>
        <w:t>represents</w:t>
      </w:r>
      <w:proofErr w:type="spellEnd"/>
      <w:r w:rsidRPr="00640F44">
        <w:rPr>
          <w:rFonts w:ascii="Arial" w:hAnsi="Arial" w:cs="Arial"/>
          <w:lang w:val="mk-MK"/>
        </w:rPr>
        <w:t xml:space="preserve"> </w:t>
      </w:r>
      <w:proofErr w:type="spellStart"/>
      <w:r w:rsidRPr="00640F44">
        <w:rPr>
          <w:rFonts w:ascii="Arial" w:hAnsi="Arial" w:cs="Arial"/>
          <w:lang w:val="mk-MK"/>
        </w:rPr>
        <w:t>the</w:t>
      </w:r>
      <w:proofErr w:type="spellEnd"/>
      <w:r w:rsidRPr="00640F44">
        <w:rPr>
          <w:rFonts w:ascii="Arial" w:hAnsi="Arial" w:cs="Arial"/>
          <w:lang w:val="mk-MK"/>
        </w:rPr>
        <w:t xml:space="preserve"> </w:t>
      </w:r>
      <w:proofErr w:type="spellStart"/>
      <w:r w:rsidRPr="00640F44">
        <w:rPr>
          <w:rFonts w:ascii="Arial" w:hAnsi="Arial" w:cs="Arial"/>
          <w:lang w:val="mk-MK"/>
        </w:rPr>
        <w:t>fair</w:t>
      </w:r>
      <w:proofErr w:type="spellEnd"/>
      <w:r w:rsidRPr="00640F44">
        <w:rPr>
          <w:rFonts w:ascii="Arial" w:hAnsi="Arial" w:cs="Arial"/>
          <w:lang w:val="mk-MK"/>
        </w:rPr>
        <w:t xml:space="preserve"> </w:t>
      </w:r>
      <w:proofErr w:type="spellStart"/>
      <w:r w:rsidRPr="00640F44">
        <w:rPr>
          <w:rFonts w:ascii="Arial" w:hAnsi="Arial" w:cs="Arial"/>
          <w:lang w:val="mk-MK"/>
        </w:rPr>
        <w:t>value</w:t>
      </w:r>
      <w:proofErr w:type="spellEnd"/>
      <w:r w:rsidRPr="00640F44">
        <w:rPr>
          <w:rFonts w:ascii="Arial" w:hAnsi="Arial" w:cs="Arial"/>
          <w:lang w:val="mk-MK"/>
        </w:rPr>
        <w:t xml:space="preserve"> </w:t>
      </w:r>
      <w:proofErr w:type="spellStart"/>
      <w:r w:rsidRPr="00640F44">
        <w:rPr>
          <w:rFonts w:ascii="Arial" w:hAnsi="Arial" w:cs="Arial"/>
          <w:lang w:val="mk-MK"/>
        </w:rPr>
        <w:t>of</w:t>
      </w:r>
      <w:proofErr w:type="spellEnd"/>
      <w:r w:rsidRPr="00640F44">
        <w:rPr>
          <w:rFonts w:ascii="Arial" w:hAnsi="Arial" w:cs="Arial"/>
          <w:lang w:val="mk-MK"/>
        </w:rPr>
        <w:t xml:space="preserve"> </w:t>
      </w:r>
      <w:proofErr w:type="spellStart"/>
      <w:r w:rsidRPr="00640F44">
        <w:rPr>
          <w:rFonts w:ascii="Arial" w:hAnsi="Arial" w:cs="Arial"/>
          <w:lang w:val="mk-MK"/>
        </w:rPr>
        <w:t>the</w:t>
      </w:r>
      <w:proofErr w:type="spellEnd"/>
      <w:r w:rsidRPr="00640F44">
        <w:rPr>
          <w:rFonts w:ascii="Arial" w:hAnsi="Arial" w:cs="Arial"/>
          <w:lang w:val="mk-MK"/>
        </w:rPr>
        <w:t xml:space="preserve"> </w:t>
      </w:r>
      <w:proofErr w:type="spellStart"/>
      <w:r w:rsidRPr="00640F44">
        <w:rPr>
          <w:rFonts w:ascii="Arial" w:hAnsi="Arial" w:cs="Arial"/>
          <w:lang w:val="mk-MK"/>
        </w:rPr>
        <w:t>paid</w:t>
      </w:r>
      <w:proofErr w:type="spellEnd"/>
      <w:r w:rsidRPr="00640F44">
        <w:rPr>
          <w:rFonts w:ascii="Arial" w:hAnsi="Arial" w:cs="Arial"/>
          <w:lang w:val="mk-MK"/>
        </w:rPr>
        <w:t xml:space="preserve"> </w:t>
      </w:r>
      <w:proofErr w:type="spellStart"/>
      <w:r w:rsidRPr="00640F44">
        <w:rPr>
          <w:rFonts w:ascii="Arial" w:hAnsi="Arial" w:cs="Arial"/>
          <w:lang w:val="mk-MK"/>
        </w:rPr>
        <w:t>assets</w:t>
      </w:r>
      <w:proofErr w:type="spellEnd"/>
      <w:r w:rsidR="00815E65" w:rsidRPr="001E6526">
        <w:rPr>
          <w:rFonts w:ascii="Arial" w:hAnsi="Arial" w:cs="Arial"/>
          <w:lang w:val="mk-MK"/>
        </w:rPr>
        <w:t xml:space="preserve">.  </w:t>
      </w:r>
    </w:p>
    <w:p w14:paraId="614C5E05" w14:textId="38F5911B" w:rsidR="00815E65" w:rsidRPr="006A2587" w:rsidRDefault="00640F44" w:rsidP="00815E65">
      <w:pPr>
        <w:pStyle w:val="Heading4"/>
        <w:jc w:val="both"/>
        <w:rPr>
          <w:rFonts w:ascii="Arial" w:hAnsi="Arial" w:cs="Arial"/>
          <w:lang w:val="mk-MK"/>
        </w:rPr>
      </w:pPr>
      <w:r>
        <w:rPr>
          <w:rFonts w:ascii="Arial" w:hAnsi="Arial" w:cs="Arial"/>
          <w:lang w:val="en-US"/>
        </w:rPr>
        <w:t>Retained earnings</w:t>
      </w:r>
    </w:p>
    <w:p w14:paraId="49BFDA68" w14:textId="04383D50" w:rsidR="00815E65" w:rsidRPr="001E6526" w:rsidRDefault="00640F44" w:rsidP="00815E65">
      <w:pPr>
        <w:pStyle w:val="BodyText"/>
        <w:spacing w:after="0"/>
        <w:jc w:val="both"/>
        <w:rPr>
          <w:rFonts w:ascii="Arial" w:hAnsi="Arial" w:cs="Arial"/>
          <w:lang w:val="mk-MK"/>
        </w:rPr>
      </w:pPr>
      <w:proofErr w:type="spellStart"/>
      <w:r w:rsidRPr="00640F44">
        <w:rPr>
          <w:rFonts w:ascii="Arial" w:hAnsi="Arial" w:cs="Arial"/>
          <w:lang w:val="mk-MK"/>
        </w:rPr>
        <w:t>The</w:t>
      </w:r>
      <w:proofErr w:type="spellEnd"/>
      <w:r w:rsidRPr="00640F44">
        <w:rPr>
          <w:rFonts w:ascii="Arial" w:hAnsi="Arial" w:cs="Arial"/>
          <w:lang w:val="mk-MK"/>
        </w:rPr>
        <w:t xml:space="preserve"> </w:t>
      </w:r>
      <w:proofErr w:type="spellStart"/>
      <w:r w:rsidRPr="00640F44">
        <w:rPr>
          <w:rFonts w:ascii="Arial" w:hAnsi="Arial" w:cs="Arial"/>
          <w:lang w:val="mk-MK"/>
        </w:rPr>
        <w:t>net</w:t>
      </w:r>
      <w:proofErr w:type="spellEnd"/>
      <w:r w:rsidRPr="00640F44">
        <w:rPr>
          <w:rFonts w:ascii="Arial" w:hAnsi="Arial" w:cs="Arial"/>
          <w:lang w:val="mk-MK"/>
        </w:rPr>
        <w:t xml:space="preserve"> </w:t>
      </w:r>
      <w:proofErr w:type="spellStart"/>
      <w:r w:rsidRPr="00640F44">
        <w:rPr>
          <w:rFonts w:ascii="Arial" w:hAnsi="Arial" w:cs="Arial"/>
          <w:lang w:val="mk-MK"/>
        </w:rPr>
        <w:t>profit</w:t>
      </w:r>
      <w:proofErr w:type="spellEnd"/>
      <w:r w:rsidRPr="00640F44">
        <w:rPr>
          <w:rFonts w:ascii="Arial" w:hAnsi="Arial" w:cs="Arial"/>
          <w:lang w:val="mk-MK"/>
        </w:rPr>
        <w:t xml:space="preserve"> </w:t>
      </w:r>
      <w:proofErr w:type="spellStart"/>
      <w:r w:rsidRPr="00640F44">
        <w:rPr>
          <w:rFonts w:ascii="Arial" w:hAnsi="Arial" w:cs="Arial"/>
          <w:lang w:val="mk-MK"/>
        </w:rPr>
        <w:t>realized</w:t>
      </w:r>
      <w:proofErr w:type="spellEnd"/>
      <w:r w:rsidRPr="00640F44">
        <w:rPr>
          <w:rFonts w:ascii="Arial" w:hAnsi="Arial" w:cs="Arial"/>
          <w:lang w:val="mk-MK"/>
        </w:rPr>
        <w:t xml:space="preserve"> </w:t>
      </w:r>
      <w:proofErr w:type="spellStart"/>
      <w:r w:rsidRPr="00640F44">
        <w:rPr>
          <w:rFonts w:ascii="Arial" w:hAnsi="Arial" w:cs="Arial"/>
          <w:lang w:val="mk-MK"/>
        </w:rPr>
        <w:t>from</w:t>
      </w:r>
      <w:proofErr w:type="spellEnd"/>
      <w:r w:rsidRPr="00640F44">
        <w:rPr>
          <w:rFonts w:ascii="Arial" w:hAnsi="Arial" w:cs="Arial"/>
          <w:lang w:val="mk-MK"/>
        </w:rPr>
        <w:t xml:space="preserve"> </w:t>
      </w:r>
      <w:proofErr w:type="spellStart"/>
      <w:r w:rsidRPr="00640F44">
        <w:rPr>
          <w:rFonts w:ascii="Arial" w:hAnsi="Arial" w:cs="Arial"/>
          <w:lang w:val="mk-MK"/>
        </w:rPr>
        <w:t>the</w:t>
      </w:r>
      <w:proofErr w:type="spellEnd"/>
      <w:r w:rsidRPr="00640F44">
        <w:rPr>
          <w:rFonts w:ascii="Arial" w:hAnsi="Arial" w:cs="Arial"/>
          <w:lang w:val="mk-MK"/>
        </w:rPr>
        <w:t xml:space="preserve"> </w:t>
      </w:r>
      <w:proofErr w:type="spellStart"/>
      <w:r w:rsidRPr="00640F44">
        <w:rPr>
          <w:rFonts w:ascii="Arial" w:hAnsi="Arial" w:cs="Arial"/>
          <w:lang w:val="mk-MK"/>
        </w:rPr>
        <w:t>operation</w:t>
      </w:r>
      <w:proofErr w:type="spellEnd"/>
      <w:r w:rsidRPr="00640F44">
        <w:rPr>
          <w:rFonts w:ascii="Arial" w:hAnsi="Arial" w:cs="Arial"/>
          <w:lang w:val="mk-MK"/>
        </w:rPr>
        <w:t xml:space="preserve"> </w:t>
      </w:r>
      <w:proofErr w:type="spellStart"/>
      <w:r w:rsidRPr="00640F44">
        <w:rPr>
          <w:rFonts w:ascii="Arial" w:hAnsi="Arial" w:cs="Arial"/>
          <w:lang w:val="mk-MK"/>
        </w:rPr>
        <w:t>of</w:t>
      </w:r>
      <w:proofErr w:type="spellEnd"/>
      <w:r w:rsidRPr="00640F44">
        <w:rPr>
          <w:rFonts w:ascii="Arial" w:hAnsi="Arial" w:cs="Arial"/>
          <w:lang w:val="mk-MK"/>
        </w:rPr>
        <w:t xml:space="preserve"> </w:t>
      </w:r>
      <w:proofErr w:type="spellStart"/>
      <w:r w:rsidRPr="00640F44">
        <w:rPr>
          <w:rFonts w:ascii="Arial" w:hAnsi="Arial" w:cs="Arial"/>
          <w:lang w:val="mk-MK"/>
        </w:rPr>
        <w:t>the</w:t>
      </w:r>
      <w:proofErr w:type="spellEnd"/>
      <w:r w:rsidRPr="00640F44">
        <w:rPr>
          <w:rFonts w:ascii="Arial" w:hAnsi="Arial" w:cs="Arial"/>
          <w:lang w:val="mk-MK"/>
        </w:rPr>
        <w:t xml:space="preserve"> </w:t>
      </w:r>
      <w:proofErr w:type="spellStart"/>
      <w:r w:rsidRPr="00640F44">
        <w:rPr>
          <w:rFonts w:ascii="Arial" w:hAnsi="Arial" w:cs="Arial"/>
          <w:lang w:val="mk-MK"/>
        </w:rPr>
        <w:t>Fund</w:t>
      </w:r>
      <w:proofErr w:type="spellEnd"/>
      <w:r w:rsidRPr="00640F44">
        <w:rPr>
          <w:rFonts w:ascii="Arial" w:hAnsi="Arial" w:cs="Arial"/>
          <w:lang w:val="mk-MK"/>
        </w:rPr>
        <w:t xml:space="preserve"> </w:t>
      </w:r>
      <w:proofErr w:type="spellStart"/>
      <w:r w:rsidRPr="00640F44">
        <w:rPr>
          <w:rFonts w:ascii="Arial" w:hAnsi="Arial" w:cs="Arial"/>
          <w:lang w:val="mk-MK"/>
        </w:rPr>
        <w:t>is</w:t>
      </w:r>
      <w:proofErr w:type="spellEnd"/>
      <w:r w:rsidRPr="00640F44">
        <w:rPr>
          <w:rFonts w:ascii="Arial" w:hAnsi="Arial" w:cs="Arial"/>
          <w:lang w:val="mk-MK"/>
        </w:rPr>
        <w:t xml:space="preserve"> </w:t>
      </w:r>
      <w:proofErr w:type="spellStart"/>
      <w:r w:rsidRPr="00640F44">
        <w:rPr>
          <w:rFonts w:ascii="Arial" w:hAnsi="Arial" w:cs="Arial"/>
          <w:lang w:val="mk-MK"/>
        </w:rPr>
        <w:t>distributed</w:t>
      </w:r>
      <w:proofErr w:type="spellEnd"/>
      <w:r w:rsidRPr="00640F44">
        <w:rPr>
          <w:rFonts w:ascii="Arial" w:hAnsi="Arial" w:cs="Arial"/>
          <w:lang w:val="mk-MK"/>
        </w:rPr>
        <w:t xml:space="preserve"> </w:t>
      </w:r>
      <w:proofErr w:type="spellStart"/>
      <w:r w:rsidRPr="00640F44">
        <w:rPr>
          <w:rFonts w:ascii="Arial" w:hAnsi="Arial" w:cs="Arial"/>
          <w:lang w:val="mk-MK"/>
        </w:rPr>
        <w:t>for</w:t>
      </w:r>
      <w:proofErr w:type="spellEnd"/>
      <w:r w:rsidRPr="00640F44">
        <w:rPr>
          <w:rFonts w:ascii="Arial" w:hAnsi="Arial" w:cs="Arial"/>
          <w:lang w:val="mk-MK"/>
        </w:rPr>
        <w:t>:</w:t>
      </w:r>
      <w:r w:rsidR="00815E65" w:rsidRPr="001E6526">
        <w:rPr>
          <w:rFonts w:ascii="Arial" w:hAnsi="Arial" w:cs="Arial"/>
          <w:lang w:val="mk-MK"/>
        </w:rPr>
        <w:t xml:space="preserve"> </w:t>
      </w:r>
    </w:p>
    <w:p w14:paraId="602A9388" w14:textId="53EC4F5C" w:rsidR="00815E65" w:rsidRPr="001E6526" w:rsidRDefault="00815E65" w:rsidP="00815E65">
      <w:pPr>
        <w:pStyle w:val="BodyText"/>
        <w:spacing w:after="0"/>
        <w:jc w:val="both"/>
        <w:rPr>
          <w:rFonts w:ascii="Arial" w:hAnsi="Arial" w:cs="Arial"/>
          <w:lang w:val="mk-MK"/>
        </w:rPr>
      </w:pPr>
      <w:r w:rsidRPr="001E6526">
        <w:rPr>
          <w:rFonts w:ascii="Arial" w:hAnsi="Arial" w:cs="Arial"/>
          <w:lang w:val="mk-MK"/>
        </w:rPr>
        <w:t xml:space="preserve">- </w:t>
      </w:r>
      <w:proofErr w:type="spellStart"/>
      <w:r w:rsidR="00640F44" w:rsidRPr="00640F44">
        <w:rPr>
          <w:rFonts w:ascii="Arial" w:hAnsi="Arial" w:cs="Arial"/>
          <w:lang w:val="mk-MK"/>
        </w:rPr>
        <w:t>covering</w:t>
      </w:r>
      <w:proofErr w:type="spellEnd"/>
      <w:r w:rsidR="00640F44" w:rsidRPr="00640F44">
        <w:rPr>
          <w:rFonts w:ascii="Arial" w:hAnsi="Arial" w:cs="Arial"/>
          <w:lang w:val="mk-MK"/>
        </w:rPr>
        <w:t xml:space="preserve"> </w:t>
      </w:r>
      <w:proofErr w:type="spellStart"/>
      <w:r w:rsidR="00640F44" w:rsidRPr="00640F44">
        <w:rPr>
          <w:rFonts w:ascii="Arial" w:hAnsi="Arial" w:cs="Arial"/>
          <w:lang w:val="mk-MK"/>
        </w:rPr>
        <w:t>losses</w:t>
      </w:r>
      <w:proofErr w:type="spellEnd"/>
      <w:r w:rsidR="00640F44" w:rsidRPr="00640F44">
        <w:rPr>
          <w:rFonts w:ascii="Arial" w:hAnsi="Arial" w:cs="Arial"/>
          <w:lang w:val="mk-MK"/>
        </w:rPr>
        <w:t xml:space="preserve"> </w:t>
      </w:r>
      <w:proofErr w:type="spellStart"/>
      <w:r w:rsidR="00640F44" w:rsidRPr="00640F44">
        <w:rPr>
          <w:rFonts w:ascii="Arial" w:hAnsi="Arial" w:cs="Arial"/>
          <w:lang w:val="mk-MK"/>
        </w:rPr>
        <w:t>from</w:t>
      </w:r>
      <w:proofErr w:type="spellEnd"/>
      <w:r w:rsidR="00640F44" w:rsidRPr="00640F44">
        <w:rPr>
          <w:rFonts w:ascii="Arial" w:hAnsi="Arial" w:cs="Arial"/>
          <w:lang w:val="mk-MK"/>
        </w:rPr>
        <w:t xml:space="preserve"> </w:t>
      </w:r>
      <w:proofErr w:type="spellStart"/>
      <w:r w:rsidR="00640F44" w:rsidRPr="00640F44">
        <w:rPr>
          <w:rFonts w:ascii="Arial" w:hAnsi="Arial" w:cs="Arial"/>
          <w:lang w:val="mk-MK"/>
        </w:rPr>
        <w:t>operations</w:t>
      </w:r>
      <w:proofErr w:type="spellEnd"/>
      <w:r w:rsidR="00640F44" w:rsidRPr="00640F44">
        <w:rPr>
          <w:rFonts w:ascii="Arial" w:hAnsi="Arial" w:cs="Arial"/>
          <w:lang w:val="mk-MK"/>
        </w:rPr>
        <w:t xml:space="preserve"> </w:t>
      </w:r>
      <w:proofErr w:type="spellStart"/>
      <w:r w:rsidR="00640F44" w:rsidRPr="00640F44">
        <w:rPr>
          <w:rFonts w:ascii="Arial" w:hAnsi="Arial" w:cs="Arial"/>
          <w:lang w:val="mk-MK"/>
        </w:rPr>
        <w:t>in</w:t>
      </w:r>
      <w:proofErr w:type="spellEnd"/>
      <w:r w:rsidR="00640F44" w:rsidRPr="00640F44">
        <w:rPr>
          <w:rFonts w:ascii="Arial" w:hAnsi="Arial" w:cs="Arial"/>
          <w:lang w:val="mk-MK"/>
        </w:rPr>
        <w:t xml:space="preserve"> </w:t>
      </w:r>
      <w:proofErr w:type="spellStart"/>
      <w:r w:rsidR="00640F44" w:rsidRPr="00640F44">
        <w:rPr>
          <w:rFonts w:ascii="Arial" w:hAnsi="Arial" w:cs="Arial"/>
          <w:lang w:val="mk-MK"/>
        </w:rPr>
        <w:t>the</w:t>
      </w:r>
      <w:proofErr w:type="spellEnd"/>
      <w:r w:rsidR="00640F44" w:rsidRPr="00640F44">
        <w:rPr>
          <w:rFonts w:ascii="Arial" w:hAnsi="Arial" w:cs="Arial"/>
          <w:lang w:val="mk-MK"/>
        </w:rPr>
        <w:t xml:space="preserve"> </w:t>
      </w:r>
      <w:proofErr w:type="spellStart"/>
      <w:r w:rsidR="00640F44" w:rsidRPr="00640F44">
        <w:rPr>
          <w:rFonts w:ascii="Arial" w:hAnsi="Arial" w:cs="Arial"/>
          <w:lang w:val="mk-MK"/>
        </w:rPr>
        <w:t>previous</w:t>
      </w:r>
      <w:proofErr w:type="spellEnd"/>
      <w:r w:rsidR="00640F44" w:rsidRPr="00640F44">
        <w:rPr>
          <w:rFonts w:ascii="Arial" w:hAnsi="Arial" w:cs="Arial"/>
          <w:lang w:val="mk-MK"/>
        </w:rPr>
        <w:t xml:space="preserve"> </w:t>
      </w:r>
      <w:proofErr w:type="spellStart"/>
      <w:r w:rsidR="00640F44" w:rsidRPr="00640F44">
        <w:rPr>
          <w:rFonts w:ascii="Arial" w:hAnsi="Arial" w:cs="Arial"/>
          <w:lang w:val="mk-MK"/>
        </w:rPr>
        <w:t>year</w:t>
      </w:r>
      <w:proofErr w:type="spellEnd"/>
      <w:r w:rsidR="00640F44" w:rsidRPr="00640F44">
        <w:rPr>
          <w:rFonts w:ascii="Arial" w:hAnsi="Arial" w:cs="Arial"/>
          <w:lang w:val="mk-MK"/>
        </w:rPr>
        <w:t xml:space="preserve"> </w:t>
      </w:r>
      <w:proofErr w:type="spellStart"/>
      <w:r w:rsidR="00640F44" w:rsidRPr="00640F44">
        <w:rPr>
          <w:rFonts w:ascii="Arial" w:hAnsi="Arial" w:cs="Arial"/>
          <w:lang w:val="mk-MK"/>
        </w:rPr>
        <w:t>and</w:t>
      </w:r>
      <w:proofErr w:type="spellEnd"/>
    </w:p>
    <w:p w14:paraId="5C6ABABF" w14:textId="666C7B16" w:rsidR="00815E65" w:rsidRPr="001E6526" w:rsidRDefault="00815E65" w:rsidP="00815E65">
      <w:pPr>
        <w:pStyle w:val="BodyText"/>
        <w:jc w:val="both"/>
        <w:rPr>
          <w:rFonts w:ascii="Arial" w:hAnsi="Arial" w:cs="Arial"/>
          <w:lang w:val="mk-MK"/>
        </w:rPr>
      </w:pPr>
      <w:r w:rsidRPr="001E6526">
        <w:rPr>
          <w:rFonts w:ascii="Arial" w:hAnsi="Arial" w:cs="Arial"/>
          <w:lang w:val="mk-MK"/>
        </w:rPr>
        <w:t xml:space="preserve">- </w:t>
      </w:r>
      <w:r w:rsidR="00640F44">
        <w:rPr>
          <w:rFonts w:ascii="Arial" w:hAnsi="Arial" w:cs="Arial"/>
          <w:lang w:val="en-US"/>
        </w:rPr>
        <w:t>reserves of the Fund</w:t>
      </w:r>
      <w:r w:rsidRPr="001E6526">
        <w:rPr>
          <w:rFonts w:ascii="Arial" w:hAnsi="Arial" w:cs="Arial"/>
          <w:lang w:val="mk-MK"/>
        </w:rPr>
        <w:t xml:space="preserve"> </w:t>
      </w:r>
    </w:p>
    <w:p w14:paraId="4348B596" w14:textId="25BB31A4" w:rsidR="00815E65" w:rsidRDefault="00640F44" w:rsidP="00815E65">
      <w:pPr>
        <w:pStyle w:val="BodyText"/>
        <w:jc w:val="both"/>
        <w:rPr>
          <w:rFonts w:ascii="Arial" w:hAnsi="Arial" w:cs="Arial"/>
          <w:lang w:val="mk-MK"/>
        </w:rPr>
      </w:pPr>
      <w:r w:rsidRPr="00640F44">
        <w:rPr>
          <w:rFonts w:ascii="Arial" w:hAnsi="Arial" w:cs="Arial"/>
          <w:lang w:val="mk-MK"/>
        </w:rPr>
        <w:t xml:space="preserve">A </w:t>
      </w:r>
      <w:proofErr w:type="spellStart"/>
      <w:r w:rsidRPr="00640F44">
        <w:rPr>
          <w:rFonts w:ascii="Arial" w:hAnsi="Arial" w:cs="Arial"/>
          <w:lang w:val="mk-MK"/>
        </w:rPr>
        <w:t>decision</w:t>
      </w:r>
      <w:proofErr w:type="spellEnd"/>
      <w:r w:rsidRPr="00640F44">
        <w:rPr>
          <w:rFonts w:ascii="Arial" w:hAnsi="Arial" w:cs="Arial"/>
          <w:lang w:val="mk-MK"/>
        </w:rPr>
        <w:t xml:space="preserve"> </w:t>
      </w:r>
      <w:proofErr w:type="spellStart"/>
      <w:r w:rsidRPr="00640F44">
        <w:rPr>
          <w:rFonts w:ascii="Arial" w:hAnsi="Arial" w:cs="Arial"/>
          <w:lang w:val="mk-MK"/>
        </w:rPr>
        <w:t>for</w:t>
      </w:r>
      <w:proofErr w:type="spellEnd"/>
      <w:r w:rsidRPr="00640F44">
        <w:rPr>
          <w:rFonts w:ascii="Arial" w:hAnsi="Arial" w:cs="Arial"/>
          <w:lang w:val="mk-MK"/>
        </w:rPr>
        <w:t xml:space="preserve"> </w:t>
      </w:r>
      <w:proofErr w:type="spellStart"/>
      <w:r w:rsidRPr="00640F44">
        <w:rPr>
          <w:rFonts w:ascii="Arial" w:hAnsi="Arial" w:cs="Arial"/>
          <w:lang w:val="mk-MK"/>
        </w:rPr>
        <w:t>allocation</w:t>
      </w:r>
      <w:proofErr w:type="spellEnd"/>
      <w:r w:rsidRPr="00640F44">
        <w:rPr>
          <w:rFonts w:ascii="Arial" w:hAnsi="Arial" w:cs="Arial"/>
          <w:lang w:val="mk-MK"/>
        </w:rPr>
        <w:t xml:space="preserve"> </w:t>
      </w:r>
      <w:proofErr w:type="spellStart"/>
      <w:r w:rsidRPr="00640F44">
        <w:rPr>
          <w:rFonts w:ascii="Arial" w:hAnsi="Arial" w:cs="Arial"/>
          <w:lang w:val="mk-MK"/>
        </w:rPr>
        <w:t>of</w:t>
      </w:r>
      <w:proofErr w:type="spellEnd"/>
      <w:r w:rsidRPr="00640F44">
        <w:rPr>
          <w:rFonts w:ascii="Arial" w:hAnsi="Arial" w:cs="Arial"/>
          <w:lang w:val="mk-MK"/>
        </w:rPr>
        <w:t xml:space="preserve"> </w:t>
      </w:r>
      <w:proofErr w:type="spellStart"/>
      <w:r w:rsidRPr="00640F44">
        <w:rPr>
          <w:rFonts w:ascii="Arial" w:hAnsi="Arial" w:cs="Arial"/>
          <w:lang w:val="mk-MK"/>
        </w:rPr>
        <w:t>the</w:t>
      </w:r>
      <w:proofErr w:type="spellEnd"/>
      <w:r w:rsidRPr="00640F44">
        <w:rPr>
          <w:rFonts w:ascii="Arial" w:hAnsi="Arial" w:cs="Arial"/>
          <w:lang w:val="mk-MK"/>
        </w:rPr>
        <w:t xml:space="preserve"> </w:t>
      </w:r>
      <w:proofErr w:type="spellStart"/>
      <w:r w:rsidRPr="00640F44">
        <w:rPr>
          <w:rFonts w:ascii="Arial" w:hAnsi="Arial" w:cs="Arial"/>
          <w:lang w:val="mk-MK"/>
        </w:rPr>
        <w:t>Fund's</w:t>
      </w:r>
      <w:proofErr w:type="spellEnd"/>
      <w:r w:rsidRPr="00640F44">
        <w:rPr>
          <w:rFonts w:ascii="Arial" w:hAnsi="Arial" w:cs="Arial"/>
          <w:lang w:val="mk-MK"/>
        </w:rPr>
        <w:t xml:space="preserve"> </w:t>
      </w:r>
      <w:proofErr w:type="spellStart"/>
      <w:r w:rsidRPr="00640F44">
        <w:rPr>
          <w:rFonts w:ascii="Arial" w:hAnsi="Arial" w:cs="Arial"/>
          <w:lang w:val="mk-MK"/>
        </w:rPr>
        <w:t>net</w:t>
      </w:r>
      <w:proofErr w:type="spellEnd"/>
      <w:r w:rsidRPr="00640F44">
        <w:rPr>
          <w:rFonts w:ascii="Arial" w:hAnsi="Arial" w:cs="Arial"/>
          <w:lang w:val="mk-MK"/>
        </w:rPr>
        <w:t xml:space="preserve"> </w:t>
      </w:r>
      <w:proofErr w:type="spellStart"/>
      <w:r w:rsidRPr="00640F44">
        <w:rPr>
          <w:rFonts w:ascii="Arial" w:hAnsi="Arial" w:cs="Arial"/>
          <w:lang w:val="mk-MK"/>
        </w:rPr>
        <w:t>profit</w:t>
      </w:r>
      <w:proofErr w:type="spellEnd"/>
      <w:r w:rsidRPr="00640F44">
        <w:rPr>
          <w:rFonts w:ascii="Arial" w:hAnsi="Arial" w:cs="Arial"/>
          <w:lang w:val="mk-MK"/>
        </w:rPr>
        <w:t xml:space="preserve"> </w:t>
      </w:r>
      <w:proofErr w:type="spellStart"/>
      <w:r w:rsidRPr="00640F44">
        <w:rPr>
          <w:rFonts w:ascii="Arial" w:hAnsi="Arial" w:cs="Arial"/>
          <w:lang w:val="mk-MK"/>
        </w:rPr>
        <w:t>is</w:t>
      </w:r>
      <w:proofErr w:type="spellEnd"/>
      <w:r w:rsidRPr="00640F44">
        <w:rPr>
          <w:rFonts w:ascii="Arial" w:hAnsi="Arial" w:cs="Arial"/>
          <w:lang w:val="mk-MK"/>
        </w:rPr>
        <w:t xml:space="preserve"> </w:t>
      </w:r>
      <w:proofErr w:type="spellStart"/>
      <w:r w:rsidRPr="00640F44">
        <w:rPr>
          <w:rFonts w:ascii="Arial" w:hAnsi="Arial" w:cs="Arial"/>
          <w:lang w:val="mk-MK"/>
        </w:rPr>
        <w:t>adopted</w:t>
      </w:r>
      <w:proofErr w:type="spellEnd"/>
      <w:r w:rsidRPr="00640F44">
        <w:rPr>
          <w:rFonts w:ascii="Arial" w:hAnsi="Arial" w:cs="Arial"/>
          <w:lang w:val="mk-MK"/>
        </w:rPr>
        <w:t xml:space="preserve"> </w:t>
      </w:r>
      <w:proofErr w:type="spellStart"/>
      <w:r w:rsidRPr="00640F44">
        <w:rPr>
          <w:rFonts w:ascii="Arial" w:hAnsi="Arial" w:cs="Arial"/>
          <w:lang w:val="mk-MK"/>
        </w:rPr>
        <w:t>by</w:t>
      </w:r>
      <w:proofErr w:type="spellEnd"/>
      <w:r w:rsidRPr="00640F44">
        <w:rPr>
          <w:rFonts w:ascii="Arial" w:hAnsi="Arial" w:cs="Arial"/>
          <w:lang w:val="mk-MK"/>
        </w:rPr>
        <w:t xml:space="preserve"> </w:t>
      </w:r>
      <w:proofErr w:type="spellStart"/>
      <w:r w:rsidRPr="00640F44">
        <w:rPr>
          <w:rFonts w:ascii="Arial" w:hAnsi="Arial" w:cs="Arial"/>
          <w:lang w:val="mk-MK"/>
        </w:rPr>
        <w:t>the</w:t>
      </w:r>
      <w:proofErr w:type="spellEnd"/>
      <w:r w:rsidRPr="00640F44">
        <w:rPr>
          <w:rFonts w:ascii="Arial" w:hAnsi="Arial" w:cs="Arial"/>
          <w:lang w:val="mk-MK"/>
        </w:rPr>
        <w:t xml:space="preserve"> </w:t>
      </w:r>
      <w:proofErr w:type="spellStart"/>
      <w:r w:rsidRPr="00640F44">
        <w:rPr>
          <w:rFonts w:ascii="Arial" w:hAnsi="Arial" w:cs="Arial"/>
          <w:lang w:val="mk-MK"/>
        </w:rPr>
        <w:t>Board</w:t>
      </w:r>
      <w:proofErr w:type="spellEnd"/>
      <w:r w:rsidRPr="00640F44">
        <w:rPr>
          <w:rFonts w:ascii="Arial" w:hAnsi="Arial" w:cs="Arial"/>
          <w:lang w:val="mk-MK"/>
        </w:rPr>
        <w:t xml:space="preserve"> </w:t>
      </w:r>
      <w:proofErr w:type="spellStart"/>
      <w:r w:rsidRPr="00640F44">
        <w:rPr>
          <w:rFonts w:ascii="Arial" w:hAnsi="Arial" w:cs="Arial"/>
          <w:lang w:val="mk-MK"/>
        </w:rPr>
        <w:t>of</w:t>
      </w:r>
      <w:proofErr w:type="spellEnd"/>
      <w:r w:rsidRPr="00640F44">
        <w:rPr>
          <w:rFonts w:ascii="Arial" w:hAnsi="Arial" w:cs="Arial"/>
          <w:lang w:val="mk-MK"/>
        </w:rPr>
        <w:t xml:space="preserve"> </w:t>
      </w:r>
      <w:proofErr w:type="spellStart"/>
      <w:r w:rsidRPr="00640F44">
        <w:rPr>
          <w:rFonts w:ascii="Arial" w:hAnsi="Arial" w:cs="Arial"/>
          <w:lang w:val="mk-MK"/>
        </w:rPr>
        <w:t>Directors</w:t>
      </w:r>
      <w:proofErr w:type="spellEnd"/>
      <w:r w:rsidRPr="00640F44">
        <w:rPr>
          <w:rFonts w:ascii="Arial" w:hAnsi="Arial" w:cs="Arial"/>
          <w:lang w:val="mk-MK"/>
        </w:rPr>
        <w:t xml:space="preserve"> </w:t>
      </w:r>
      <w:proofErr w:type="spellStart"/>
      <w:r w:rsidRPr="00640F44">
        <w:rPr>
          <w:rFonts w:ascii="Arial" w:hAnsi="Arial" w:cs="Arial"/>
          <w:lang w:val="mk-MK"/>
        </w:rPr>
        <w:t>of</w:t>
      </w:r>
      <w:proofErr w:type="spellEnd"/>
      <w:r w:rsidRPr="00640F44">
        <w:rPr>
          <w:rFonts w:ascii="Arial" w:hAnsi="Arial" w:cs="Arial"/>
          <w:lang w:val="mk-MK"/>
        </w:rPr>
        <w:t xml:space="preserve"> </w:t>
      </w:r>
      <w:proofErr w:type="spellStart"/>
      <w:r w:rsidRPr="00640F44">
        <w:rPr>
          <w:rFonts w:ascii="Arial" w:hAnsi="Arial" w:cs="Arial"/>
          <w:lang w:val="mk-MK"/>
        </w:rPr>
        <w:t>the</w:t>
      </w:r>
      <w:proofErr w:type="spellEnd"/>
      <w:r w:rsidRPr="00640F44">
        <w:rPr>
          <w:rFonts w:ascii="Arial" w:hAnsi="Arial" w:cs="Arial"/>
          <w:lang w:val="mk-MK"/>
        </w:rPr>
        <w:t xml:space="preserve"> </w:t>
      </w:r>
      <w:proofErr w:type="spellStart"/>
      <w:r w:rsidRPr="00640F44">
        <w:rPr>
          <w:rFonts w:ascii="Arial" w:hAnsi="Arial" w:cs="Arial"/>
          <w:lang w:val="mk-MK"/>
        </w:rPr>
        <w:t>Fund</w:t>
      </w:r>
      <w:proofErr w:type="spellEnd"/>
      <w:r w:rsidRPr="00640F44">
        <w:rPr>
          <w:rFonts w:ascii="Arial" w:hAnsi="Arial" w:cs="Arial"/>
          <w:lang w:val="mk-MK"/>
        </w:rPr>
        <w:t xml:space="preserve">, </w:t>
      </w:r>
      <w:proofErr w:type="spellStart"/>
      <w:r w:rsidRPr="00640F44">
        <w:rPr>
          <w:rFonts w:ascii="Arial" w:hAnsi="Arial" w:cs="Arial"/>
          <w:lang w:val="mk-MK"/>
        </w:rPr>
        <w:t>which</w:t>
      </w:r>
      <w:proofErr w:type="spellEnd"/>
      <w:r w:rsidRPr="00640F44">
        <w:rPr>
          <w:rFonts w:ascii="Arial" w:hAnsi="Arial" w:cs="Arial"/>
          <w:lang w:val="mk-MK"/>
        </w:rPr>
        <w:t xml:space="preserve"> </w:t>
      </w:r>
      <w:proofErr w:type="spellStart"/>
      <w:r w:rsidRPr="00640F44">
        <w:rPr>
          <w:rFonts w:ascii="Arial" w:hAnsi="Arial" w:cs="Arial"/>
          <w:lang w:val="mk-MK"/>
        </w:rPr>
        <w:t>is</w:t>
      </w:r>
      <w:proofErr w:type="spellEnd"/>
      <w:r w:rsidRPr="00640F44">
        <w:rPr>
          <w:rFonts w:ascii="Arial" w:hAnsi="Arial" w:cs="Arial"/>
          <w:lang w:val="mk-MK"/>
        </w:rPr>
        <w:t xml:space="preserve"> </w:t>
      </w:r>
      <w:proofErr w:type="spellStart"/>
      <w:r w:rsidRPr="00640F44">
        <w:rPr>
          <w:rFonts w:ascii="Arial" w:hAnsi="Arial" w:cs="Arial"/>
          <w:lang w:val="mk-MK"/>
        </w:rPr>
        <w:t>submitted</w:t>
      </w:r>
      <w:proofErr w:type="spellEnd"/>
      <w:r w:rsidRPr="00640F44">
        <w:rPr>
          <w:rFonts w:ascii="Arial" w:hAnsi="Arial" w:cs="Arial"/>
          <w:lang w:val="mk-MK"/>
        </w:rPr>
        <w:t xml:space="preserve"> </w:t>
      </w:r>
      <w:proofErr w:type="spellStart"/>
      <w:r w:rsidRPr="00640F44">
        <w:rPr>
          <w:rFonts w:ascii="Arial" w:hAnsi="Arial" w:cs="Arial"/>
          <w:lang w:val="mk-MK"/>
        </w:rPr>
        <w:t>for</w:t>
      </w:r>
      <w:proofErr w:type="spellEnd"/>
      <w:r w:rsidRPr="00640F44">
        <w:rPr>
          <w:rFonts w:ascii="Arial" w:hAnsi="Arial" w:cs="Arial"/>
          <w:lang w:val="mk-MK"/>
        </w:rPr>
        <w:t xml:space="preserve"> </w:t>
      </w:r>
      <w:proofErr w:type="spellStart"/>
      <w:r w:rsidRPr="00640F44">
        <w:rPr>
          <w:rFonts w:ascii="Arial" w:hAnsi="Arial" w:cs="Arial"/>
          <w:lang w:val="mk-MK"/>
        </w:rPr>
        <w:t>confirmation</w:t>
      </w:r>
      <w:proofErr w:type="spellEnd"/>
      <w:r w:rsidRPr="00640F44">
        <w:rPr>
          <w:rFonts w:ascii="Arial" w:hAnsi="Arial" w:cs="Arial"/>
          <w:lang w:val="mk-MK"/>
        </w:rPr>
        <w:t xml:space="preserve"> </w:t>
      </w:r>
      <w:proofErr w:type="spellStart"/>
      <w:r w:rsidRPr="00640F44">
        <w:rPr>
          <w:rFonts w:ascii="Arial" w:hAnsi="Arial" w:cs="Arial"/>
          <w:lang w:val="mk-MK"/>
        </w:rPr>
        <w:t>to</w:t>
      </w:r>
      <w:proofErr w:type="spellEnd"/>
      <w:r w:rsidRPr="00640F44">
        <w:rPr>
          <w:rFonts w:ascii="Arial" w:hAnsi="Arial" w:cs="Arial"/>
          <w:lang w:val="mk-MK"/>
        </w:rPr>
        <w:t xml:space="preserve"> </w:t>
      </w:r>
      <w:proofErr w:type="spellStart"/>
      <w:r w:rsidRPr="00640F44">
        <w:rPr>
          <w:rFonts w:ascii="Arial" w:hAnsi="Arial" w:cs="Arial"/>
          <w:lang w:val="mk-MK"/>
        </w:rPr>
        <w:t>the</w:t>
      </w:r>
      <w:proofErr w:type="spellEnd"/>
      <w:r w:rsidRPr="00640F44">
        <w:rPr>
          <w:rFonts w:ascii="Arial" w:hAnsi="Arial" w:cs="Arial"/>
          <w:lang w:val="mk-MK"/>
        </w:rPr>
        <w:t xml:space="preserve"> </w:t>
      </w:r>
      <w:proofErr w:type="spellStart"/>
      <w:r w:rsidRPr="00640F44">
        <w:rPr>
          <w:rFonts w:ascii="Arial" w:hAnsi="Arial" w:cs="Arial"/>
          <w:lang w:val="mk-MK"/>
        </w:rPr>
        <w:t>Government</w:t>
      </w:r>
      <w:proofErr w:type="spellEnd"/>
      <w:r w:rsidRPr="00640F44">
        <w:rPr>
          <w:rFonts w:ascii="Arial" w:hAnsi="Arial" w:cs="Arial"/>
          <w:lang w:val="mk-MK"/>
        </w:rPr>
        <w:t xml:space="preserve"> </w:t>
      </w:r>
      <w:proofErr w:type="spellStart"/>
      <w:r w:rsidRPr="00640F44">
        <w:rPr>
          <w:rFonts w:ascii="Arial" w:hAnsi="Arial" w:cs="Arial"/>
          <w:lang w:val="mk-MK"/>
        </w:rPr>
        <w:t>of</w:t>
      </w:r>
      <w:proofErr w:type="spellEnd"/>
      <w:r w:rsidRPr="00640F44">
        <w:rPr>
          <w:rFonts w:ascii="Arial" w:hAnsi="Arial" w:cs="Arial"/>
          <w:lang w:val="mk-MK"/>
        </w:rPr>
        <w:t xml:space="preserve"> </w:t>
      </w:r>
      <w:proofErr w:type="spellStart"/>
      <w:r w:rsidRPr="00640F44">
        <w:rPr>
          <w:rFonts w:ascii="Arial" w:hAnsi="Arial" w:cs="Arial"/>
          <w:lang w:val="mk-MK"/>
        </w:rPr>
        <w:t>the</w:t>
      </w:r>
      <w:proofErr w:type="spellEnd"/>
      <w:r w:rsidRPr="00640F44">
        <w:rPr>
          <w:rFonts w:ascii="Arial" w:hAnsi="Arial" w:cs="Arial"/>
          <w:lang w:val="mk-MK"/>
        </w:rPr>
        <w:t xml:space="preserve"> </w:t>
      </w:r>
      <w:proofErr w:type="spellStart"/>
      <w:r w:rsidRPr="00640F44">
        <w:rPr>
          <w:rFonts w:ascii="Arial" w:hAnsi="Arial" w:cs="Arial"/>
          <w:lang w:val="mk-MK"/>
        </w:rPr>
        <w:t>Republic</w:t>
      </w:r>
      <w:proofErr w:type="spellEnd"/>
      <w:r w:rsidRPr="00640F44">
        <w:rPr>
          <w:rFonts w:ascii="Arial" w:hAnsi="Arial" w:cs="Arial"/>
          <w:lang w:val="mk-MK"/>
        </w:rPr>
        <w:t xml:space="preserve"> </w:t>
      </w:r>
      <w:proofErr w:type="spellStart"/>
      <w:r w:rsidRPr="00640F44">
        <w:rPr>
          <w:rFonts w:ascii="Arial" w:hAnsi="Arial" w:cs="Arial"/>
          <w:lang w:val="mk-MK"/>
        </w:rPr>
        <w:t>of</w:t>
      </w:r>
      <w:proofErr w:type="spellEnd"/>
      <w:r w:rsidRPr="00640F44">
        <w:rPr>
          <w:rFonts w:ascii="Arial" w:hAnsi="Arial" w:cs="Arial"/>
          <w:lang w:val="mk-MK"/>
        </w:rPr>
        <w:t xml:space="preserve"> </w:t>
      </w:r>
      <w:proofErr w:type="spellStart"/>
      <w:r w:rsidRPr="00640F44">
        <w:rPr>
          <w:rFonts w:ascii="Arial" w:hAnsi="Arial" w:cs="Arial"/>
          <w:lang w:val="mk-MK"/>
        </w:rPr>
        <w:t>North</w:t>
      </w:r>
      <w:proofErr w:type="spellEnd"/>
      <w:r w:rsidRPr="00640F44">
        <w:rPr>
          <w:rFonts w:ascii="Arial" w:hAnsi="Arial" w:cs="Arial"/>
          <w:lang w:val="mk-MK"/>
        </w:rPr>
        <w:t xml:space="preserve"> </w:t>
      </w:r>
      <w:proofErr w:type="spellStart"/>
      <w:r w:rsidRPr="00640F44">
        <w:rPr>
          <w:rFonts w:ascii="Arial" w:hAnsi="Arial" w:cs="Arial"/>
          <w:lang w:val="mk-MK"/>
        </w:rPr>
        <w:t>Macedonia</w:t>
      </w:r>
      <w:proofErr w:type="spellEnd"/>
      <w:r w:rsidRPr="00640F44">
        <w:rPr>
          <w:rFonts w:ascii="Arial" w:hAnsi="Arial" w:cs="Arial"/>
          <w:lang w:val="mk-MK"/>
        </w:rPr>
        <w:t>.</w:t>
      </w:r>
    </w:p>
    <w:p w14:paraId="196C2B0F" w14:textId="77777777" w:rsidR="00640F44" w:rsidRPr="001E6526" w:rsidRDefault="00640F44" w:rsidP="00815E65">
      <w:pPr>
        <w:pStyle w:val="BodyText"/>
        <w:jc w:val="both"/>
        <w:rPr>
          <w:rFonts w:ascii="Arial" w:hAnsi="Arial" w:cs="Arial"/>
          <w:lang w:val="mk-MK"/>
        </w:rPr>
      </w:pPr>
    </w:p>
    <w:p w14:paraId="576B1122" w14:textId="1D5502A1" w:rsidR="00815E65" w:rsidRPr="00CE3053" w:rsidRDefault="008F2213" w:rsidP="0061511C">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sidRPr="00CE3053">
        <w:rPr>
          <w:rFonts w:ascii="Arial" w:hAnsi="Arial" w:cs="Arial"/>
          <w:b/>
          <w:color w:val="4F2D7F"/>
          <w:sz w:val="18"/>
          <w:lang w:val="mk-MK"/>
        </w:rPr>
        <w:t xml:space="preserve"> </w:t>
      </w:r>
      <w:r w:rsidR="0043161C">
        <w:rPr>
          <w:rFonts w:ascii="Arial" w:hAnsi="Arial" w:cs="Arial"/>
          <w:b/>
          <w:color w:val="4F2D7F"/>
          <w:sz w:val="18"/>
          <w:lang w:val="en-US"/>
        </w:rPr>
        <w:t>Insurance Fund</w:t>
      </w:r>
    </w:p>
    <w:p w14:paraId="7BABE3BB" w14:textId="3B2C8B88" w:rsidR="00815E65" w:rsidRDefault="0043161C" w:rsidP="00815E65">
      <w:pPr>
        <w:pStyle w:val="BodyText"/>
        <w:jc w:val="both"/>
        <w:rPr>
          <w:rFonts w:ascii="Arial" w:hAnsi="Arial" w:cs="Arial"/>
          <w:lang w:val="mk-MK"/>
        </w:rPr>
      </w:pPr>
      <w:proofErr w:type="spellStart"/>
      <w:r w:rsidRPr="0043161C">
        <w:rPr>
          <w:rFonts w:ascii="Arial" w:hAnsi="Arial" w:cs="Arial"/>
          <w:lang w:val="mk-MK"/>
        </w:rPr>
        <w:t>The</w:t>
      </w:r>
      <w:proofErr w:type="spellEnd"/>
      <w:r w:rsidRPr="0043161C">
        <w:rPr>
          <w:rFonts w:ascii="Arial" w:hAnsi="Arial" w:cs="Arial"/>
          <w:lang w:val="mk-MK"/>
        </w:rPr>
        <w:t xml:space="preserve"> </w:t>
      </w:r>
      <w:proofErr w:type="spellStart"/>
      <w:r w:rsidRPr="0043161C">
        <w:rPr>
          <w:rFonts w:ascii="Arial" w:hAnsi="Arial" w:cs="Arial"/>
          <w:lang w:val="mk-MK"/>
        </w:rPr>
        <w:t>Insurance</w:t>
      </w:r>
      <w:proofErr w:type="spellEnd"/>
      <w:r w:rsidRPr="0043161C">
        <w:rPr>
          <w:rFonts w:ascii="Arial" w:hAnsi="Arial" w:cs="Arial"/>
          <w:lang w:val="mk-MK"/>
        </w:rPr>
        <w:t xml:space="preserve"> </w:t>
      </w:r>
      <w:proofErr w:type="spellStart"/>
      <w:r w:rsidRPr="0043161C">
        <w:rPr>
          <w:rFonts w:ascii="Arial" w:hAnsi="Arial" w:cs="Arial"/>
          <w:lang w:val="mk-MK"/>
        </w:rPr>
        <w:t>Fund</w:t>
      </w:r>
      <w:proofErr w:type="spellEnd"/>
      <w:r w:rsidRPr="0043161C">
        <w:rPr>
          <w:rFonts w:ascii="Arial" w:hAnsi="Arial" w:cs="Arial"/>
          <w:lang w:val="mk-MK"/>
        </w:rPr>
        <w:t xml:space="preserve"> </w:t>
      </w:r>
      <w:proofErr w:type="spellStart"/>
      <w:r w:rsidRPr="0043161C">
        <w:rPr>
          <w:rFonts w:ascii="Arial" w:hAnsi="Arial" w:cs="Arial"/>
          <w:lang w:val="mk-MK"/>
        </w:rPr>
        <w:t>is</w:t>
      </w:r>
      <w:proofErr w:type="spellEnd"/>
      <w:r w:rsidRPr="0043161C">
        <w:rPr>
          <w:rFonts w:ascii="Arial" w:hAnsi="Arial" w:cs="Arial"/>
          <w:lang w:val="mk-MK"/>
        </w:rPr>
        <w:t xml:space="preserve"> a </w:t>
      </w:r>
      <w:proofErr w:type="spellStart"/>
      <w:r w:rsidRPr="0043161C">
        <w:rPr>
          <w:rFonts w:ascii="Arial" w:hAnsi="Arial" w:cs="Arial"/>
          <w:lang w:val="mk-MK"/>
        </w:rPr>
        <w:t>reserves</w:t>
      </w:r>
      <w:proofErr w:type="spellEnd"/>
      <w:r w:rsidRPr="0043161C">
        <w:rPr>
          <w:rFonts w:ascii="Arial" w:hAnsi="Arial" w:cs="Arial"/>
          <w:lang w:val="mk-MK"/>
        </w:rPr>
        <w:t xml:space="preserve">’ </w:t>
      </w:r>
      <w:proofErr w:type="spellStart"/>
      <w:r w:rsidRPr="0043161C">
        <w:rPr>
          <w:rFonts w:ascii="Arial" w:hAnsi="Arial" w:cs="Arial"/>
          <w:lang w:val="mk-MK"/>
        </w:rPr>
        <w:t>fund</w:t>
      </w:r>
      <w:proofErr w:type="spellEnd"/>
      <w:r w:rsidRPr="0043161C">
        <w:rPr>
          <w:rFonts w:ascii="Arial" w:hAnsi="Arial" w:cs="Arial"/>
          <w:lang w:val="mk-MK"/>
        </w:rPr>
        <w:t xml:space="preserve">, </w:t>
      </w:r>
      <w:proofErr w:type="spellStart"/>
      <w:r w:rsidRPr="0043161C">
        <w:rPr>
          <w:rFonts w:ascii="Arial" w:hAnsi="Arial" w:cs="Arial"/>
          <w:lang w:val="mk-MK"/>
        </w:rPr>
        <w:t>which</w:t>
      </w:r>
      <w:proofErr w:type="spellEnd"/>
      <w:r w:rsidRPr="0043161C">
        <w:rPr>
          <w:rFonts w:ascii="Arial" w:hAnsi="Arial" w:cs="Arial"/>
          <w:lang w:val="mk-MK"/>
        </w:rPr>
        <w:t xml:space="preserve"> </w:t>
      </w:r>
      <w:proofErr w:type="spellStart"/>
      <w:r w:rsidRPr="0043161C">
        <w:rPr>
          <w:rFonts w:ascii="Arial" w:hAnsi="Arial" w:cs="Arial"/>
          <w:lang w:val="mk-MK"/>
        </w:rPr>
        <w:t>are</w:t>
      </w:r>
      <w:proofErr w:type="spellEnd"/>
      <w:r w:rsidRPr="0043161C">
        <w:rPr>
          <w:rFonts w:ascii="Arial" w:hAnsi="Arial" w:cs="Arial"/>
          <w:lang w:val="mk-MK"/>
        </w:rPr>
        <w:t xml:space="preserve"> </w:t>
      </w:r>
      <w:proofErr w:type="spellStart"/>
      <w:r w:rsidRPr="0043161C">
        <w:rPr>
          <w:rFonts w:ascii="Arial" w:hAnsi="Arial" w:cs="Arial"/>
          <w:lang w:val="mk-MK"/>
        </w:rPr>
        <w:t>formed</w:t>
      </w:r>
      <w:proofErr w:type="spellEnd"/>
      <w:r w:rsidRPr="0043161C">
        <w:rPr>
          <w:rFonts w:ascii="Arial" w:hAnsi="Arial" w:cs="Arial"/>
          <w:lang w:val="mk-MK"/>
        </w:rPr>
        <w:t xml:space="preserve"> </w:t>
      </w:r>
      <w:proofErr w:type="spellStart"/>
      <w:r w:rsidRPr="0043161C">
        <w:rPr>
          <w:rFonts w:ascii="Arial" w:hAnsi="Arial" w:cs="Arial"/>
          <w:lang w:val="mk-MK"/>
        </w:rPr>
        <w:t>from</w:t>
      </w:r>
      <w:proofErr w:type="spellEnd"/>
      <w:r w:rsidRPr="0043161C">
        <w:rPr>
          <w:rFonts w:ascii="Arial" w:hAnsi="Arial" w:cs="Arial"/>
          <w:lang w:val="mk-MK"/>
        </w:rPr>
        <w:t xml:space="preserve"> </w:t>
      </w:r>
      <w:proofErr w:type="spellStart"/>
      <w:r w:rsidRPr="0043161C">
        <w:rPr>
          <w:rFonts w:ascii="Arial" w:hAnsi="Arial" w:cs="Arial"/>
          <w:lang w:val="mk-MK"/>
        </w:rPr>
        <w:t>deposit</w:t>
      </w:r>
      <w:proofErr w:type="spellEnd"/>
      <w:r w:rsidRPr="0043161C">
        <w:rPr>
          <w:rFonts w:ascii="Arial" w:hAnsi="Arial" w:cs="Arial"/>
          <w:lang w:val="mk-MK"/>
        </w:rPr>
        <w:t xml:space="preserve"> </w:t>
      </w:r>
      <w:proofErr w:type="spellStart"/>
      <w:r w:rsidRPr="0043161C">
        <w:rPr>
          <w:rFonts w:ascii="Arial" w:hAnsi="Arial" w:cs="Arial"/>
          <w:lang w:val="mk-MK"/>
        </w:rPr>
        <w:t>insurance</w:t>
      </w:r>
      <w:proofErr w:type="spellEnd"/>
      <w:r w:rsidRPr="0043161C">
        <w:rPr>
          <w:rFonts w:ascii="Arial" w:hAnsi="Arial" w:cs="Arial"/>
          <w:lang w:val="mk-MK"/>
        </w:rPr>
        <w:t xml:space="preserve"> </w:t>
      </w:r>
      <w:proofErr w:type="spellStart"/>
      <w:r w:rsidRPr="0043161C">
        <w:rPr>
          <w:rFonts w:ascii="Arial" w:hAnsi="Arial" w:cs="Arial"/>
          <w:lang w:val="mk-MK"/>
        </w:rPr>
        <w:t>premiums</w:t>
      </w:r>
      <w:proofErr w:type="spellEnd"/>
      <w:r w:rsidRPr="0043161C">
        <w:rPr>
          <w:rFonts w:ascii="Arial" w:hAnsi="Arial" w:cs="Arial"/>
          <w:lang w:val="mk-MK"/>
        </w:rPr>
        <w:t xml:space="preserve">, </w:t>
      </w:r>
      <w:proofErr w:type="spellStart"/>
      <w:r w:rsidRPr="0043161C">
        <w:rPr>
          <w:rFonts w:ascii="Arial" w:hAnsi="Arial" w:cs="Arial"/>
          <w:lang w:val="mk-MK"/>
        </w:rPr>
        <w:t>incoming</w:t>
      </w:r>
      <w:proofErr w:type="spellEnd"/>
      <w:r w:rsidRPr="0043161C">
        <w:rPr>
          <w:rFonts w:ascii="Arial" w:hAnsi="Arial" w:cs="Arial"/>
          <w:lang w:val="mk-MK"/>
        </w:rPr>
        <w:t xml:space="preserve"> </w:t>
      </w:r>
      <w:proofErr w:type="spellStart"/>
      <w:r w:rsidRPr="0043161C">
        <w:rPr>
          <w:rFonts w:ascii="Arial" w:hAnsi="Arial" w:cs="Arial"/>
          <w:lang w:val="mk-MK"/>
        </w:rPr>
        <w:t>premiums</w:t>
      </w:r>
      <w:proofErr w:type="spellEnd"/>
      <w:r w:rsidRPr="0043161C">
        <w:rPr>
          <w:rFonts w:ascii="Arial" w:hAnsi="Arial" w:cs="Arial"/>
          <w:lang w:val="mk-MK"/>
        </w:rPr>
        <w:t xml:space="preserve"> </w:t>
      </w:r>
      <w:proofErr w:type="spellStart"/>
      <w:r w:rsidRPr="0043161C">
        <w:rPr>
          <w:rFonts w:ascii="Arial" w:hAnsi="Arial" w:cs="Arial"/>
          <w:lang w:val="mk-MK"/>
        </w:rPr>
        <w:t>and</w:t>
      </w:r>
      <w:proofErr w:type="spellEnd"/>
      <w:r w:rsidRPr="0043161C">
        <w:rPr>
          <w:rFonts w:ascii="Arial" w:hAnsi="Arial" w:cs="Arial"/>
          <w:lang w:val="mk-MK"/>
        </w:rPr>
        <w:t xml:space="preserve"> </w:t>
      </w:r>
      <w:proofErr w:type="spellStart"/>
      <w:r w:rsidRPr="0043161C">
        <w:rPr>
          <w:rFonts w:ascii="Arial" w:hAnsi="Arial" w:cs="Arial"/>
          <w:lang w:val="mk-MK"/>
        </w:rPr>
        <w:t>distribution</w:t>
      </w:r>
      <w:proofErr w:type="spellEnd"/>
      <w:r w:rsidRPr="0043161C">
        <w:rPr>
          <w:rFonts w:ascii="Arial" w:hAnsi="Arial" w:cs="Arial"/>
          <w:lang w:val="mk-MK"/>
        </w:rPr>
        <w:t xml:space="preserve"> </w:t>
      </w:r>
      <w:proofErr w:type="spellStart"/>
      <w:r w:rsidRPr="0043161C">
        <w:rPr>
          <w:rFonts w:ascii="Arial" w:hAnsi="Arial" w:cs="Arial"/>
          <w:lang w:val="mk-MK"/>
        </w:rPr>
        <w:t>of</w:t>
      </w:r>
      <w:proofErr w:type="spellEnd"/>
      <w:r w:rsidRPr="0043161C">
        <w:rPr>
          <w:rFonts w:ascii="Arial" w:hAnsi="Arial" w:cs="Arial"/>
          <w:lang w:val="mk-MK"/>
        </w:rPr>
        <w:t xml:space="preserve"> </w:t>
      </w:r>
      <w:proofErr w:type="spellStart"/>
      <w:r w:rsidRPr="0043161C">
        <w:rPr>
          <w:rFonts w:ascii="Arial" w:hAnsi="Arial" w:cs="Arial"/>
          <w:lang w:val="mk-MK"/>
        </w:rPr>
        <w:t>profit</w:t>
      </w:r>
      <w:proofErr w:type="spellEnd"/>
      <w:r w:rsidRPr="0043161C">
        <w:rPr>
          <w:rFonts w:ascii="Arial" w:hAnsi="Arial" w:cs="Arial"/>
          <w:lang w:val="mk-MK"/>
        </w:rPr>
        <w:t xml:space="preserve"> </w:t>
      </w:r>
      <w:proofErr w:type="spellStart"/>
      <w:r w:rsidRPr="0043161C">
        <w:rPr>
          <w:rFonts w:ascii="Arial" w:hAnsi="Arial" w:cs="Arial"/>
          <w:lang w:val="mk-MK"/>
        </w:rPr>
        <w:t>for</w:t>
      </w:r>
      <w:proofErr w:type="spellEnd"/>
      <w:r w:rsidRPr="0043161C">
        <w:rPr>
          <w:rFonts w:ascii="Arial" w:hAnsi="Arial" w:cs="Arial"/>
          <w:lang w:val="mk-MK"/>
        </w:rPr>
        <w:t xml:space="preserve"> </w:t>
      </w:r>
      <w:proofErr w:type="spellStart"/>
      <w:r w:rsidRPr="0043161C">
        <w:rPr>
          <w:rFonts w:ascii="Arial" w:hAnsi="Arial" w:cs="Arial"/>
          <w:lang w:val="mk-MK"/>
        </w:rPr>
        <w:t>the</w:t>
      </w:r>
      <w:proofErr w:type="spellEnd"/>
      <w:r w:rsidRPr="0043161C">
        <w:rPr>
          <w:rFonts w:ascii="Arial" w:hAnsi="Arial" w:cs="Arial"/>
          <w:lang w:val="mk-MK"/>
        </w:rPr>
        <w:t xml:space="preserve"> </w:t>
      </w:r>
      <w:proofErr w:type="spellStart"/>
      <w:r w:rsidRPr="0043161C">
        <w:rPr>
          <w:rFonts w:ascii="Arial" w:hAnsi="Arial" w:cs="Arial"/>
          <w:lang w:val="mk-MK"/>
        </w:rPr>
        <w:t>current</w:t>
      </w:r>
      <w:proofErr w:type="spellEnd"/>
      <w:r w:rsidRPr="0043161C">
        <w:rPr>
          <w:rFonts w:ascii="Arial" w:hAnsi="Arial" w:cs="Arial"/>
          <w:lang w:val="mk-MK"/>
        </w:rPr>
        <w:t xml:space="preserve"> </w:t>
      </w:r>
      <w:proofErr w:type="spellStart"/>
      <w:r w:rsidRPr="0043161C">
        <w:rPr>
          <w:rFonts w:ascii="Arial" w:hAnsi="Arial" w:cs="Arial"/>
          <w:lang w:val="mk-MK"/>
        </w:rPr>
        <w:t>year</w:t>
      </w:r>
      <w:proofErr w:type="spellEnd"/>
      <w:r w:rsidRPr="0043161C">
        <w:rPr>
          <w:rFonts w:ascii="Arial" w:hAnsi="Arial" w:cs="Arial"/>
          <w:lang w:val="mk-MK"/>
        </w:rPr>
        <w:t xml:space="preserve"> </w:t>
      </w:r>
      <w:proofErr w:type="spellStart"/>
      <w:r w:rsidRPr="0043161C">
        <w:rPr>
          <w:rFonts w:ascii="Arial" w:hAnsi="Arial" w:cs="Arial"/>
          <w:lang w:val="mk-MK"/>
        </w:rPr>
        <w:t>and</w:t>
      </w:r>
      <w:proofErr w:type="spellEnd"/>
      <w:r w:rsidRPr="0043161C">
        <w:rPr>
          <w:rFonts w:ascii="Arial" w:hAnsi="Arial" w:cs="Arial"/>
          <w:lang w:val="mk-MK"/>
        </w:rPr>
        <w:t xml:space="preserve"> </w:t>
      </w:r>
      <w:proofErr w:type="spellStart"/>
      <w:r w:rsidRPr="0043161C">
        <w:rPr>
          <w:rFonts w:ascii="Arial" w:hAnsi="Arial" w:cs="Arial"/>
          <w:lang w:val="mk-MK"/>
        </w:rPr>
        <w:t>previous</w:t>
      </w:r>
      <w:proofErr w:type="spellEnd"/>
      <w:r w:rsidRPr="0043161C">
        <w:rPr>
          <w:rFonts w:ascii="Arial" w:hAnsi="Arial" w:cs="Arial"/>
          <w:lang w:val="mk-MK"/>
        </w:rPr>
        <w:t xml:space="preserve"> </w:t>
      </w:r>
      <w:proofErr w:type="spellStart"/>
      <w:r w:rsidRPr="0043161C">
        <w:rPr>
          <w:rFonts w:ascii="Arial" w:hAnsi="Arial" w:cs="Arial"/>
          <w:lang w:val="mk-MK"/>
        </w:rPr>
        <w:t>years</w:t>
      </w:r>
      <w:proofErr w:type="spellEnd"/>
      <w:r w:rsidRPr="0043161C">
        <w:rPr>
          <w:rFonts w:ascii="Arial" w:hAnsi="Arial" w:cs="Arial"/>
          <w:lang w:val="mk-MK"/>
        </w:rPr>
        <w:t>.</w:t>
      </w:r>
    </w:p>
    <w:p w14:paraId="36F1B60D" w14:textId="77777777" w:rsidR="0043161C" w:rsidRPr="00CE3053" w:rsidRDefault="0043161C" w:rsidP="00815E65">
      <w:pPr>
        <w:pStyle w:val="BodyText"/>
        <w:jc w:val="both"/>
        <w:rPr>
          <w:rFonts w:ascii="Arial" w:hAnsi="Arial" w:cs="Arial"/>
          <w:lang w:val="mk-MK"/>
        </w:rPr>
      </w:pPr>
    </w:p>
    <w:p w14:paraId="0C4C82E9" w14:textId="5D2AC040" w:rsidR="00815E65" w:rsidRPr="00CE3053" w:rsidRDefault="008F2213" w:rsidP="0061511C">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sidRPr="00CE3053">
        <w:rPr>
          <w:rFonts w:ascii="Arial" w:hAnsi="Arial" w:cs="Arial"/>
          <w:b/>
          <w:color w:val="4F2D7F"/>
          <w:sz w:val="18"/>
          <w:lang w:val="mk-MK"/>
        </w:rPr>
        <w:t xml:space="preserve"> </w:t>
      </w:r>
      <w:r w:rsidR="0043161C">
        <w:rPr>
          <w:rFonts w:ascii="Arial" w:hAnsi="Arial" w:cs="Arial"/>
          <w:b/>
          <w:color w:val="4F2D7F"/>
          <w:sz w:val="18"/>
          <w:lang w:val="en-US"/>
        </w:rPr>
        <w:t>Financial liabilities</w:t>
      </w:r>
    </w:p>
    <w:p w14:paraId="6E46CF6D" w14:textId="234423CF" w:rsidR="00815E65" w:rsidRPr="00CE3053" w:rsidRDefault="0043161C" w:rsidP="00815E65">
      <w:pPr>
        <w:pStyle w:val="BodyText"/>
        <w:jc w:val="both"/>
        <w:rPr>
          <w:rFonts w:ascii="Arial" w:hAnsi="Arial" w:cs="Arial"/>
          <w:lang w:val="mk-MK"/>
        </w:rPr>
      </w:pPr>
      <w:proofErr w:type="spellStart"/>
      <w:r w:rsidRPr="0043161C">
        <w:rPr>
          <w:rFonts w:ascii="Arial" w:hAnsi="Arial" w:cs="Arial"/>
          <w:lang w:val="mk-MK"/>
        </w:rPr>
        <w:t>Financial</w:t>
      </w:r>
      <w:proofErr w:type="spellEnd"/>
      <w:r w:rsidRPr="0043161C">
        <w:rPr>
          <w:rFonts w:ascii="Arial" w:hAnsi="Arial" w:cs="Arial"/>
          <w:lang w:val="mk-MK"/>
        </w:rPr>
        <w:t xml:space="preserve"> </w:t>
      </w:r>
      <w:proofErr w:type="spellStart"/>
      <w:r w:rsidRPr="0043161C">
        <w:rPr>
          <w:rFonts w:ascii="Arial" w:hAnsi="Arial" w:cs="Arial"/>
          <w:lang w:val="mk-MK"/>
        </w:rPr>
        <w:t>liabilities</w:t>
      </w:r>
      <w:proofErr w:type="spellEnd"/>
      <w:r w:rsidRPr="0043161C">
        <w:rPr>
          <w:rFonts w:ascii="Arial" w:hAnsi="Arial" w:cs="Arial"/>
          <w:lang w:val="mk-MK"/>
        </w:rPr>
        <w:t xml:space="preserve"> </w:t>
      </w:r>
      <w:proofErr w:type="spellStart"/>
      <w:r w:rsidRPr="0043161C">
        <w:rPr>
          <w:rFonts w:ascii="Arial" w:hAnsi="Arial" w:cs="Arial"/>
          <w:lang w:val="mk-MK"/>
        </w:rPr>
        <w:t>are</w:t>
      </w:r>
      <w:proofErr w:type="spellEnd"/>
      <w:r w:rsidRPr="0043161C">
        <w:rPr>
          <w:rFonts w:ascii="Arial" w:hAnsi="Arial" w:cs="Arial"/>
          <w:lang w:val="mk-MK"/>
        </w:rPr>
        <w:t xml:space="preserve"> </w:t>
      </w:r>
      <w:proofErr w:type="spellStart"/>
      <w:r w:rsidRPr="0043161C">
        <w:rPr>
          <w:rFonts w:ascii="Arial" w:hAnsi="Arial" w:cs="Arial"/>
          <w:lang w:val="mk-MK"/>
        </w:rPr>
        <w:t>classified</w:t>
      </w:r>
      <w:proofErr w:type="spellEnd"/>
      <w:r w:rsidRPr="0043161C">
        <w:rPr>
          <w:rFonts w:ascii="Arial" w:hAnsi="Arial" w:cs="Arial"/>
          <w:lang w:val="mk-MK"/>
        </w:rPr>
        <w:t xml:space="preserve"> </w:t>
      </w:r>
      <w:proofErr w:type="spellStart"/>
      <w:r w:rsidRPr="0043161C">
        <w:rPr>
          <w:rFonts w:ascii="Arial" w:hAnsi="Arial" w:cs="Arial"/>
          <w:lang w:val="mk-MK"/>
        </w:rPr>
        <w:t>in</w:t>
      </w:r>
      <w:proofErr w:type="spellEnd"/>
      <w:r w:rsidRPr="0043161C">
        <w:rPr>
          <w:rFonts w:ascii="Arial" w:hAnsi="Arial" w:cs="Arial"/>
          <w:lang w:val="mk-MK"/>
        </w:rPr>
        <w:t xml:space="preserve"> </w:t>
      </w:r>
      <w:proofErr w:type="spellStart"/>
      <w:r w:rsidRPr="0043161C">
        <w:rPr>
          <w:rFonts w:ascii="Arial" w:hAnsi="Arial" w:cs="Arial"/>
          <w:lang w:val="mk-MK"/>
        </w:rPr>
        <w:t>accordance</w:t>
      </w:r>
      <w:proofErr w:type="spellEnd"/>
      <w:r w:rsidRPr="0043161C">
        <w:rPr>
          <w:rFonts w:ascii="Arial" w:hAnsi="Arial" w:cs="Arial"/>
          <w:lang w:val="mk-MK"/>
        </w:rPr>
        <w:t xml:space="preserve"> </w:t>
      </w:r>
      <w:proofErr w:type="spellStart"/>
      <w:r w:rsidRPr="0043161C">
        <w:rPr>
          <w:rFonts w:ascii="Arial" w:hAnsi="Arial" w:cs="Arial"/>
          <w:lang w:val="mk-MK"/>
        </w:rPr>
        <w:t>with</w:t>
      </w:r>
      <w:proofErr w:type="spellEnd"/>
      <w:r w:rsidRPr="0043161C">
        <w:rPr>
          <w:rFonts w:ascii="Arial" w:hAnsi="Arial" w:cs="Arial"/>
          <w:lang w:val="mk-MK"/>
        </w:rPr>
        <w:t xml:space="preserve"> </w:t>
      </w:r>
      <w:proofErr w:type="spellStart"/>
      <w:r w:rsidRPr="0043161C">
        <w:rPr>
          <w:rFonts w:ascii="Arial" w:hAnsi="Arial" w:cs="Arial"/>
          <w:lang w:val="mk-MK"/>
        </w:rPr>
        <w:t>the</w:t>
      </w:r>
      <w:proofErr w:type="spellEnd"/>
      <w:r w:rsidRPr="0043161C">
        <w:rPr>
          <w:rFonts w:ascii="Arial" w:hAnsi="Arial" w:cs="Arial"/>
          <w:lang w:val="mk-MK"/>
        </w:rPr>
        <w:t xml:space="preserve"> </w:t>
      </w:r>
      <w:proofErr w:type="spellStart"/>
      <w:r w:rsidRPr="0043161C">
        <w:rPr>
          <w:rFonts w:ascii="Arial" w:hAnsi="Arial" w:cs="Arial"/>
          <w:lang w:val="mk-MK"/>
        </w:rPr>
        <w:t>substance</w:t>
      </w:r>
      <w:proofErr w:type="spellEnd"/>
      <w:r w:rsidRPr="0043161C">
        <w:rPr>
          <w:rFonts w:ascii="Arial" w:hAnsi="Arial" w:cs="Arial"/>
          <w:lang w:val="mk-MK"/>
        </w:rPr>
        <w:t xml:space="preserve"> </w:t>
      </w:r>
      <w:proofErr w:type="spellStart"/>
      <w:r w:rsidRPr="0043161C">
        <w:rPr>
          <w:rFonts w:ascii="Arial" w:hAnsi="Arial" w:cs="Arial"/>
          <w:lang w:val="mk-MK"/>
        </w:rPr>
        <w:t>of</w:t>
      </w:r>
      <w:proofErr w:type="spellEnd"/>
      <w:r w:rsidRPr="0043161C">
        <w:rPr>
          <w:rFonts w:ascii="Arial" w:hAnsi="Arial" w:cs="Arial"/>
          <w:lang w:val="mk-MK"/>
        </w:rPr>
        <w:t xml:space="preserve"> </w:t>
      </w:r>
      <w:proofErr w:type="spellStart"/>
      <w:r w:rsidRPr="0043161C">
        <w:rPr>
          <w:rFonts w:ascii="Arial" w:hAnsi="Arial" w:cs="Arial"/>
          <w:lang w:val="mk-MK"/>
        </w:rPr>
        <w:t>the</w:t>
      </w:r>
      <w:proofErr w:type="spellEnd"/>
      <w:r w:rsidRPr="0043161C">
        <w:rPr>
          <w:rFonts w:ascii="Arial" w:hAnsi="Arial" w:cs="Arial"/>
          <w:lang w:val="mk-MK"/>
        </w:rPr>
        <w:t xml:space="preserve"> </w:t>
      </w:r>
      <w:proofErr w:type="spellStart"/>
      <w:r w:rsidRPr="0043161C">
        <w:rPr>
          <w:rFonts w:ascii="Arial" w:hAnsi="Arial" w:cs="Arial"/>
          <w:lang w:val="mk-MK"/>
        </w:rPr>
        <w:t>contractual</w:t>
      </w:r>
      <w:proofErr w:type="spellEnd"/>
      <w:r w:rsidRPr="0043161C">
        <w:rPr>
          <w:rFonts w:ascii="Arial" w:hAnsi="Arial" w:cs="Arial"/>
          <w:lang w:val="mk-MK"/>
        </w:rPr>
        <w:t xml:space="preserve"> </w:t>
      </w:r>
      <w:proofErr w:type="spellStart"/>
      <w:r w:rsidRPr="0043161C">
        <w:rPr>
          <w:rFonts w:ascii="Arial" w:hAnsi="Arial" w:cs="Arial"/>
          <w:lang w:val="mk-MK"/>
        </w:rPr>
        <w:t>arrangement</w:t>
      </w:r>
      <w:proofErr w:type="spellEnd"/>
      <w:r w:rsidRPr="0043161C">
        <w:rPr>
          <w:rFonts w:ascii="Arial" w:hAnsi="Arial" w:cs="Arial"/>
          <w:lang w:val="mk-MK"/>
        </w:rPr>
        <w:t xml:space="preserve">. </w:t>
      </w:r>
      <w:proofErr w:type="spellStart"/>
      <w:r w:rsidRPr="0043161C">
        <w:rPr>
          <w:rFonts w:ascii="Arial" w:hAnsi="Arial" w:cs="Arial"/>
          <w:lang w:val="mk-MK"/>
        </w:rPr>
        <w:t>Financial</w:t>
      </w:r>
      <w:proofErr w:type="spellEnd"/>
      <w:r w:rsidRPr="0043161C">
        <w:rPr>
          <w:rFonts w:ascii="Arial" w:hAnsi="Arial" w:cs="Arial"/>
          <w:lang w:val="mk-MK"/>
        </w:rPr>
        <w:t xml:space="preserve"> </w:t>
      </w:r>
      <w:proofErr w:type="spellStart"/>
      <w:r w:rsidRPr="0043161C">
        <w:rPr>
          <w:rFonts w:ascii="Arial" w:hAnsi="Arial" w:cs="Arial"/>
          <w:lang w:val="mk-MK"/>
        </w:rPr>
        <w:t>liabilities</w:t>
      </w:r>
      <w:proofErr w:type="spellEnd"/>
      <w:r w:rsidRPr="0043161C">
        <w:rPr>
          <w:rFonts w:ascii="Arial" w:hAnsi="Arial" w:cs="Arial"/>
          <w:lang w:val="mk-MK"/>
        </w:rPr>
        <w:t xml:space="preserve"> </w:t>
      </w:r>
      <w:proofErr w:type="spellStart"/>
      <w:r w:rsidRPr="0043161C">
        <w:rPr>
          <w:rFonts w:ascii="Arial" w:hAnsi="Arial" w:cs="Arial"/>
          <w:lang w:val="mk-MK"/>
        </w:rPr>
        <w:t>at</w:t>
      </w:r>
      <w:proofErr w:type="spellEnd"/>
      <w:r w:rsidRPr="0043161C">
        <w:rPr>
          <w:rFonts w:ascii="Arial" w:hAnsi="Arial" w:cs="Arial"/>
          <w:lang w:val="mk-MK"/>
        </w:rPr>
        <w:t xml:space="preserve"> </w:t>
      </w:r>
      <w:proofErr w:type="spellStart"/>
      <w:r w:rsidRPr="0043161C">
        <w:rPr>
          <w:rFonts w:ascii="Arial" w:hAnsi="Arial" w:cs="Arial"/>
          <w:lang w:val="mk-MK"/>
        </w:rPr>
        <w:t>their</w:t>
      </w:r>
      <w:proofErr w:type="spellEnd"/>
      <w:r w:rsidRPr="0043161C">
        <w:rPr>
          <w:rFonts w:ascii="Arial" w:hAnsi="Arial" w:cs="Arial"/>
          <w:lang w:val="mk-MK"/>
        </w:rPr>
        <w:t xml:space="preserve"> </w:t>
      </w:r>
      <w:proofErr w:type="spellStart"/>
      <w:r w:rsidRPr="0043161C">
        <w:rPr>
          <w:rFonts w:ascii="Arial" w:hAnsi="Arial" w:cs="Arial"/>
          <w:lang w:val="mk-MK"/>
        </w:rPr>
        <w:t>amortized</w:t>
      </w:r>
      <w:proofErr w:type="spellEnd"/>
      <w:r w:rsidRPr="0043161C">
        <w:rPr>
          <w:rFonts w:ascii="Arial" w:hAnsi="Arial" w:cs="Arial"/>
          <w:lang w:val="mk-MK"/>
        </w:rPr>
        <w:t xml:space="preserve"> </w:t>
      </w:r>
      <w:proofErr w:type="spellStart"/>
      <w:r w:rsidRPr="0043161C">
        <w:rPr>
          <w:rFonts w:ascii="Arial" w:hAnsi="Arial" w:cs="Arial"/>
          <w:lang w:val="mk-MK"/>
        </w:rPr>
        <w:t>cost</w:t>
      </w:r>
      <w:proofErr w:type="spellEnd"/>
      <w:r w:rsidRPr="0043161C">
        <w:rPr>
          <w:rFonts w:ascii="Arial" w:hAnsi="Arial" w:cs="Arial"/>
          <w:lang w:val="mk-MK"/>
        </w:rPr>
        <w:t xml:space="preserve"> </w:t>
      </w:r>
      <w:proofErr w:type="spellStart"/>
      <w:r w:rsidRPr="0043161C">
        <w:rPr>
          <w:rFonts w:ascii="Arial" w:hAnsi="Arial" w:cs="Arial"/>
          <w:lang w:val="mk-MK"/>
        </w:rPr>
        <w:t>consist</w:t>
      </w:r>
      <w:proofErr w:type="spellEnd"/>
      <w:r w:rsidRPr="0043161C">
        <w:rPr>
          <w:rFonts w:ascii="Arial" w:hAnsi="Arial" w:cs="Arial"/>
          <w:lang w:val="mk-MK"/>
        </w:rPr>
        <w:t xml:space="preserve"> </w:t>
      </w:r>
      <w:proofErr w:type="spellStart"/>
      <w:r w:rsidRPr="0043161C">
        <w:rPr>
          <w:rFonts w:ascii="Arial" w:hAnsi="Arial" w:cs="Arial"/>
          <w:lang w:val="mk-MK"/>
        </w:rPr>
        <w:t>of</w:t>
      </w:r>
      <w:proofErr w:type="spellEnd"/>
      <w:r w:rsidRPr="0043161C">
        <w:rPr>
          <w:rFonts w:ascii="Arial" w:hAnsi="Arial" w:cs="Arial"/>
          <w:lang w:val="mk-MK"/>
        </w:rPr>
        <w:t xml:space="preserve"> </w:t>
      </w:r>
      <w:proofErr w:type="spellStart"/>
      <w:r w:rsidRPr="0043161C">
        <w:rPr>
          <w:rFonts w:ascii="Arial" w:hAnsi="Arial" w:cs="Arial"/>
          <w:lang w:val="mk-MK"/>
        </w:rPr>
        <w:t>claims</w:t>
      </w:r>
      <w:proofErr w:type="spellEnd"/>
      <w:r w:rsidRPr="0043161C">
        <w:rPr>
          <w:rFonts w:ascii="Arial" w:hAnsi="Arial" w:cs="Arial"/>
          <w:lang w:val="mk-MK"/>
        </w:rPr>
        <w:t xml:space="preserve"> </w:t>
      </w:r>
      <w:proofErr w:type="spellStart"/>
      <w:r w:rsidRPr="0043161C">
        <w:rPr>
          <w:rFonts w:ascii="Arial" w:hAnsi="Arial" w:cs="Arial"/>
          <w:lang w:val="mk-MK"/>
        </w:rPr>
        <w:t>and</w:t>
      </w:r>
      <w:proofErr w:type="spellEnd"/>
      <w:r w:rsidRPr="0043161C">
        <w:rPr>
          <w:rFonts w:ascii="Arial" w:hAnsi="Arial" w:cs="Arial"/>
          <w:lang w:val="mk-MK"/>
        </w:rPr>
        <w:t xml:space="preserve"> </w:t>
      </w:r>
      <w:proofErr w:type="spellStart"/>
      <w:r w:rsidRPr="0043161C">
        <w:rPr>
          <w:rFonts w:ascii="Arial" w:hAnsi="Arial" w:cs="Arial"/>
          <w:lang w:val="mk-MK"/>
        </w:rPr>
        <w:t>other</w:t>
      </w:r>
      <w:proofErr w:type="spellEnd"/>
      <w:r w:rsidRPr="0043161C">
        <w:rPr>
          <w:rFonts w:ascii="Arial" w:hAnsi="Arial" w:cs="Arial"/>
          <w:lang w:val="mk-MK"/>
        </w:rPr>
        <w:t xml:space="preserve"> </w:t>
      </w:r>
      <w:proofErr w:type="spellStart"/>
      <w:r w:rsidRPr="0043161C">
        <w:rPr>
          <w:rFonts w:ascii="Arial" w:hAnsi="Arial" w:cs="Arial"/>
          <w:lang w:val="mk-MK"/>
        </w:rPr>
        <w:t>liabilities</w:t>
      </w:r>
      <w:proofErr w:type="spellEnd"/>
      <w:r w:rsidRPr="0043161C">
        <w:rPr>
          <w:rFonts w:ascii="Arial" w:hAnsi="Arial" w:cs="Arial"/>
          <w:lang w:val="mk-MK"/>
        </w:rPr>
        <w:t>.</w:t>
      </w:r>
      <w:r w:rsidRPr="00CE3053">
        <w:rPr>
          <w:rFonts w:ascii="Arial" w:hAnsi="Arial" w:cs="Arial"/>
          <w:lang w:val="mk-MK"/>
        </w:rPr>
        <w:t xml:space="preserve"> </w:t>
      </w:r>
    </w:p>
    <w:p w14:paraId="2D907DF0" w14:textId="310B6AA1" w:rsidR="00815E65" w:rsidRPr="00CE3053" w:rsidRDefault="0043161C" w:rsidP="00815E65">
      <w:pPr>
        <w:pStyle w:val="Heading4"/>
        <w:jc w:val="both"/>
        <w:rPr>
          <w:rFonts w:ascii="Arial" w:hAnsi="Arial" w:cs="Arial"/>
          <w:lang w:val="mk-MK"/>
        </w:rPr>
      </w:pPr>
      <w:r>
        <w:rPr>
          <w:rFonts w:ascii="Arial" w:hAnsi="Arial" w:cs="Arial"/>
          <w:lang w:val="en-US"/>
        </w:rPr>
        <w:t>Claims and other liabilities</w:t>
      </w:r>
      <w:r w:rsidR="00815E65" w:rsidRPr="00CE3053">
        <w:rPr>
          <w:rFonts w:ascii="Arial" w:hAnsi="Arial" w:cs="Arial"/>
          <w:lang w:val="mk-MK"/>
        </w:rPr>
        <w:tab/>
      </w:r>
    </w:p>
    <w:p w14:paraId="6D66146C" w14:textId="3DF38DAB" w:rsidR="00815E65" w:rsidRDefault="0043161C" w:rsidP="00815E65">
      <w:pPr>
        <w:pStyle w:val="BodyText"/>
        <w:jc w:val="both"/>
        <w:rPr>
          <w:rFonts w:ascii="Arial" w:hAnsi="Arial" w:cs="Arial"/>
          <w:noProof/>
          <w:lang w:val="mk-MK"/>
        </w:rPr>
      </w:pPr>
      <w:r w:rsidRPr="0043161C">
        <w:rPr>
          <w:rFonts w:ascii="Arial" w:hAnsi="Arial" w:cs="Arial"/>
          <w:noProof/>
          <w:lang w:val="mk-MK"/>
        </w:rPr>
        <w:t>Claims and other liabilities are recognised at their fair value and consequently are measured at their amortised cost using the effective interest method. Other liabilities are derecognised at the moment when they are settled, cancelled or matured.</w:t>
      </w:r>
    </w:p>
    <w:p w14:paraId="438EA6F9" w14:textId="77777777" w:rsidR="0043161C" w:rsidRPr="00CE3053" w:rsidRDefault="0043161C" w:rsidP="00815E65">
      <w:pPr>
        <w:pStyle w:val="BodyText"/>
        <w:jc w:val="both"/>
        <w:rPr>
          <w:rFonts w:ascii="Arial" w:hAnsi="Arial" w:cs="Arial"/>
          <w:lang w:val="mk-MK"/>
        </w:rPr>
      </w:pPr>
    </w:p>
    <w:p w14:paraId="002A75FD" w14:textId="2269B8A5" w:rsidR="00815E65" w:rsidRPr="00CE3053" w:rsidRDefault="008F2213" w:rsidP="0061511C">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bookmarkStart w:id="2" w:name="_Hlk100178955"/>
      <w:r w:rsidRPr="00CE3053">
        <w:rPr>
          <w:rFonts w:ascii="Arial" w:hAnsi="Arial" w:cs="Arial"/>
          <w:b/>
          <w:color w:val="4F2D7F"/>
          <w:sz w:val="18"/>
          <w:lang w:val="mk-MK"/>
        </w:rPr>
        <w:t xml:space="preserve"> </w:t>
      </w:r>
      <w:r w:rsidR="00574A94">
        <w:rPr>
          <w:rFonts w:ascii="Arial" w:hAnsi="Arial" w:cs="Arial"/>
          <w:b/>
          <w:color w:val="4F2D7F"/>
          <w:sz w:val="18"/>
          <w:lang w:val="en-US"/>
        </w:rPr>
        <w:t>Employee b</w:t>
      </w:r>
      <w:r w:rsidR="0068059B">
        <w:rPr>
          <w:rFonts w:ascii="Arial" w:hAnsi="Arial" w:cs="Arial"/>
          <w:b/>
          <w:color w:val="4F2D7F"/>
          <w:sz w:val="18"/>
          <w:lang w:val="en-US"/>
        </w:rPr>
        <w:t>enefits</w:t>
      </w:r>
    </w:p>
    <w:bookmarkEnd w:id="2"/>
    <w:p w14:paraId="1588BEBB" w14:textId="77777777" w:rsidR="00B4561F" w:rsidRDefault="0068059B" w:rsidP="00815E65">
      <w:pPr>
        <w:autoSpaceDE w:val="0"/>
        <w:autoSpaceDN w:val="0"/>
        <w:adjustRightInd w:val="0"/>
        <w:spacing w:after="284" w:line="280" w:lineRule="atLeast"/>
        <w:jc w:val="both"/>
      </w:pPr>
      <w:proofErr w:type="spellStart"/>
      <w:r w:rsidRPr="0068059B">
        <w:rPr>
          <w:rFonts w:ascii="Arial" w:hAnsi="Arial" w:cs="Arial"/>
          <w:lang w:val="mk-MK"/>
        </w:rPr>
        <w:t>The</w:t>
      </w:r>
      <w:proofErr w:type="spellEnd"/>
      <w:r w:rsidRPr="0068059B">
        <w:rPr>
          <w:rFonts w:ascii="Arial" w:hAnsi="Arial" w:cs="Arial"/>
          <w:lang w:val="mk-MK"/>
        </w:rPr>
        <w:t xml:space="preserve"> </w:t>
      </w:r>
      <w:proofErr w:type="spellStart"/>
      <w:r w:rsidRPr="0068059B">
        <w:rPr>
          <w:rFonts w:ascii="Arial" w:hAnsi="Arial" w:cs="Arial"/>
          <w:lang w:val="mk-MK"/>
        </w:rPr>
        <w:t>Fund</w:t>
      </w:r>
      <w:proofErr w:type="spellEnd"/>
      <w:r w:rsidRPr="0068059B">
        <w:rPr>
          <w:rFonts w:ascii="Arial" w:hAnsi="Arial" w:cs="Arial"/>
          <w:lang w:val="mk-MK"/>
        </w:rPr>
        <w:t xml:space="preserve"> </w:t>
      </w:r>
      <w:proofErr w:type="spellStart"/>
      <w:r w:rsidRPr="0068059B">
        <w:rPr>
          <w:rFonts w:ascii="Arial" w:hAnsi="Arial" w:cs="Arial"/>
          <w:lang w:val="mk-MK"/>
        </w:rPr>
        <w:t>pays</w:t>
      </w:r>
      <w:proofErr w:type="spellEnd"/>
      <w:r w:rsidRPr="0068059B">
        <w:rPr>
          <w:rFonts w:ascii="Arial" w:hAnsi="Arial" w:cs="Arial"/>
          <w:lang w:val="mk-MK"/>
        </w:rPr>
        <w:t xml:space="preserve"> </w:t>
      </w:r>
      <w:proofErr w:type="spellStart"/>
      <w:r w:rsidRPr="0068059B">
        <w:rPr>
          <w:rFonts w:ascii="Arial" w:hAnsi="Arial" w:cs="Arial"/>
          <w:lang w:val="mk-MK"/>
        </w:rPr>
        <w:t>pension</w:t>
      </w:r>
      <w:proofErr w:type="spellEnd"/>
      <w:r w:rsidRPr="0068059B">
        <w:rPr>
          <w:rFonts w:ascii="Arial" w:hAnsi="Arial" w:cs="Arial"/>
          <w:lang w:val="mk-MK"/>
        </w:rPr>
        <w:t xml:space="preserve"> </w:t>
      </w:r>
      <w:proofErr w:type="spellStart"/>
      <w:r w:rsidRPr="0068059B">
        <w:rPr>
          <w:rFonts w:ascii="Arial" w:hAnsi="Arial" w:cs="Arial"/>
          <w:lang w:val="mk-MK"/>
        </w:rPr>
        <w:t>insurance</w:t>
      </w:r>
      <w:proofErr w:type="spellEnd"/>
      <w:r w:rsidRPr="0068059B">
        <w:rPr>
          <w:rFonts w:ascii="Arial" w:hAnsi="Arial" w:cs="Arial"/>
          <w:lang w:val="mk-MK"/>
        </w:rPr>
        <w:t xml:space="preserve"> </w:t>
      </w:r>
      <w:proofErr w:type="spellStart"/>
      <w:r w:rsidRPr="0068059B">
        <w:rPr>
          <w:rFonts w:ascii="Arial" w:hAnsi="Arial" w:cs="Arial"/>
          <w:lang w:val="mk-MK"/>
        </w:rPr>
        <w:t>contributions</w:t>
      </w:r>
      <w:proofErr w:type="spellEnd"/>
      <w:r w:rsidRPr="0068059B">
        <w:rPr>
          <w:rFonts w:ascii="Arial" w:hAnsi="Arial" w:cs="Arial"/>
          <w:lang w:val="mk-MK"/>
        </w:rPr>
        <w:t xml:space="preserve"> </w:t>
      </w:r>
      <w:proofErr w:type="spellStart"/>
      <w:r w:rsidRPr="0068059B">
        <w:rPr>
          <w:rFonts w:ascii="Arial" w:hAnsi="Arial" w:cs="Arial"/>
          <w:lang w:val="mk-MK"/>
        </w:rPr>
        <w:t>to</w:t>
      </w:r>
      <w:proofErr w:type="spellEnd"/>
      <w:r w:rsidRPr="0068059B">
        <w:rPr>
          <w:rFonts w:ascii="Arial" w:hAnsi="Arial" w:cs="Arial"/>
          <w:lang w:val="mk-MK"/>
        </w:rPr>
        <w:t xml:space="preserve"> </w:t>
      </w:r>
      <w:proofErr w:type="spellStart"/>
      <w:r w:rsidRPr="0068059B">
        <w:rPr>
          <w:rFonts w:ascii="Arial" w:hAnsi="Arial" w:cs="Arial"/>
          <w:lang w:val="mk-MK"/>
        </w:rPr>
        <w:t>its</w:t>
      </w:r>
      <w:proofErr w:type="spellEnd"/>
      <w:r w:rsidRPr="0068059B">
        <w:rPr>
          <w:rFonts w:ascii="Arial" w:hAnsi="Arial" w:cs="Arial"/>
          <w:lang w:val="mk-MK"/>
        </w:rPr>
        <w:t xml:space="preserve"> </w:t>
      </w:r>
      <w:proofErr w:type="spellStart"/>
      <w:r w:rsidRPr="0068059B">
        <w:rPr>
          <w:rFonts w:ascii="Arial" w:hAnsi="Arial" w:cs="Arial"/>
          <w:lang w:val="mk-MK"/>
        </w:rPr>
        <w:t>employees</w:t>
      </w:r>
      <w:proofErr w:type="spellEnd"/>
      <w:r w:rsidRPr="0068059B">
        <w:rPr>
          <w:rFonts w:ascii="Arial" w:hAnsi="Arial" w:cs="Arial"/>
          <w:lang w:val="mk-MK"/>
        </w:rPr>
        <w:t xml:space="preserve"> </w:t>
      </w:r>
      <w:proofErr w:type="spellStart"/>
      <w:r w:rsidRPr="0068059B">
        <w:rPr>
          <w:rFonts w:ascii="Arial" w:hAnsi="Arial" w:cs="Arial"/>
          <w:lang w:val="mk-MK"/>
        </w:rPr>
        <w:t>as</w:t>
      </w:r>
      <w:proofErr w:type="spellEnd"/>
      <w:r w:rsidRPr="0068059B">
        <w:rPr>
          <w:rFonts w:ascii="Arial" w:hAnsi="Arial" w:cs="Arial"/>
          <w:lang w:val="mk-MK"/>
        </w:rPr>
        <w:t xml:space="preserve"> </w:t>
      </w:r>
      <w:proofErr w:type="spellStart"/>
      <w:r w:rsidRPr="0068059B">
        <w:rPr>
          <w:rFonts w:ascii="Arial" w:hAnsi="Arial" w:cs="Arial"/>
          <w:lang w:val="mk-MK"/>
        </w:rPr>
        <w:t>prescribed</w:t>
      </w:r>
      <w:proofErr w:type="spellEnd"/>
      <w:r w:rsidRPr="0068059B">
        <w:rPr>
          <w:rFonts w:ascii="Arial" w:hAnsi="Arial" w:cs="Arial"/>
          <w:lang w:val="mk-MK"/>
        </w:rPr>
        <w:t xml:space="preserve"> </w:t>
      </w:r>
      <w:proofErr w:type="spellStart"/>
      <w:r w:rsidRPr="0068059B">
        <w:rPr>
          <w:rFonts w:ascii="Arial" w:hAnsi="Arial" w:cs="Arial"/>
          <w:lang w:val="mk-MK"/>
        </w:rPr>
        <w:t>by</w:t>
      </w:r>
      <w:proofErr w:type="spellEnd"/>
      <w:r w:rsidRPr="0068059B">
        <w:rPr>
          <w:rFonts w:ascii="Arial" w:hAnsi="Arial" w:cs="Arial"/>
          <w:lang w:val="mk-MK"/>
        </w:rPr>
        <w:t xml:space="preserve"> </w:t>
      </w:r>
      <w:proofErr w:type="spellStart"/>
      <w:r w:rsidRPr="0068059B">
        <w:rPr>
          <w:rFonts w:ascii="Arial" w:hAnsi="Arial" w:cs="Arial"/>
          <w:lang w:val="mk-MK"/>
        </w:rPr>
        <w:t>the</w:t>
      </w:r>
      <w:proofErr w:type="spellEnd"/>
      <w:r w:rsidRPr="0068059B">
        <w:rPr>
          <w:rFonts w:ascii="Arial" w:hAnsi="Arial" w:cs="Arial"/>
          <w:lang w:val="mk-MK"/>
        </w:rPr>
        <w:t xml:space="preserve"> </w:t>
      </w:r>
      <w:proofErr w:type="spellStart"/>
      <w:r w:rsidRPr="0068059B">
        <w:rPr>
          <w:rFonts w:ascii="Arial" w:hAnsi="Arial" w:cs="Arial"/>
          <w:lang w:val="mk-MK"/>
        </w:rPr>
        <w:t>local</w:t>
      </w:r>
      <w:proofErr w:type="spellEnd"/>
      <w:r w:rsidRPr="0068059B">
        <w:rPr>
          <w:rFonts w:ascii="Arial" w:hAnsi="Arial" w:cs="Arial"/>
          <w:lang w:val="mk-MK"/>
        </w:rPr>
        <w:t xml:space="preserve"> </w:t>
      </w:r>
      <w:proofErr w:type="spellStart"/>
      <w:r w:rsidRPr="0068059B">
        <w:rPr>
          <w:rFonts w:ascii="Arial" w:hAnsi="Arial" w:cs="Arial"/>
          <w:lang w:val="mk-MK"/>
        </w:rPr>
        <w:t>social</w:t>
      </w:r>
      <w:proofErr w:type="spellEnd"/>
      <w:r w:rsidRPr="0068059B">
        <w:rPr>
          <w:rFonts w:ascii="Arial" w:hAnsi="Arial" w:cs="Arial"/>
          <w:lang w:val="mk-MK"/>
        </w:rPr>
        <w:t xml:space="preserve"> </w:t>
      </w:r>
      <w:proofErr w:type="spellStart"/>
      <w:r w:rsidRPr="0068059B">
        <w:rPr>
          <w:rFonts w:ascii="Arial" w:hAnsi="Arial" w:cs="Arial"/>
          <w:lang w:val="mk-MK"/>
        </w:rPr>
        <w:t>security</w:t>
      </w:r>
      <w:proofErr w:type="spellEnd"/>
      <w:r w:rsidRPr="0068059B">
        <w:rPr>
          <w:rFonts w:ascii="Arial" w:hAnsi="Arial" w:cs="Arial"/>
          <w:lang w:val="mk-MK"/>
        </w:rPr>
        <w:t xml:space="preserve"> </w:t>
      </w:r>
      <w:proofErr w:type="spellStart"/>
      <w:r w:rsidRPr="0068059B">
        <w:rPr>
          <w:rFonts w:ascii="Arial" w:hAnsi="Arial" w:cs="Arial"/>
          <w:lang w:val="mk-MK"/>
        </w:rPr>
        <w:t>legislation</w:t>
      </w:r>
      <w:proofErr w:type="spellEnd"/>
      <w:r w:rsidRPr="0068059B">
        <w:rPr>
          <w:rFonts w:ascii="Arial" w:hAnsi="Arial" w:cs="Arial"/>
          <w:lang w:val="mk-MK"/>
        </w:rPr>
        <w:t xml:space="preserve">. </w:t>
      </w:r>
      <w:proofErr w:type="spellStart"/>
      <w:r w:rsidRPr="0068059B">
        <w:rPr>
          <w:rFonts w:ascii="Arial" w:hAnsi="Arial" w:cs="Arial"/>
          <w:lang w:val="mk-MK"/>
        </w:rPr>
        <w:t>Contributions</w:t>
      </w:r>
      <w:proofErr w:type="spellEnd"/>
      <w:r w:rsidRPr="0068059B">
        <w:rPr>
          <w:rFonts w:ascii="Arial" w:hAnsi="Arial" w:cs="Arial"/>
          <w:lang w:val="mk-MK"/>
        </w:rPr>
        <w:t xml:space="preserve">, </w:t>
      </w:r>
      <w:proofErr w:type="spellStart"/>
      <w:r w:rsidRPr="0068059B">
        <w:rPr>
          <w:rFonts w:ascii="Arial" w:hAnsi="Arial" w:cs="Arial"/>
          <w:lang w:val="mk-MK"/>
        </w:rPr>
        <w:t>based</w:t>
      </w:r>
      <w:proofErr w:type="spellEnd"/>
      <w:r w:rsidRPr="0068059B">
        <w:rPr>
          <w:rFonts w:ascii="Arial" w:hAnsi="Arial" w:cs="Arial"/>
          <w:lang w:val="mk-MK"/>
        </w:rPr>
        <w:t xml:space="preserve"> </w:t>
      </w:r>
      <w:proofErr w:type="spellStart"/>
      <w:r w:rsidRPr="0068059B">
        <w:rPr>
          <w:rFonts w:ascii="Arial" w:hAnsi="Arial" w:cs="Arial"/>
          <w:lang w:val="mk-MK"/>
        </w:rPr>
        <w:t>on</w:t>
      </w:r>
      <w:proofErr w:type="spellEnd"/>
      <w:r w:rsidRPr="0068059B">
        <w:rPr>
          <w:rFonts w:ascii="Arial" w:hAnsi="Arial" w:cs="Arial"/>
          <w:lang w:val="mk-MK"/>
        </w:rPr>
        <w:t xml:space="preserve"> </w:t>
      </w:r>
      <w:proofErr w:type="spellStart"/>
      <w:r w:rsidRPr="0068059B">
        <w:rPr>
          <w:rFonts w:ascii="Arial" w:hAnsi="Arial" w:cs="Arial"/>
          <w:lang w:val="mk-MK"/>
        </w:rPr>
        <w:t>the</w:t>
      </w:r>
      <w:proofErr w:type="spellEnd"/>
      <w:r w:rsidRPr="0068059B">
        <w:rPr>
          <w:rFonts w:ascii="Arial" w:hAnsi="Arial" w:cs="Arial"/>
          <w:lang w:val="mk-MK"/>
        </w:rPr>
        <w:t xml:space="preserve"> </w:t>
      </w:r>
      <w:proofErr w:type="spellStart"/>
      <w:r w:rsidRPr="0068059B">
        <w:rPr>
          <w:rFonts w:ascii="Arial" w:hAnsi="Arial" w:cs="Arial"/>
          <w:lang w:val="mk-MK"/>
        </w:rPr>
        <w:t>salaries</w:t>
      </w:r>
      <w:proofErr w:type="spellEnd"/>
      <w:r w:rsidRPr="0068059B">
        <w:rPr>
          <w:rFonts w:ascii="Arial" w:hAnsi="Arial" w:cs="Arial"/>
          <w:lang w:val="mk-MK"/>
        </w:rPr>
        <w:t xml:space="preserve">, </w:t>
      </w:r>
      <w:proofErr w:type="spellStart"/>
      <w:r w:rsidRPr="0068059B">
        <w:rPr>
          <w:rFonts w:ascii="Arial" w:hAnsi="Arial" w:cs="Arial"/>
          <w:lang w:val="mk-MK"/>
        </w:rPr>
        <w:t>are</w:t>
      </w:r>
      <w:proofErr w:type="spellEnd"/>
      <w:r w:rsidRPr="0068059B">
        <w:rPr>
          <w:rFonts w:ascii="Arial" w:hAnsi="Arial" w:cs="Arial"/>
          <w:lang w:val="mk-MK"/>
        </w:rPr>
        <w:t xml:space="preserve"> </w:t>
      </w:r>
      <w:proofErr w:type="spellStart"/>
      <w:r w:rsidRPr="0068059B">
        <w:rPr>
          <w:rFonts w:ascii="Arial" w:hAnsi="Arial" w:cs="Arial"/>
          <w:lang w:val="mk-MK"/>
        </w:rPr>
        <w:t>made</w:t>
      </w:r>
      <w:proofErr w:type="spellEnd"/>
      <w:r w:rsidRPr="0068059B">
        <w:rPr>
          <w:rFonts w:ascii="Arial" w:hAnsi="Arial" w:cs="Arial"/>
          <w:lang w:val="mk-MK"/>
        </w:rPr>
        <w:t xml:space="preserve"> </w:t>
      </w:r>
      <w:proofErr w:type="spellStart"/>
      <w:r w:rsidRPr="0068059B">
        <w:rPr>
          <w:rFonts w:ascii="Arial" w:hAnsi="Arial" w:cs="Arial"/>
          <w:lang w:val="mk-MK"/>
        </w:rPr>
        <w:t>to</w:t>
      </w:r>
      <w:proofErr w:type="spellEnd"/>
      <w:r w:rsidRPr="0068059B">
        <w:rPr>
          <w:rFonts w:ascii="Arial" w:hAnsi="Arial" w:cs="Arial"/>
          <w:lang w:val="mk-MK"/>
        </w:rPr>
        <w:t xml:space="preserve"> </w:t>
      </w:r>
      <w:proofErr w:type="spellStart"/>
      <w:r w:rsidRPr="0068059B">
        <w:rPr>
          <w:rFonts w:ascii="Arial" w:hAnsi="Arial" w:cs="Arial"/>
          <w:lang w:val="mk-MK"/>
        </w:rPr>
        <w:t>the</w:t>
      </w:r>
      <w:proofErr w:type="spellEnd"/>
      <w:r w:rsidRPr="0068059B">
        <w:rPr>
          <w:rFonts w:ascii="Arial" w:hAnsi="Arial" w:cs="Arial"/>
          <w:lang w:val="mk-MK"/>
        </w:rPr>
        <w:t xml:space="preserve"> </w:t>
      </w:r>
      <w:proofErr w:type="spellStart"/>
      <w:r w:rsidRPr="0068059B">
        <w:rPr>
          <w:rFonts w:ascii="Arial" w:hAnsi="Arial" w:cs="Arial"/>
          <w:lang w:val="mk-MK"/>
        </w:rPr>
        <w:t>national</w:t>
      </w:r>
      <w:proofErr w:type="spellEnd"/>
      <w:r w:rsidRPr="0068059B">
        <w:rPr>
          <w:rFonts w:ascii="Arial" w:hAnsi="Arial" w:cs="Arial"/>
          <w:lang w:val="mk-MK"/>
        </w:rPr>
        <w:t xml:space="preserve"> </w:t>
      </w:r>
      <w:proofErr w:type="spellStart"/>
      <w:r w:rsidRPr="0068059B">
        <w:rPr>
          <w:rFonts w:ascii="Arial" w:hAnsi="Arial" w:cs="Arial"/>
          <w:lang w:val="mk-MK"/>
        </w:rPr>
        <w:t>Pension</w:t>
      </w:r>
      <w:proofErr w:type="spellEnd"/>
      <w:r w:rsidRPr="0068059B">
        <w:rPr>
          <w:rFonts w:ascii="Arial" w:hAnsi="Arial" w:cs="Arial"/>
          <w:lang w:val="mk-MK"/>
        </w:rPr>
        <w:t xml:space="preserve"> </w:t>
      </w:r>
      <w:proofErr w:type="spellStart"/>
      <w:r w:rsidRPr="0068059B">
        <w:rPr>
          <w:rFonts w:ascii="Arial" w:hAnsi="Arial" w:cs="Arial"/>
          <w:lang w:val="mk-MK"/>
        </w:rPr>
        <w:t>Fund</w:t>
      </w:r>
      <w:proofErr w:type="spellEnd"/>
      <w:r w:rsidRPr="0068059B">
        <w:rPr>
          <w:rFonts w:ascii="Arial" w:hAnsi="Arial" w:cs="Arial"/>
          <w:lang w:val="mk-MK"/>
        </w:rPr>
        <w:t xml:space="preserve"> </w:t>
      </w:r>
      <w:proofErr w:type="spellStart"/>
      <w:r w:rsidRPr="0068059B">
        <w:rPr>
          <w:rFonts w:ascii="Arial" w:hAnsi="Arial" w:cs="Arial"/>
          <w:lang w:val="mk-MK"/>
        </w:rPr>
        <w:t>and</w:t>
      </w:r>
      <w:proofErr w:type="spellEnd"/>
      <w:r w:rsidRPr="0068059B">
        <w:rPr>
          <w:rFonts w:ascii="Arial" w:hAnsi="Arial" w:cs="Arial"/>
          <w:lang w:val="mk-MK"/>
        </w:rPr>
        <w:t xml:space="preserve"> </w:t>
      </w:r>
      <w:proofErr w:type="spellStart"/>
      <w:r w:rsidRPr="0068059B">
        <w:rPr>
          <w:rFonts w:ascii="Arial" w:hAnsi="Arial" w:cs="Arial"/>
          <w:lang w:val="mk-MK"/>
        </w:rPr>
        <w:t>the</w:t>
      </w:r>
      <w:proofErr w:type="spellEnd"/>
      <w:r w:rsidRPr="0068059B">
        <w:rPr>
          <w:rFonts w:ascii="Arial" w:hAnsi="Arial" w:cs="Arial"/>
          <w:lang w:val="mk-MK"/>
        </w:rPr>
        <w:t xml:space="preserve"> </w:t>
      </w:r>
      <w:proofErr w:type="spellStart"/>
      <w:r w:rsidRPr="0068059B">
        <w:rPr>
          <w:rFonts w:ascii="Arial" w:hAnsi="Arial" w:cs="Arial"/>
          <w:lang w:val="mk-MK"/>
        </w:rPr>
        <w:t>obligatory</w:t>
      </w:r>
      <w:proofErr w:type="spellEnd"/>
      <w:r w:rsidRPr="0068059B">
        <w:rPr>
          <w:rFonts w:ascii="Arial" w:hAnsi="Arial" w:cs="Arial"/>
          <w:lang w:val="mk-MK"/>
        </w:rPr>
        <w:t xml:space="preserve"> </w:t>
      </w:r>
      <w:proofErr w:type="spellStart"/>
      <w:r w:rsidRPr="0068059B">
        <w:rPr>
          <w:rFonts w:ascii="Arial" w:hAnsi="Arial" w:cs="Arial"/>
          <w:lang w:val="mk-MK"/>
        </w:rPr>
        <w:t>private</w:t>
      </w:r>
      <w:proofErr w:type="spellEnd"/>
      <w:r w:rsidRPr="0068059B">
        <w:rPr>
          <w:rFonts w:ascii="Arial" w:hAnsi="Arial" w:cs="Arial"/>
          <w:lang w:val="mk-MK"/>
        </w:rPr>
        <w:t xml:space="preserve"> </w:t>
      </w:r>
      <w:proofErr w:type="spellStart"/>
      <w:r w:rsidRPr="0068059B">
        <w:rPr>
          <w:rFonts w:ascii="Arial" w:hAnsi="Arial" w:cs="Arial"/>
          <w:lang w:val="mk-MK"/>
        </w:rPr>
        <w:t>pension</w:t>
      </w:r>
      <w:proofErr w:type="spellEnd"/>
      <w:r w:rsidRPr="0068059B">
        <w:rPr>
          <w:rFonts w:ascii="Arial" w:hAnsi="Arial" w:cs="Arial"/>
          <w:lang w:val="mk-MK"/>
        </w:rPr>
        <w:t xml:space="preserve"> </w:t>
      </w:r>
      <w:proofErr w:type="spellStart"/>
      <w:r w:rsidRPr="0068059B">
        <w:rPr>
          <w:rFonts w:ascii="Arial" w:hAnsi="Arial" w:cs="Arial"/>
          <w:lang w:val="mk-MK"/>
        </w:rPr>
        <w:t>funds</w:t>
      </w:r>
      <w:proofErr w:type="spellEnd"/>
      <w:r w:rsidRPr="0068059B">
        <w:rPr>
          <w:rFonts w:ascii="Arial" w:hAnsi="Arial" w:cs="Arial"/>
          <w:lang w:val="mk-MK"/>
        </w:rPr>
        <w:t xml:space="preserve">. </w:t>
      </w:r>
      <w:proofErr w:type="spellStart"/>
      <w:r w:rsidRPr="0068059B">
        <w:rPr>
          <w:rFonts w:ascii="Arial" w:hAnsi="Arial" w:cs="Arial"/>
          <w:lang w:val="mk-MK"/>
        </w:rPr>
        <w:t>There</w:t>
      </w:r>
      <w:proofErr w:type="spellEnd"/>
      <w:r w:rsidRPr="0068059B">
        <w:rPr>
          <w:rFonts w:ascii="Arial" w:hAnsi="Arial" w:cs="Arial"/>
          <w:lang w:val="mk-MK"/>
        </w:rPr>
        <w:t xml:space="preserve"> </w:t>
      </w:r>
      <w:proofErr w:type="spellStart"/>
      <w:r w:rsidRPr="0068059B">
        <w:rPr>
          <w:rFonts w:ascii="Arial" w:hAnsi="Arial" w:cs="Arial"/>
          <w:lang w:val="mk-MK"/>
        </w:rPr>
        <w:t>is</w:t>
      </w:r>
      <w:proofErr w:type="spellEnd"/>
      <w:r w:rsidRPr="0068059B">
        <w:rPr>
          <w:rFonts w:ascii="Arial" w:hAnsi="Arial" w:cs="Arial"/>
          <w:lang w:val="mk-MK"/>
        </w:rPr>
        <w:t xml:space="preserve"> </w:t>
      </w:r>
      <w:proofErr w:type="spellStart"/>
      <w:r w:rsidRPr="0068059B">
        <w:rPr>
          <w:rFonts w:ascii="Arial" w:hAnsi="Arial" w:cs="Arial"/>
          <w:lang w:val="mk-MK"/>
        </w:rPr>
        <w:t>no</w:t>
      </w:r>
      <w:proofErr w:type="spellEnd"/>
      <w:r w:rsidRPr="0068059B">
        <w:rPr>
          <w:rFonts w:ascii="Arial" w:hAnsi="Arial" w:cs="Arial"/>
          <w:lang w:val="mk-MK"/>
        </w:rPr>
        <w:t xml:space="preserve"> </w:t>
      </w:r>
      <w:proofErr w:type="spellStart"/>
      <w:r w:rsidRPr="0068059B">
        <w:rPr>
          <w:rFonts w:ascii="Arial" w:hAnsi="Arial" w:cs="Arial"/>
          <w:lang w:val="mk-MK"/>
        </w:rPr>
        <w:t>additional</w:t>
      </w:r>
      <w:proofErr w:type="spellEnd"/>
      <w:r w:rsidRPr="0068059B">
        <w:rPr>
          <w:rFonts w:ascii="Arial" w:hAnsi="Arial" w:cs="Arial"/>
          <w:lang w:val="mk-MK"/>
        </w:rPr>
        <w:t xml:space="preserve"> </w:t>
      </w:r>
      <w:proofErr w:type="spellStart"/>
      <w:r w:rsidRPr="0068059B">
        <w:rPr>
          <w:rFonts w:ascii="Arial" w:hAnsi="Arial" w:cs="Arial"/>
          <w:lang w:val="mk-MK"/>
        </w:rPr>
        <w:t>liability</w:t>
      </w:r>
      <w:proofErr w:type="spellEnd"/>
      <w:r w:rsidRPr="0068059B">
        <w:rPr>
          <w:rFonts w:ascii="Arial" w:hAnsi="Arial" w:cs="Arial"/>
          <w:lang w:val="mk-MK"/>
        </w:rPr>
        <w:t xml:space="preserve"> </w:t>
      </w:r>
      <w:proofErr w:type="spellStart"/>
      <w:r w:rsidRPr="0068059B">
        <w:rPr>
          <w:rFonts w:ascii="Arial" w:hAnsi="Arial" w:cs="Arial"/>
          <w:lang w:val="mk-MK"/>
        </w:rPr>
        <w:t>regarding</w:t>
      </w:r>
      <w:proofErr w:type="spellEnd"/>
      <w:r w:rsidRPr="0068059B">
        <w:rPr>
          <w:rFonts w:ascii="Arial" w:hAnsi="Arial" w:cs="Arial"/>
          <w:lang w:val="mk-MK"/>
        </w:rPr>
        <w:t xml:space="preserve"> </w:t>
      </w:r>
      <w:proofErr w:type="spellStart"/>
      <w:r w:rsidRPr="0068059B">
        <w:rPr>
          <w:rFonts w:ascii="Arial" w:hAnsi="Arial" w:cs="Arial"/>
          <w:lang w:val="mk-MK"/>
        </w:rPr>
        <w:t>these</w:t>
      </w:r>
      <w:proofErr w:type="spellEnd"/>
      <w:r w:rsidRPr="0068059B">
        <w:rPr>
          <w:rFonts w:ascii="Arial" w:hAnsi="Arial" w:cs="Arial"/>
          <w:lang w:val="mk-MK"/>
        </w:rPr>
        <w:t xml:space="preserve"> </w:t>
      </w:r>
      <w:proofErr w:type="spellStart"/>
      <w:r w:rsidRPr="0068059B">
        <w:rPr>
          <w:rFonts w:ascii="Arial" w:hAnsi="Arial" w:cs="Arial"/>
          <w:lang w:val="mk-MK"/>
        </w:rPr>
        <w:t>contributions</w:t>
      </w:r>
      <w:proofErr w:type="spellEnd"/>
      <w:r w:rsidRPr="0068059B">
        <w:rPr>
          <w:rFonts w:ascii="Arial" w:hAnsi="Arial" w:cs="Arial"/>
          <w:lang w:val="mk-MK"/>
        </w:rPr>
        <w:t xml:space="preserve">. </w:t>
      </w:r>
      <w:proofErr w:type="spellStart"/>
      <w:r w:rsidRPr="0068059B">
        <w:rPr>
          <w:rFonts w:ascii="Arial" w:hAnsi="Arial" w:cs="Arial"/>
          <w:lang w:val="mk-MK"/>
        </w:rPr>
        <w:t>In</w:t>
      </w:r>
      <w:proofErr w:type="spellEnd"/>
      <w:r w:rsidRPr="0068059B">
        <w:rPr>
          <w:rFonts w:ascii="Arial" w:hAnsi="Arial" w:cs="Arial"/>
          <w:lang w:val="mk-MK"/>
        </w:rPr>
        <w:t xml:space="preserve"> </w:t>
      </w:r>
      <w:proofErr w:type="spellStart"/>
      <w:r w:rsidRPr="0068059B">
        <w:rPr>
          <w:rFonts w:ascii="Arial" w:hAnsi="Arial" w:cs="Arial"/>
          <w:lang w:val="mk-MK"/>
        </w:rPr>
        <w:t>addition</w:t>
      </w:r>
      <w:proofErr w:type="spellEnd"/>
      <w:r w:rsidRPr="0068059B">
        <w:rPr>
          <w:rFonts w:ascii="Arial" w:hAnsi="Arial" w:cs="Arial"/>
          <w:lang w:val="mk-MK"/>
        </w:rPr>
        <w:t xml:space="preserve">, </w:t>
      </w:r>
      <w:proofErr w:type="spellStart"/>
      <w:r w:rsidRPr="0068059B">
        <w:rPr>
          <w:rFonts w:ascii="Arial" w:hAnsi="Arial" w:cs="Arial"/>
          <w:lang w:val="mk-MK"/>
        </w:rPr>
        <w:t>all</w:t>
      </w:r>
      <w:proofErr w:type="spellEnd"/>
      <w:r w:rsidRPr="0068059B">
        <w:rPr>
          <w:rFonts w:ascii="Arial" w:hAnsi="Arial" w:cs="Arial"/>
          <w:lang w:val="mk-MK"/>
        </w:rPr>
        <w:t xml:space="preserve"> </w:t>
      </w:r>
      <w:proofErr w:type="spellStart"/>
      <w:r w:rsidRPr="0068059B">
        <w:rPr>
          <w:rFonts w:ascii="Arial" w:hAnsi="Arial" w:cs="Arial"/>
          <w:lang w:val="mk-MK"/>
        </w:rPr>
        <w:t>employers</w:t>
      </w:r>
      <w:proofErr w:type="spellEnd"/>
      <w:r w:rsidRPr="0068059B">
        <w:rPr>
          <w:rFonts w:ascii="Arial" w:hAnsi="Arial" w:cs="Arial"/>
          <w:lang w:val="mk-MK"/>
        </w:rPr>
        <w:t xml:space="preserve"> </w:t>
      </w:r>
      <w:proofErr w:type="spellStart"/>
      <w:r w:rsidRPr="0068059B">
        <w:rPr>
          <w:rFonts w:ascii="Arial" w:hAnsi="Arial" w:cs="Arial"/>
          <w:lang w:val="mk-MK"/>
        </w:rPr>
        <w:t>in</w:t>
      </w:r>
      <w:proofErr w:type="spellEnd"/>
      <w:r w:rsidRPr="0068059B">
        <w:rPr>
          <w:rFonts w:ascii="Arial" w:hAnsi="Arial" w:cs="Arial"/>
          <w:lang w:val="mk-MK"/>
        </w:rPr>
        <w:t xml:space="preserve"> </w:t>
      </w:r>
      <w:proofErr w:type="spellStart"/>
      <w:r w:rsidRPr="0068059B">
        <w:rPr>
          <w:rFonts w:ascii="Arial" w:hAnsi="Arial" w:cs="Arial"/>
          <w:lang w:val="mk-MK"/>
        </w:rPr>
        <w:t>the</w:t>
      </w:r>
      <w:proofErr w:type="spellEnd"/>
      <w:r w:rsidRPr="0068059B">
        <w:rPr>
          <w:rFonts w:ascii="Arial" w:hAnsi="Arial" w:cs="Arial"/>
          <w:lang w:val="mk-MK"/>
        </w:rPr>
        <w:t xml:space="preserve"> </w:t>
      </w:r>
      <w:proofErr w:type="spellStart"/>
      <w:r w:rsidRPr="0068059B">
        <w:rPr>
          <w:rFonts w:ascii="Arial" w:hAnsi="Arial" w:cs="Arial"/>
          <w:lang w:val="mk-MK"/>
        </w:rPr>
        <w:t>Republic</w:t>
      </w:r>
      <w:proofErr w:type="spellEnd"/>
      <w:r w:rsidRPr="0068059B">
        <w:rPr>
          <w:rFonts w:ascii="Arial" w:hAnsi="Arial" w:cs="Arial"/>
          <w:lang w:val="mk-MK"/>
        </w:rPr>
        <w:t xml:space="preserve"> </w:t>
      </w:r>
      <w:proofErr w:type="spellStart"/>
      <w:r w:rsidRPr="0068059B">
        <w:rPr>
          <w:rFonts w:ascii="Arial" w:hAnsi="Arial" w:cs="Arial"/>
          <w:lang w:val="mk-MK"/>
        </w:rPr>
        <w:t>of</w:t>
      </w:r>
      <w:proofErr w:type="spellEnd"/>
      <w:r w:rsidRPr="0068059B">
        <w:rPr>
          <w:rFonts w:ascii="Arial" w:hAnsi="Arial" w:cs="Arial"/>
          <w:lang w:val="mk-MK"/>
        </w:rPr>
        <w:t xml:space="preserve"> </w:t>
      </w:r>
      <w:proofErr w:type="spellStart"/>
      <w:r w:rsidRPr="0068059B">
        <w:rPr>
          <w:rFonts w:ascii="Arial" w:hAnsi="Arial" w:cs="Arial"/>
          <w:lang w:val="mk-MK"/>
        </w:rPr>
        <w:t>North</w:t>
      </w:r>
      <w:proofErr w:type="spellEnd"/>
      <w:r w:rsidRPr="0068059B">
        <w:rPr>
          <w:rFonts w:ascii="Arial" w:hAnsi="Arial" w:cs="Arial"/>
          <w:lang w:val="mk-MK"/>
        </w:rPr>
        <w:t xml:space="preserve"> </w:t>
      </w:r>
      <w:proofErr w:type="spellStart"/>
      <w:r w:rsidRPr="0068059B">
        <w:rPr>
          <w:rFonts w:ascii="Arial" w:hAnsi="Arial" w:cs="Arial"/>
          <w:lang w:val="mk-MK"/>
        </w:rPr>
        <w:t>Macedonia</w:t>
      </w:r>
      <w:proofErr w:type="spellEnd"/>
      <w:r w:rsidRPr="0068059B">
        <w:rPr>
          <w:rFonts w:ascii="Arial" w:hAnsi="Arial" w:cs="Arial"/>
          <w:lang w:val="mk-MK"/>
        </w:rPr>
        <w:t xml:space="preserve"> </w:t>
      </w:r>
      <w:proofErr w:type="spellStart"/>
      <w:r w:rsidRPr="0068059B">
        <w:rPr>
          <w:rFonts w:ascii="Arial" w:hAnsi="Arial" w:cs="Arial"/>
          <w:lang w:val="mk-MK"/>
        </w:rPr>
        <w:t>are</w:t>
      </w:r>
      <w:proofErr w:type="spellEnd"/>
      <w:r w:rsidRPr="0068059B">
        <w:rPr>
          <w:rFonts w:ascii="Arial" w:hAnsi="Arial" w:cs="Arial"/>
          <w:lang w:val="mk-MK"/>
        </w:rPr>
        <w:t xml:space="preserve"> </w:t>
      </w:r>
      <w:proofErr w:type="spellStart"/>
      <w:r w:rsidRPr="0068059B">
        <w:rPr>
          <w:rFonts w:ascii="Arial" w:hAnsi="Arial" w:cs="Arial"/>
          <w:lang w:val="mk-MK"/>
        </w:rPr>
        <w:t>obligated</w:t>
      </w:r>
      <w:proofErr w:type="spellEnd"/>
      <w:r w:rsidRPr="0068059B">
        <w:rPr>
          <w:rFonts w:ascii="Arial" w:hAnsi="Arial" w:cs="Arial"/>
          <w:lang w:val="mk-MK"/>
        </w:rPr>
        <w:t xml:space="preserve"> </w:t>
      </w:r>
      <w:proofErr w:type="spellStart"/>
      <w:r w:rsidRPr="0068059B">
        <w:rPr>
          <w:rFonts w:ascii="Arial" w:hAnsi="Arial" w:cs="Arial"/>
          <w:lang w:val="mk-MK"/>
        </w:rPr>
        <w:t>to</w:t>
      </w:r>
      <w:proofErr w:type="spellEnd"/>
      <w:r w:rsidRPr="0068059B">
        <w:rPr>
          <w:rFonts w:ascii="Arial" w:hAnsi="Arial" w:cs="Arial"/>
          <w:lang w:val="mk-MK"/>
        </w:rPr>
        <w:t xml:space="preserve"> </w:t>
      </w:r>
      <w:proofErr w:type="spellStart"/>
      <w:r w:rsidRPr="0068059B">
        <w:rPr>
          <w:rFonts w:ascii="Arial" w:hAnsi="Arial" w:cs="Arial"/>
          <w:lang w:val="mk-MK"/>
        </w:rPr>
        <w:t>pay</w:t>
      </w:r>
      <w:proofErr w:type="spellEnd"/>
      <w:r w:rsidRPr="0068059B">
        <w:rPr>
          <w:rFonts w:ascii="Arial" w:hAnsi="Arial" w:cs="Arial"/>
          <w:lang w:val="mk-MK"/>
        </w:rPr>
        <w:t xml:space="preserve"> </w:t>
      </w:r>
      <w:proofErr w:type="spellStart"/>
      <w:r w:rsidRPr="0068059B">
        <w:rPr>
          <w:rFonts w:ascii="Arial" w:hAnsi="Arial" w:cs="Arial"/>
          <w:lang w:val="mk-MK"/>
        </w:rPr>
        <w:t>their</w:t>
      </w:r>
      <w:proofErr w:type="spellEnd"/>
      <w:r w:rsidRPr="0068059B">
        <w:rPr>
          <w:rFonts w:ascii="Arial" w:hAnsi="Arial" w:cs="Arial"/>
          <w:lang w:val="mk-MK"/>
        </w:rPr>
        <w:t xml:space="preserve"> </w:t>
      </w:r>
      <w:proofErr w:type="spellStart"/>
      <w:r w:rsidRPr="0068059B">
        <w:rPr>
          <w:rFonts w:ascii="Arial" w:hAnsi="Arial" w:cs="Arial"/>
          <w:lang w:val="mk-MK"/>
        </w:rPr>
        <w:t>employees</w:t>
      </w:r>
      <w:proofErr w:type="spellEnd"/>
      <w:r w:rsidRPr="0068059B">
        <w:rPr>
          <w:rFonts w:ascii="Arial" w:hAnsi="Arial" w:cs="Arial"/>
          <w:lang w:val="mk-MK"/>
        </w:rPr>
        <w:t xml:space="preserve"> a </w:t>
      </w:r>
      <w:proofErr w:type="spellStart"/>
      <w:r w:rsidRPr="0068059B">
        <w:rPr>
          <w:rFonts w:ascii="Arial" w:hAnsi="Arial" w:cs="Arial"/>
          <w:lang w:val="mk-MK"/>
        </w:rPr>
        <w:t>separate</w:t>
      </w:r>
      <w:proofErr w:type="spellEnd"/>
      <w:r w:rsidRPr="0068059B">
        <w:rPr>
          <w:rFonts w:ascii="Arial" w:hAnsi="Arial" w:cs="Arial"/>
          <w:lang w:val="mk-MK"/>
        </w:rPr>
        <w:t xml:space="preserve"> </w:t>
      </w:r>
      <w:proofErr w:type="spellStart"/>
      <w:r w:rsidRPr="0068059B">
        <w:rPr>
          <w:rFonts w:ascii="Arial" w:hAnsi="Arial" w:cs="Arial"/>
          <w:lang w:val="mk-MK"/>
        </w:rPr>
        <w:t>minimum</w:t>
      </w:r>
      <w:proofErr w:type="spellEnd"/>
      <w:r w:rsidRPr="0068059B">
        <w:rPr>
          <w:rFonts w:ascii="Arial" w:hAnsi="Arial" w:cs="Arial"/>
          <w:lang w:val="mk-MK"/>
        </w:rPr>
        <w:t xml:space="preserve"> </w:t>
      </w:r>
      <w:proofErr w:type="spellStart"/>
      <w:r w:rsidRPr="0068059B">
        <w:rPr>
          <w:rFonts w:ascii="Arial" w:hAnsi="Arial" w:cs="Arial"/>
          <w:lang w:val="mk-MK"/>
        </w:rPr>
        <w:t>amount</w:t>
      </w:r>
      <w:proofErr w:type="spellEnd"/>
      <w:r w:rsidRPr="0068059B">
        <w:rPr>
          <w:rFonts w:ascii="Arial" w:hAnsi="Arial" w:cs="Arial"/>
          <w:lang w:val="mk-MK"/>
        </w:rPr>
        <w:t xml:space="preserve"> </w:t>
      </w:r>
      <w:proofErr w:type="spellStart"/>
      <w:r w:rsidRPr="0068059B">
        <w:rPr>
          <w:rFonts w:ascii="Arial" w:hAnsi="Arial" w:cs="Arial"/>
          <w:lang w:val="mk-MK"/>
        </w:rPr>
        <w:t>on</w:t>
      </w:r>
      <w:proofErr w:type="spellEnd"/>
      <w:r w:rsidRPr="0068059B">
        <w:rPr>
          <w:rFonts w:ascii="Arial" w:hAnsi="Arial" w:cs="Arial"/>
          <w:lang w:val="mk-MK"/>
        </w:rPr>
        <w:t xml:space="preserve"> </w:t>
      </w:r>
      <w:proofErr w:type="spellStart"/>
      <w:r w:rsidRPr="0068059B">
        <w:rPr>
          <w:rFonts w:ascii="Arial" w:hAnsi="Arial" w:cs="Arial"/>
          <w:lang w:val="mk-MK"/>
        </w:rPr>
        <w:t>retirement</w:t>
      </w:r>
      <w:proofErr w:type="spellEnd"/>
      <w:r w:rsidRPr="0068059B">
        <w:rPr>
          <w:rFonts w:ascii="Arial" w:hAnsi="Arial" w:cs="Arial"/>
          <w:lang w:val="mk-MK"/>
        </w:rPr>
        <w:t xml:space="preserve"> </w:t>
      </w:r>
      <w:proofErr w:type="spellStart"/>
      <w:r w:rsidRPr="0068059B">
        <w:rPr>
          <w:rFonts w:ascii="Arial" w:hAnsi="Arial" w:cs="Arial"/>
          <w:lang w:val="mk-MK"/>
        </w:rPr>
        <w:t>as</w:t>
      </w:r>
      <w:proofErr w:type="spellEnd"/>
      <w:r w:rsidRPr="0068059B">
        <w:rPr>
          <w:rFonts w:ascii="Arial" w:hAnsi="Arial" w:cs="Arial"/>
          <w:lang w:val="mk-MK"/>
        </w:rPr>
        <w:t xml:space="preserve"> </w:t>
      </w:r>
      <w:proofErr w:type="spellStart"/>
      <w:r w:rsidRPr="0068059B">
        <w:rPr>
          <w:rFonts w:ascii="Arial" w:hAnsi="Arial" w:cs="Arial"/>
          <w:lang w:val="mk-MK"/>
        </w:rPr>
        <w:t>defined</w:t>
      </w:r>
      <w:proofErr w:type="spellEnd"/>
      <w:r w:rsidRPr="0068059B">
        <w:rPr>
          <w:rFonts w:ascii="Arial" w:hAnsi="Arial" w:cs="Arial"/>
          <w:lang w:val="mk-MK"/>
        </w:rPr>
        <w:t xml:space="preserve"> </w:t>
      </w:r>
      <w:proofErr w:type="spellStart"/>
      <w:r w:rsidRPr="0068059B">
        <w:rPr>
          <w:rFonts w:ascii="Arial" w:hAnsi="Arial" w:cs="Arial"/>
          <w:lang w:val="mk-MK"/>
        </w:rPr>
        <w:t>by</w:t>
      </w:r>
      <w:proofErr w:type="spellEnd"/>
      <w:r w:rsidRPr="0068059B">
        <w:rPr>
          <w:rFonts w:ascii="Arial" w:hAnsi="Arial" w:cs="Arial"/>
          <w:lang w:val="mk-MK"/>
        </w:rPr>
        <w:t xml:space="preserve"> </w:t>
      </w:r>
      <w:proofErr w:type="spellStart"/>
      <w:r w:rsidRPr="0068059B">
        <w:rPr>
          <w:rFonts w:ascii="Arial" w:hAnsi="Arial" w:cs="Arial"/>
          <w:lang w:val="mk-MK"/>
        </w:rPr>
        <w:t>the</w:t>
      </w:r>
      <w:proofErr w:type="spellEnd"/>
      <w:r w:rsidRPr="0068059B">
        <w:rPr>
          <w:rFonts w:ascii="Arial" w:hAnsi="Arial" w:cs="Arial"/>
          <w:lang w:val="mk-MK"/>
        </w:rPr>
        <w:t xml:space="preserve"> </w:t>
      </w:r>
      <w:proofErr w:type="spellStart"/>
      <w:r w:rsidRPr="0068059B">
        <w:rPr>
          <w:rFonts w:ascii="Arial" w:hAnsi="Arial" w:cs="Arial"/>
          <w:lang w:val="mk-MK"/>
        </w:rPr>
        <w:t>legislative</w:t>
      </w:r>
      <w:proofErr w:type="spellEnd"/>
      <w:r w:rsidRPr="0068059B">
        <w:rPr>
          <w:rFonts w:ascii="Arial" w:hAnsi="Arial" w:cs="Arial"/>
          <w:lang w:val="mk-MK"/>
        </w:rPr>
        <w:t xml:space="preserve">. </w:t>
      </w:r>
      <w:proofErr w:type="spellStart"/>
      <w:r w:rsidRPr="0068059B">
        <w:rPr>
          <w:rFonts w:ascii="Arial" w:hAnsi="Arial" w:cs="Arial"/>
          <w:lang w:val="mk-MK"/>
        </w:rPr>
        <w:t>The</w:t>
      </w:r>
      <w:proofErr w:type="spellEnd"/>
      <w:r w:rsidRPr="0068059B">
        <w:rPr>
          <w:rFonts w:ascii="Arial" w:hAnsi="Arial" w:cs="Arial"/>
          <w:lang w:val="mk-MK"/>
        </w:rPr>
        <w:t xml:space="preserve"> </w:t>
      </w:r>
      <w:proofErr w:type="spellStart"/>
      <w:r w:rsidRPr="0068059B">
        <w:rPr>
          <w:rFonts w:ascii="Arial" w:hAnsi="Arial" w:cs="Arial"/>
          <w:lang w:val="mk-MK"/>
        </w:rPr>
        <w:t>Fund</w:t>
      </w:r>
      <w:proofErr w:type="spellEnd"/>
      <w:r w:rsidRPr="0068059B">
        <w:rPr>
          <w:rFonts w:ascii="Arial" w:hAnsi="Arial" w:cs="Arial"/>
          <w:lang w:val="mk-MK"/>
        </w:rPr>
        <w:t xml:space="preserve"> </w:t>
      </w:r>
      <w:proofErr w:type="spellStart"/>
      <w:r w:rsidRPr="0068059B">
        <w:rPr>
          <w:rFonts w:ascii="Arial" w:hAnsi="Arial" w:cs="Arial"/>
          <w:lang w:val="mk-MK"/>
        </w:rPr>
        <w:t>has</w:t>
      </w:r>
      <w:proofErr w:type="spellEnd"/>
      <w:r w:rsidRPr="0068059B">
        <w:rPr>
          <w:rFonts w:ascii="Arial" w:hAnsi="Arial" w:cs="Arial"/>
          <w:lang w:val="mk-MK"/>
        </w:rPr>
        <w:t xml:space="preserve"> </w:t>
      </w:r>
      <w:proofErr w:type="spellStart"/>
      <w:r w:rsidRPr="0068059B">
        <w:rPr>
          <w:rFonts w:ascii="Arial" w:hAnsi="Arial" w:cs="Arial"/>
          <w:lang w:val="mk-MK"/>
        </w:rPr>
        <w:t>not</w:t>
      </w:r>
      <w:proofErr w:type="spellEnd"/>
      <w:r w:rsidRPr="0068059B">
        <w:rPr>
          <w:rFonts w:ascii="Arial" w:hAnsi="Arial" w:cs="Arial"/>
          <w:lang w:val="mk-MK"/>
        </w:rPr>
        <w:t xml:space="preserve"> </w:t>
      </w:r>
      <w:proofErr w:type="spellStart"/>
      <w:r w:rsidRPr="0068059B">
        <w:rPr>
          <w:rFonts w:ascii="Arial" w:hAnsi="Arial" w:cs="Arial"/>
          <w:lang w:val="mk-MK"/>
        </w:rPr>
        <w:t>made</w:t>
      </w:r>
      <w:proofErr w:type="spellEnd"/>
      <w:r w:rsidRPr="0068059B">
        <w:rPr>
          <w:rFonts w:ascii="Arial" w:hAnsi="Arial" w:cs="Arial"/>
          <w:lang w:val="mk-MK"/>
        </w:rPr>
        <w:t xml:space="preserve"> </w:t>
      </w:r>
      <w:proofErr w:type="spellStart"/>
      <w:r w:rsidRPr="0068059B">
        <w:rPr>
          <w:rFonts w:ascii="Arial" w:hAnsi="Arial" w:cs="Arial"/>
          <w:lang w:val="mk-MK"/>
        </w:rPr>
        <w:t>reservations</w:t>
      </w:r>
      <w:proofErr w:type="spellEnd"/>
      <w:r w:rsidRPr="0068059B">
        <w:rPr>
          <w:rFonts w:ascii="Arial" w:hAnsi="Arial" w:cs="Arial"/>
          <w:lang w:val="mk-MK"/>
        </w:rPr>
        <w:t xml:space="preserve"> </w:t>
      </w:r>
      <w:proofErr w:type="spellStart"/>
      <w:r w:rsidRPr="0068059B">
        <w:rPr>
          <w:rFonts w:ascii="Arial" w:hAnsi="Arial" w:cs="Arial"/>
          <w:lang w:val="mk-MK"/>
        </w:rPr>
        <w:t>for</w:t>
      </w:r>
      <w:proofErr w:type="spellEnd"/>
      <w:r w:rsidRPr="0068059B">
        <w:rPr>
          <w:rFonts w:ascii="Arial" w:hAnsi="Arial" w:cs="Arial"/>
          <w:lang w:val="mk-MK"/>
        </w:rPr>
        <w:t xml:space="preserve"> a </w:t>
      </w:r>
      <w:proofErr w:type="spellStart"/>
      <w:r w:rsidRPr="0068059B">
        <w:rPr>
          <w:rFonts w:ascii="Arial" w:hAnsi="Arial" w:cs="Arial"/>
          <w:lang w:val="mk-MK"/>
        </w:rPr>
        <w:t>calculated</w:t>
      </w:r>
      <w:proofErr w:type="spellEnd"/>
      <w:r w:rsidRPr="0068059B">
        <w:rPr>
          <w:rFonts w:ascii="Arial" w:hAnsi="Arial" w:cs="Arial"/>
          <w:lang w:val="mk-MK"/>
        </w:rPr>
        <w:t xml:space="preserve"> a </w:t>
      </w:r>
      <w:proofErr w:type="spellStart"/>
      <w:r w:rsidRPr="0068059B">
        <w:rPr>
          <w:rFonts w:ascii="Arial" w:hAnsi="Arial" w:cs="Arial"/>
          <w:lang w:val="mk-MK"/>
        </w:rPr>
        <w:t>minimal</w:t>
      </w:r>
      <w:proofErr w:type="spellEnd"/>
      <w:r w:rsidRPr="0068059B">
        <w:rPr>
          <w:rFonts w:ascii="Arial" w:hAnsi="Arial" w:cs="Arial"/>
          <w:lang w:val="mk-MK"/>
        </w:rPr>
        <w:t xml:space="preserve"> </w:t>
      </w:r>
      <w:proofErr w:type="spellStart"/>
      <w:r w:rsidRPr="0068059B">
        <w:rPr>
          <w:rFonts w:ascii="Arial" w:hAnsi="Arial" w:cs="Arial"/>
          <w:lang w:val="mk-MK"/>
        </w:rPr>
        <w:t>amount</w:t>
      </w:r>
      <w:proofErr w:type="spellEnd"/>
      <w:r w:rsidRPr="0068059B">
        <w:rPr>
          <w:rFonts w:ascii="Arial" w:hAnsi="Arial" w:cs="Arial"/>
          <w:lang w:val="mk-MK"/>
        </w:rPr>
        <w:t xml:space="preserve"> </w:t>
      </w:r>
      <w:proofErr w:type="spellStart"/>
      <w:r w:rsidRPr="0068059B">
        <w:rPr>
          <w:rFonts w:ascii="Arial" w:hAnsi="Arial" w:cs="Arial"/>
          <w:lang w:val="mk-MK"/>
        </w:rPr>
        <w:t>for</w:t>
      </w:r>
      <w:proofErr w:type="spellEnd"/>
      <w:r w:rsidRPr="0068059B">
        <w:rPr>
          <w:rFonts w:ascii="Arial" w:hAnsi="Arial" w:cs="Arial"/>
          <w:lang w:val="mk-MK"/>
        </w:rPr>
        <w:t xml:space="preserve"> </w:t>
      </w:r>
      <w:proofErr w:type="spellStart"/>
      <w:r w:rsidRPr="0068059B">
        <w:rPr>
          <w:rFonts w:ascii="Arial" w:hAnsi="Arial" w:cs="Arial"/>
          <w:lang w:val="mk-MK"/>
        </w:rPr>
        <w:t>employee</w:t>
      </w:r>
      <w:proofErr w:type="spellEnd"/>
      <w:r w:rsidRPr="0068059B">
        <w:rPr>
          <w:rFonts w:ascii="Arial" w:hAnsi="Arial" w:cs="Arial"/>
          <w:lang w:val="mk-MK"/>
        </w:rPr>
        <w:t xml:space="preserve"> </w:t>
      </w:r>
      <w:proofErr w:type="spellStart"/>
      <w:r w:rsidRPr="0068059B">
        <w:rPr>
          <w:rFonts w:ascii="Arial" w:hAnsi="Arial" w:cs="Arial"/>
          <w:lang w:val="mk-MK"/>
        </w:rPr>
        <w:t>pensions</w:t>
      </w:r>
      <w:proofErr w:type="spellEnd"/>
      <w:r w:rsidRPr="0068059B">
        <w:rPr>
          <w:rFonts w:ascii="Arial" w:hAnsi="Arial" w:cs="Arial"/>
          <w:lang w:val="mk-MK"/>
        </w:rPr>
        <w:t xml:space="preserve">, </w:t>
      </w:r>
      <w:proofErr w:type="spellStart"/>
      <w:r w:rsidRPr="0068059B">
        <w:rPr>
          <w:rFonts w:ascii="Arial" w:hAnsi="Arial" w:cs="Arial"/>
          <w:lang w:val="mk-MK"/>
        </w:rPr>
        <w:t>because</w:t>
      </w:r>
      <w:proofErr w:type="spellEnd"/>
      <w:r w:rsidRPr="0068059B">
        <w:rPr>
          <w:rFonts w:ascii="Arial" w:hAnsi="Arial" w:cs="Arial"/>
          <w:lang w:val="mk-MK"/>
        </w:rPr>
        <w:t xml:space="preserve"> </w:t>
      </w:r>
      <w:proofErr w:type="spellStart"/>
      <w:r w:rsidRPr="0068059B">
        <w:rPr>
          <w:rFonts w:ascii="Arial" w:hAnsi="Arial" w:cs="Arial"/>
          <w:lang w:val="mk-MK"/>
        </w:rPr>
        <w:t>this</w:t>
      </w:r>
      <w:proofErr w:type="spellEnd"/>
      <w:r w:rsidRPr="0068059B">
        <w:rPr>
          <w:rFonts w:ascii="Arial" w:hAnsi="Arial" w:cs="Arial"/>
          <w:lang w:val="mk-MK"/>
        </w:rPr>
        <w:t xml:space="preserve"> </w:t>
      </w:r>
      <w:proofErr w:type="spellStart"/>
      <w:r w:rsidRPr="0068059B">
        <w:rPr>
          <w:rFonts w:ascii="Arial" w:hAnsi="Arial" w:cs="Arial"/>
          <w:lang w:val="mk-MK"/>
        </w:rPr>
        <w:t>amount</w:t>
      </w:r>
      <w:proofErr w:type="spellEnd"/>
      <w:r w:rsidRPr="0068059B">
        <w:rPr>
          <w:rFonts w:ascii="Arial" w:hAnsi="Arial" w:cs="Arial"/>
          <w:lang w:val="mk-MK"/>
        </w:rPr>
        <w:t xml:space="preserve"> </w:t>
      </w:r>
      <w:proofErr w:type="spellStart"/>
      <w:r w:rsidRPr="0068059B">
        <w:rPr>
          <w:rFonts w:ascii="Arial" w:hAnsi="Arial" w:cs="Arial"/>
          <w:lang w:val="mk-MK"/>
        </w:rPr>
        <w:t>has</w:t>
      </w:r>
      <w:proofErr w:type="spellEnd"/>
      <w:r w:rsidRPr="0068059B">
        <w:rPr>
          <w:rFonts w:ascii="Arial" w:hAnsi="Arial" w:cs="Arial"/>
          <w:lang w:val="mk-MK"/>
        </w:rPr>
        <w:t xml:space="preserve"> </w:t>
      </w:r>
      <w:proofErr w:type="spellStart"/>
      <w:r w:rsidRPr="0068059B">
        <w:rPr>
          <w:rFonts w:ascii="Arial" w:hAnsi="Arial" w:cs="Arial"/>
          <w:lang w:val="mk-MK"/>
        </w:rPr>
        <w:t>no</w:t>
      </w:r>
      <w:proofErr w:type="spellEnd"/>
      <w:r w:rsidRPr="0068059B">
        <w:rPr>
          <w:rFonts w:ascii="Arial" w:hAnsi="Arial" w:cs="Arial"/>
          <w:lang w:val="mk-MK"/>
        </w:rPr>
        <w:t xml:space="preserve"> </w:t>
      </w:r>
      <w:proofErr w:type="spellStart"/>
      <w:r w:rsidRPr="0068059B">
        <w:rPr>
          <w:rFonts w:ascii="Arial" w:hAnsi="Arial" w:cs="Arial"/>
          <w:lang w:val="mk-MK"/>
        </w:rPr>
        <w:t>material</w:t>
      </w:r>
      <w:proofErr w:type="spellEnd"/>
      <w:r w:rsidRPr="0068059B">
        <w:rPr>
          <w:rFonts w:ascii="Arial" w:hAnsi="Arial" w:cs="Arial"/>
          <w:lang w:val="mk-MK"/>
        </w:rPr>
        <w:t xml:space="preserve"> </w:t>
      </w:r>
      <w:proofErr w:type="spellStart"/>
      <w:r w:rsidRPr="0068059B">
        <w:rPr>
          <w:rFonts w:ascii="Arial" w:hAnsi="Arial" w:cs="Arial"/>
          <w:lang w:val="mk-MK"/>
        </w:rPr>
        <w:t>effect</w:t>
      </w:r>
      <w:proofErr w:type="spellEnd"/>
      <w:r w:rsidRPr="0068059B">
        <w:rPr>
          <w:rFonts w:ascii="Arial" w:hAnsi="Arial" w:cs="Arial"/>
          <w:lang w:val="mk-MK"/>
        </w:rPr>
        <w:t xml:space="preserve"> </w:t>
      </w:r>
      <w:proofErr w:type="spellStart"/>
      <w:r w:rsidRPr="0068059B">
        <w:rPr>
          <w:rFonts w:ascii="Arial" w:hAnsi="Arial" w:cs="Arial"/>
          <w:lang w:val="mk-MK"/>
        </w:rPr>
        <w:t>on</w:t>
      </w:r>
      <w:proofErr w:type="spellEnd"/>
      <w:r w:rsidRPr="0068059B">
        <w:rPr>
          <w:rFonts w:ascii="Arial" w:hAnsi="Arial" w:cs="Arial"/>
          <w:lang w:val="mk-MK"/>
        </w:rPr>
        <w:t xml:space="preserve"> </w:t>
      </w:r>
      <w:proofErr w:type="spellStart"/>
      <w:r w:rsidRPr="0068059B">
        <w:rPr>
          <w:rFonts w:ascii="Arial" w:hAnsi="Arial" w:cs="Arial"/>
          <w:lang w:val="mk-MK"/>
        </w:rPr>
        <w:t>the</w:t>
      </w:r>
      <w:proofErr w:type="spellEnd"/>
      <w:r w:rsidRPr="0068059B">
        <w:rPr>
          <w:rFonts w:ascii="Arial" w:hAnsi="Arial" w:cs="Arial"/>
          <w:lang w:val="mk-MK"/>
        </w:rPr>
        <w:t xml:space="preserve"> </w:t>
      </w:r>
      <w:proofErr w:type="spellStart"/>
      <w:r w:rsidRPr="0068059B">
        <w:rPr>
          <w:rFonts w:ascii="Arial" w:hAnsi="Arial" w:cs="Arial"/>
          <w:lang w:val="mk-MK"/>
        </w:rPr>
        <w:t>financial</w:t>
      </w:r>
      <w:proofErr w:type="spellEnd"/>
      <w:r w:rsidRPr="0068059B">
        <w:rPr>
          <w:rFonts w:ascii="Arial" w:hAnsi="Arial" w:cs="Arial"/>
          <w:lang w:val="mk-MK"/>
        </w:rPr>
        <w:t xml:space="preserve"> </w:t>
      </w:r>
      <w:proofErr w:type="spellStart"/>
      <w:r w:rsidRPr="0068059B">
        <w:rPr>
          <w:rFonts w:ascii="Arial" w:hAnsi="Arial" w:cs="Arial"/>
          <w:lang w:val="mk-MK"/>
        </w:rPr>
        <w:t>statements</w:t>
      </w:r>
      <w:proofErr w:type="spellEnd"/>
      <w:r w:rsidR="00815E65" w:rsidRPr="001E6526">
        <w:rPr>
          <w:rFonts w:ascii="Arial" w:hAnsi="Arial" w:cs="Arial"/>
          <w:lang w:val="mk-MK"/>
        </w:rPr>
        <w:t>.</w:t>
      </w:r>
      <w:r w:rsidR="00B4561F" w:rsidRPr="00B4561F">
        <w:t xml:space="preserve"> </w:t>
      </w:r>
    </w:p>
    <w:p w14:paraId="77FD1D09" w14:textId="2B41C754" w:rsidR="00815E65" w:rsidRPr="001E6526" w:rsidRDefault="00B4561F" w:rsidP="00815E65">
      <w:pPr>
        <w:autoSpaceDE w:val="0"/>
        <w:autoSpaceDN w:val="0"/>
        <w:adjustRightInd w:val="0"/>
        <w:spacing w:after="284" w:line="280" w:lineRule="atLeast"/>
        <w:jc w:val="both"/>
        <w:rPr>
          <w:rFonts w:ascii="Arial" w:hAnsi="Arial" w:cs="Arial"/>
          <w:lang w:val="mk-MK"/>
        </w:rPr>
      </w:pPr>
      <w:proofErr w:type="spellStart"/>
      <w:r w:rsidRPr="00B4561F">
        <w:rPr>
          <w:rFonts w:ascii="Arial" w:hAnsi="Arial" w:cs="Arial"/>
          <w:lang w:val="mk-MK"/>
        </w:rPr>
        <w:t>The</w:t>
      </w:r>
      <w:proofErr w:type="spellEnd"/>
      <w:r w:rsidRPr="00B4561F">
        <w:rPr>
          <w:rFonts w:ascii="Arial" w:hAnsi="Arial" w:cs="Arial"/>
          <w:lang w:val="mk-MK"/>
        </w:rPr>
        <w:t xml:space="preserve"> </w:t>
      </w:r>
      <w:proofErr w:type="spellStart"/>
      <w:r w:rsidRPr="00B4561F">
        <w:rPr>
          <w:rFonts w:ascii="Arial" w:hAnsi="Arial" w:cs="Arial"/>
          <w:lang w:val="mk-MK"/>
        </w:rPr>
        <w:t>Fund</w:t>
      </w:r>
      <w:proofErr w:type="spellEnd"/>
      <w:r w:rsidRPr="00B4561F">
        <w:rPr>
          <w:rFonts w:ascii="Arial" w:hAnsi="Arial" w:cs="Arial"/>
          <w:lang w:val="mk-MK"/>
        </w:rPr>
        <w:t xml:space="preserve"> </w:t>
      </w:r>
      <w:proofErr w:type="spellStart"/>
      <w:r w:rsidRPr="00B4561F">
        <w:rPr>
          <w:rFonts w:ascii="Arial" w:hAnsi="Arial" w:cs="Arial"/>
          <w:lang w:val="mk-MK"/>
        </w:rPr>
        <w:t>does</w:t>
      </w:r>
      <w:proofErr w:type="spellEnd"/>
      <w:r w:rsidRPr="00B4561F">
        <w:rPr>
          <w:rFonts w:ascii="Arial" w:hAnsi="Arial" w:cs="Arial"/>
          <w:lang w:val="mk-MK"/>
        </w:rPr>
        <w:t xml:space="preserve"> </w:t>
      </w:r>
      <w:proofErr w:type="spellStart"/>
      <w:r w:rsidRPr="00B4561F">
        <w:rPr>
          <w:rFonts w:ascii="Arial" w:hAnsi="Arial" w:cs="Arial"/>
          <w:lang w:val="mk-MK"/>
        </w:rPr>
        <w:t>not</w:t>
      </w:r>
      <w:proofErr w:type="spellEnd"/>
      <w:r w:rsidRPr="00B4561F">
        <w:rPr>
          <w:rFonts w:ascii="Arial" w:hAnsi="Arial" w:cs="Arial"/>
          <w:lang w:val="mk-MK"/>
        </w:rPr>
        <w:t xml:space="preserve"> </w:t>
      </w:r>
      <w:proofErr w:type="spellStart"/>
      <w:r w:rsidRPr="00B4561F">
        <w:rPr>
          <w:rFonts w:ascii="Arial" w:hAnsi="Arial" w:cs="Arial"/>
          <w:lang w:val="mk-MK"/>
        </w:rPr>
        <w:t>operate</w:t>
      </w:r>
      <w:proofErr w:type="spellEnd"/>
      <w:r w:rsidRPr="00B4561F">
        <w:rPr>
          <w:rFonts w:ascii="Arial" w:hAnsi="Arial" w:cs="Arial"/>
          <w:lang w:val="mk-MK"/>
        </w:rPr>
        <w:t xml:space="preserve"> </w:t>
      </w:r>
      <w:proofErr w:type="spellStart"/>
      <w:r w:rsidRPr="00B4561F">
        <w:rPr>
          <w:rFonts w:ascii="Arial" w:hAnsi="Arial" w:cs="Arial"/>
          <w:lang w:val="mk-MK"/>
        </w:rPr>
        <w:t>with</w:t>
      </w:r>
      <w:proofErr w:type="spellEnd"/>
      <w:r w:rsidRPr="00B4561F">
        <w:rPr>
          <w:rFonts w:ascii="Arial" w:hAnsi="Arial" w:cs="Arial"/>
          <w:lang w:val="mk-MK"/>
        </w:rPr>
        <w:t xml:space="preserve"> </w:t>
      </w:r>
      <w:proofErr w:type="spellStart"/>
      <w:r w:rsidRPr="00B4561F">
        <w:rPr>
          <w:rFonts w:ascii="Arial" w:hAnsi="Arial" w:cs="Arial"/>
          <w:lang w:val="mk-MK"/>
        </w:rPr>
        <w:t>pension</w:t>
      </w:r>
      <w:proofErr w:type="spellEnd"/>
      <w:r w:rsidRPr="00B4561F">
        <w:rPr>
          <w:rFonts w:ascii="Arial" w:hAnsi="Arial" w:cs="Arial"/>
          <w:lang w:val="mk-MK"/>
        </w:rPr>
        <w:t xml:space="preserve"> </w:t>
      </w:r>
      <w:proofErr w:type="spellStart"/>
      <w:r w:rsidRPr="00B4561F">
        <w:rPr>
          <w:rFonts w:ascii="Arial" w:hAnsi="Arial" w:cs="Arial"/>
          <w:lang w:val="mk-MK"/>
        </w:rPr>
        <w:t>benefits</w:t>
      </w:r>
      <w:proofErr w:type="spellEnd"/>
      <w:r w:rsidRPr="00B4561F">
        <w:rPr>
          <w:rFonts w:ascii="Arial" w:hAnsi="Arial" w:cs="Arial"/>
          <w:lang w:val="mk-MK"/>
        </w:rPr>
        <w:t xml:space="preserve"> </w:t>
      </w:r>
      <w:proofErr w:type="spellStart"/>
      <w:r w:rsidRPr="00B4561F">
        <w:rPr>
          <w:rFonts w:ascii="Arial" w:hAnsi="Arial" w:cs="Arial"/>
          <w:lang w:val="mk-MK"/>
        </w:rPr>
        <w:t>or</w:t>
      </w:r>
      <w:proofErr w:type="spellEnd"/>
      <w:r w:rsidRPr="00B4561F">
        <w:rPr>
          <w:rFonts w:ascii="Arial" w:hAnsi="Arial" w:cs="Arial"/>
          <w:lang w:val="mk-MK"/>
        </w:rPr>
        <w:t xml:space="preserve"> </w:t>
      </w:r>
      <w:proofErr w:type="spellStart"/>
      <w:r w:rsidRPr="00B4561F">
        <w:rPr>
          <w:rFonts w:ascii="Arial" w:hAnsi="Arial" w:cs="Arial"/>
          <w:lang w:val="mk-MK"/>
        </w:rPr>
        <w:t>contributions</w:t>
      </w:r>
      <w:proofErr w:type="spellEnd"/>
      <w:r w:rsidRPr="00B4561F">
        <w:rPr>
          <w:rFonts w:ascii="Arial" w:hAnsi="Arial" w:cs="Arial"/>
          <w:lang w:val="mk-MK"/>
        </w:rPr>
        <w:t xml:space="preserve"> </w:t>
      </w:r>
      <w:proofErr w:type="spellStart"/>
      <w:r w:rsidRPr="00B4561F">
        <w:rPr>
          <w:rFonts w:ascii="Arial" w:hAnsi="Arial" w:cs="Arial"/>
          <w:lang w:val="mk-MK"/>
        </w:rPr>
        <w:t>plans</w:t>
      </w:r>
      <w:proofErr w:type="spellEnd"/>
      <w:r w:rsidRPr="00B4561F">
        <w:rPr>
          <w:rFonts w:ascii="Arial" w:hAnsi="Arial" w:cs="Arial"/>
          <w:lang w:val="mk-MK"/>
        </w:rPr>
        <w:t xml:space="preserve">, </w:t>
      </w:r>
      <w:proofErr w:type="spellStart"/>
      <w:r w:rsidRPr="00B4561F">
        <w:rPr>
          <w:rFonts w:ascii="Arial" w:hAnsi="Arial" w:cs="Arial"/>
          <w:lang w:val="mk-MK"/>
        </w:rPr>
        <w:t>thus</w:t>
      </w:r>
      <w:proofErr w:type="spellEnd"/>
      <w:r w:rsidRPr="00B4561F">
        <w:rPr>
          <w:rFonts w:ascii="Arial" w:hAnsi="Arial" w:cs="Arial"/>
          <w:lang w:val="mk-MK"/>
        </w:rPr>
        <w:t xml:space="preserve"> </w:t>
      </w:r>
      <w:proofErr w:type="spellStart"/>
      <w:r w:rsidRPr="00B4561F">
        <w:rPr>
          <w:rFonts w:ascii="Arial" w:hAnsi="Arial" w:cs="Arial"/>
          <w:lang w:val="mk-MK"/>
        </w:rPr>
        <w:t>does</w:t>
      </w:r>
      <w:proofErr w:type="spellEnd"/>
      <w:r w:rsidRPr="00B4561F">
        <w:rPr>
          <w:rFonts w:ascii="Arial" w:hAnsi="Arial" w:cs="Arial"/>
          <w:lang w:val="mk-MK"/>
        </w:rPr>
        <w:t xml:space="preserve"> </w:t>
      </w:r>
      <w:proofErr w:type="spellStart"/>
      <w:r w:rsidRPr="00B4561F">
        <w:rPr>
          <w:rFonts w:ascii="Arial" w:hAnsi="Arial" w:cs="Arial"/>
          <w:lang w:val="mk-MK"/>
        </w:rPr>
        <w:t>not</w:t>
      </w:r>
      <w:proofErr w:type="spellEnd"/>
      <w:r w:rsidRPr="00B4561F">
        <w:rPr>
          <w:rFonts w:ascii="Arial" w:hAnsi="Arial" w:cs="Arial"/>
          <w:lang w:val="mk-MK"/>
        </w:rPr>
        <w:t xml:space="preserve"> </w:t>
      </w:r>
      <w:proofErr w:type="spellStart"/>
      <w:r w:rsidRPr="00B4561F">
        <w:rPr>
          <w:rFonts w:ascii="Arial" w:hAnsi="Arial" w:cs="Arial"/>
          <w:lang w:val="mk-MK"/>
        </w:rPr>
        <w:t>have</w:t>
      </w:r>
      <w:proofErr w:type="spellEnd"/>
      <w:r w:rsidRPr="00B4561F">
        <w:rPr>
          <w:rFonts w:ascii="Arial" w:hAnsi="Arial" w:cs="Arial"/>
          <w:lang w:val="mk-MK"/>
        </w:rPr>
        <w:t xml:space="preserve"> </w:t>
      </w:r>
      <w:proofErr w:type="spellStart"/>
      <w:r w:rsidRPr="00B4561F">
        <w:rPr>
          <w:rFonts w:ascii="Arial" w:hAnsi="Arial" w:cs="Arial"/>
          <w:lang w:val="mk-MK"/>
        </w:rPr>
        <w:t>additional</w:t>
      </w:r>
      <w:proofErr w:type="spellEnd"/>
      <w:r w:rsidRPr="00B4561F">
        <w:rPr>
          <w:rFonts w:ascii="Arial" w:hAnsi="Arial" w:cs="Arial"/>
          <w:lang w:val="mk-MK"/>
        </w:rPr>
        <w:t xml:space="preserve"> </w:t>
      </w:r>
      <w:proofErr w:type="spellStart"/>
      <w:r w:rsidRPr="00B4561F">
        <w:rPr>
          <w:rFonts w:ascii="Arial" w:hAnsi="Arial" w:cs="Arial"/>
          <w:lang w:val="mk-MK"/>
        </w:rPr>
        <w:t>liabilities</w:t>
      </w:r>
      <w:proofErr w:type="spellEnd"/>
      <w:r w:rsidRPr="00B4561F">
        <w:rPr>
          <w:rFonts w:ascii="Arial" w:hAnsi="Arial" w:cs="Arial"/>
          <w:lang w:val="mk-MK"/>
        </w:rPr>
        <w:t xml:space="preserve"> </w:t>
      </w:r>
      <w:proofErr w:type="spellStart"/>
      <w:r w:rsidRPr="00B4561F">
        <w:rPr>
          <w:rFonts w:ascii="Arial" w:hAnsi="Arial" w:cs="Arial"/>
          <w:lang w:val="mk-MK"/>
        </w:rPr>
        <w:t>for</w:t>
      </w:r>
      <w:proofErr w:type="spellEnd"/>
      <w:r w:rsidRPr="00B4561F">
        <w:rPr>
          <w:rFonts w:ascii="Arial" w:hAnsi="Arial" w:cs="Arial"/>
          <w:lang w:val="mk-MK"/>
        </w:rPr>
        <w:t xml:space="preserve"> </w:t>
      </w:r>
      <w:proofErr w:type="spellStart"/>
      <w:r w:rsidRPr="00B4561F">
        <w:rPr>
          <w:rFonts w:ascii="Arial" w:hAnsi="Arial" w:cs="Arial"/>
          <w:lang w:val="mk-MK"/>
        </w:rPr>
        <w:t>pensions</w:t>
      </w:r>
      <w:proofErr w:type="spellEnd"/>
      <w:r w:rsidRPr="00B4561F">
        <w:rPr>
          <w:rFonts w:ascii="Arial" w:hAnsi="Arial" w:cs="Arial"/>
          <w:lang w:val="mk-MK"/>
        </w:rPr>
        <w:t xml:space="preserve">.  </w:t>
      </w:r>
      <w:proofErr w:type="spellStart"/>
      <w:r w:rsidRPr="00B4561F">
        <w:rPr>
          <w:rFonts w:ascii="Arial" w:hAnsi="Arial" w:cs="Arial"/>
          <w:lang w:val="mk-MK"/>
        </w:rPr>
        <w:t>The</w:t>
      </w:r>
      <w:proofErr w:type="spellEnd"/>
      <w:r w:rsidRPr="00B4561F">
        <w:rPr>
          <w:rFonts w:ascii="Arial" w:hAnsi="Arial" w:cs="Arial"/>
          <w:lang w:val="mk-MK"/>
        </w:rPr>
        <w:t xml:space="preserve"> </w:t>
      </w:r>
      <w:proofErr w:type="spellStart"/>
      <w:r w:rsidRPr="00B4561F">
        <w:rPr>
          <w:rFonts w:ascii="Arial" w:hAnsi="Arial" w:cs="Arial"/>
          <w:lang w:val="mk-MK"/>
        </w:rPr>
        <w:t>Fund</w:t>
      </w:r>
      <w:proofErr w:type="spellEnd"/>
      <w:r w:rsidRPr="00B4561F">
        <w:rPr>
          <w:rFonts w:ascii="Arial" w:hAnsi="Arial" w:cs="Arial"/>
          <w:lang w:val="mk-MK"/>
        </w:rPr>
        <w:t xml:space="preserve"> </w:t>
      </w:r>
      <w:proofErr w:type="spellStart"/>
      <w:r w:rsidRPr="00B4561F">
        <w:rPr>
          <w:rFonts w:ascii="Arial" w:hAnsi="Arial" w:cs="Arial"/>
          <w:lang w:val="mk-MK"/>
        </w:rPr>
        <w:t>does</w:t>
      </w:r>
      <w:proofErr w:type="spellEnd"/>
      <w:r w:rsidRPr="00B4561F">
        <w:rPr>
          <w:rFonts w:ascii="Arial" w:hAnsi="Arial" w:cs="Arial"/>
          <w:lang w:val="mk-MK"/>
        </w:rPr>
        <w:t xml:space="preserve"> </w:t>
      </w:r>
      <w:proofErr w:type="spellStart"/>
      <w:r w:rsidRPr="00B4561F">
        <w:rPr>
          <w:rFonts w:ascii="Arial" w:hAnsi="Arial" w:cs="Arial"/>
          <w:lang w:val="mk-MK"/>
        </w:rPr>
        <w:t>not</w:t>
      </w:r>
      <w:proofErr w:type="spellEnd"/>
      <w:r w:rsidRPr="00B4561F">
        <w:rPr>
          <w:rFonts w:ascii="Arial" w:hAnsi="Arial" w:cs="Arial"/>
          <w:lang w:val="mk-MK"/>
        </w:rPr>
        <w:t xml:space="preserve"> </w:t>
      </w:r>
      <w:proofErr w:type="spellStart"/>
      <w:r w:rsidRPr="00B4561F">
        <w:rPr>
          <w:rFonts w:ascii="Arial" w:hAnsi="Arial" w:cs="Arial"/>
          <w:lang w:val="mk-MK"/>
        </w:rPr>
        <w:t>have</w:t>
      </w:r>
      <w:proofErr w:type="spellEnd"/>
      <w:r w:rsidRPr="00B4561F">
        <w:rPr>
          <w:rFonts w:ascii="Arial" w:hAnsi="Arial" w:cs="Arial"/>
          <w:lang w:val="mk-MK"/>
        </w:rPr>
        <w:t xml:space="preserve"> </w:t>
      </w:r>
      <w:proofErr w:type="spellStart"/>
      <w:r w:rsidRPr="00B4561F">
        <w:rPr>
          <w:rFonts w:ascii="Arial" w:hAnsi="Arial" w:cs="Arial"/>
          <w:lang w:val="mk-MK"/>
        </w:rPr>
        <w:t>any</w:t>
      </w:r>
      <w:proofErr w:type="spellEnd"/>
      <w:r w:rsidRPr="00B4561F">
        <w:rPr>
          <w:rFonts w:ascii="Arial" w:hAnsi="Arial" w:cs="Arial"/>
          <w:lang w:val="mk-MK"/>
        </w:rPr>
        <w:t xml:space="preserve"> </w:t>
      </w:r>
      <w:proofErr w:type="spellStart"/>
      <w:r w:rsidRPr="00B4561F">
        <w:rPr>
          <w:rFonts w:ascii="Arial" w:hAnsi="Arial" w:cs="Arial"/>
          <w:lang w:val="mk-MK"/>
        </w:rPr>
        <w:t>liability</w:t>
      </w:r>
      <w:proofErr w:type="spellEnd"/>
      <w:r w:rsidRPr="00B4561F">
        <w:rPr>
          <w:rFonts w:ascii="Arial" w:hAnsi="Arial" w:cs="Arial"/>
          <w:lang w:val="mk-MK"/>
        </w:rPr>
        <w:t xml:space="preserve"> </w:t>
      </w:r>
      <w:proofErr w:type="spellStart"/>
      <w:r w:rsidRPr="00B4561F">
        <w:rPr>
          <w:rFonts w:ascii="Arial" w:hAnsi="Arial" w:cs="Arial"/>
          <w:lang w:val="mk-MK"/>
        </w:rPr>
        <w:t>to</w:t>
      </w:r>
      <w:proofErr w:type="spellEnd"/>
      <w:r w:rsidRPr="00B4561F">
        <w:rPr>
          <w:rFonts w:ascii="Arial" w:hAnsi="Arial" w:cs="Arial"/>
          <w:lang w:val="mk-MK"/>
        </w:rPr>
        <w:t xml:space="preserve"> </w:t>
      </w:r>
      <w:proofErr w:type="spellStart"/>
      <w:r w:rsidRPr="00B4561F">
        <w:rPr>
          <w:rFonts w:ascii="Arial" w:hAnsi="Arial" w:cs="Arial"/>
          <w:lang w:val="mk-MK"/>
        </w:rPr>
        <w:t>provide</w:t>
      </w:r>
      <w:proofErr w:type="spellEnd"/>
      <w:r w:rsidRPr="00B4561F">
        <w:rPr>
          <w:rFonts w:ascii="Arial" w:hAnsi="Arial" w:cs="Arial"/>
          <w:lang w:val="mk-MK"/>
        </w:rPr>
        <w:t xml:space="preserve"> </w:t>
      </w:r>
      <w:proofErr w:type="spellStart"/>
      <w:r w:rsidRPr="00B4561F">
        <w:rPr>
          <w:rFonts w:ascii="Arial" w:hAnsi="Arial" w:cs="Arial"/>
          <w:lang w:val="mk-MK"/>
        </w:rPr>
        <w:t>additional</w:t>
      </w:r>
      <w:proofErr w:type="spellEnd"/>
      <w:r w:rsidRPr="00B4561F">
        <w:rPr>
          <w:rFonts w:ascii="Arial" w:hAnsi="Arial" w:cs="Arial"/>
          <w:lang w:val="mk-MK"/>
        </w:rPr>
        <w:t xml:space="preserve"> </w:t>
      </w:r>
      <w:proofErr w:type="spellStart"/>
      <w:r w:rsidRPr="00B4561F">
        <w:rPr>
          <w:rFonts w:ascii="Arial" w:hAnsi="Arial" w:cs="Arial"/>
          <w:lang w:val="mk-MK"/>
        </w:rPr>
        <w:t>contributions</w:t>
      </w:r>
      <w:proofErr w:type="spellEnd"/>
      <w:r w:rsidRPr="00B4561F">
        <w:rPr>
          <w:rFonts w:ascii="Arial" w:hAnsi="Arial" w:cs="Arial"/>
          <w:lang w:val="mk-MK"/>
        </w:rPr>
        <w:t xml:space="preserve"> </w:t>
      </w:r>
      <w:proofErr w:type="spellStart"/>
      <w:r w:rsidRPr="00B4561F">
        <w:rPr>
          <w:rFonts w:ascii="Arial" w:hAnsi="Arial" w:cs="Arial"/>
          <w:lang w:val="mk-MK"/>
        </w:rPr>
        <w:t>for</w:t>
      </w:r>
      <w:proofErr w:type="spellEnd"/>
      <w:r w:rsidRPr="00B4561F">
        <w:rPr>
          <w:rFonts w:ascii="Arial" w:hAnsi="Arial" w:cs="Arial"/>
          <w:lang w:val="mk-MK"/>
        </w:rPr>
        <w:t xml:space="preserve"> </w:t>
      </w:r>
      <w:proofErr w:type="spellStart"/>
      <w:r w:rsidRPr="00B4561F">
        <w:rPr>
          <w:rFonts w:ascii="Arial" w:hAnsi="Arial" w:cs="Arial"/>
          <w:lang w:val="mk-MK"/>
        </w:rPr>
        <w:t>its</w:t>
      </w:r>
      <w:proofErr w:type="spellEnd"/>
      <w:r w:rsidRPr="00B4561F">
        <w:rPr>
          <w:rFonts w:ascii="Arial" w:hAnsi="Arial" w:cs="Arial"/>
          <w:lang w:val="mk-MK"/>
        </w:rPr>
        <w:t xml:space="preserve"> </w:t>
      </w:r>
      <w:proofErr w:type="spellStart"/>
      <w:r w:rsidRPr="00B4561F">
        <w:rPr>
          <w:rFonts w:ascii="Arial" w:hAnsi="Arial" w:cs="Arial"/>
          <w:lang w:val="mk-MK"/>
        </w:rPr>
        <w:t>present</w:t>
      </w:r>
      <w:proofErr w:type="spellEnd"/>
      <w:r w:rsidRPr="00B4561F">
        <w:rPr>
          <w:rFonts w:ascii="Arial" w:hAnsi="Arial" w:cs="Arial"/>
          <w:lang w:val="mk-MK"/>
        </w:rPr>
        <w:t xml:space="preserve"> </w:t>
      </w:r>
      <w:proofErr w:type="spellStart"/>
      <w:r w:rsidRPr="00B4561F">
        <w:rPr>
          <w:rFonts w:ascii="Arial" w:hAnsi="Arial" w:cs="Arial"/>
          <w:lang w:val="mk-MK"/>
        </w:rPr>
        <w:t>and</w:t>
      </w:r>
      <w:proofErr w:type="spellEnd"/>
      <w:r w:rsidRPr="00B4561F">
        <w:rPr>
          <w:rFonts w:ascii="Arial" w:hAnsi="Arial" w:cs="Arial"/>
          <w:lang w:val="mk-MK"/>
        </w:rPr>
        <w:t xml:space="preserve"> </w:t>
      </w:r>
      <w:proofErr w:type="spellStart"/>
      <w:r w:rsidRPr="00B4561F">
        <w:rPr>
          <w:rFonts w:ascii="Arial" w:hAnsi="Arial" w:cs="Arial"/>
          <w:lang w:val="mk-MK"/>
        </w:rPr>
        <w:t>former</w:t>
      </w:r>
      <w:proofErr w:type="spellEnd"/>
      <w:r w:rsidRPr="00B4561F">
        <w:rPr>
          <w:rFonts w:ascii="Arial" w:hAnsi="Arial" w:cs="Arial"/>
          <w:lang w:val="mk-MK"/>
        </w:rPr>
        <w:t xml:space="preserve"> </w:t>
      </w:r>
      <w:proofErr w:type="spellStart"/>
      <w:r w:rsidRPr="00B4561F">
        <w:rPr>
          <w:rFonts w:ascii="Arial" w:hAnsi="Arial" w:cs="Arial"/>
          <w:lang w:val="mk-MK"/>
        </w:rPr>
        <w:t>employees</w:t>
      </w:r>
      <w:proofErr w:type="spellEnd"/>
      <w:r w:rsidRPr="00B4561F">
        <w:rPr>
          <w:rFonts w:ascii="Arial" w:hAnsi="Arial" w:cs="Arial"/>
          <w:lang w:val="mk-MK"/>
        </w:rPr>
        <w:t>.</w:t>
      </w:r>
    </w:p>
    <w:p w14:paraId="643F6F0D" w14:textId="493CC92A" w:rsidR="00815E65" w:rsidRPr="00B4561F" w:rsidRDefault="00126FCB" w:rsidP="00B4561F">
      <w:pPr>
        <w:pStyle w:val="NumberedHeading1"/>
        <w:numPr>
          <w:ilvl w:val="1"/>
          <w:numId w:val="22"/>
        </w:numPr>
        <w:spacing w:before="0" w:after="0" w:line="240" w:lineRule="auto"/>
        <w:jc w:val="both"/>
        <w:rPr>
          <w:rFonts w:ascii="Arial" w:hAnsi="Arial" w:cs="Arial"/>
          <w:b/>
          <w:color w:val="4F2D7F"/>
          <w:sz w:val="18"/>
          <w:lang w:val="mk-MK"/>
        </w:rPr>
      </w:pPr>
      <w:r>
        <w:rPr>
          <w:rFonts w:ascii="Arial" w:hAnsi="Arial" w:cs="Arial"/>
          <w:b/>
          <w:color w:val="4F2D7F"/>
          <w:sz w:val="18"/>
          <w:lang w:val="en-US"/>
        </w:rPr>
        <w:t xml:space="preserve"> </w:t>
      </w:r>
      <w:r w:rsidR="00B4561F">
        <w:rPr>
          <w:rFonts w:ascii="Arial" w:hAnsi="Arial" w:cs="Arial"/>
          <w:b/>
          <w:color w:val="4F2D7F"/>
          <w:sz w:val="18"/>
          <w:lang w:val="en-US"/>
        </w:rPr>
        <w:t>Income tax</w:t>
      </w:r>
    </w:p>
    <w:p w14:paraId="709438E3" w14:textId="17D101F8" w:rsidR="00815E65" w:rsidRPr="00B4561F" w:rsidRDefault="00B4561F" w:rsidP="00815E65">
      <w:pPr>
        <w:pStyle w:val="Heading4"/>
        <w:jc w:val="both"/>
        <w:rPr>
          <w:rFonts w:ascii="Arial" w:hAnsi="Arial" w:cs="Arial"/>
          <w:lang w:val="en-US"/>
        </w:rPr>
      </w:pPr>
      <w:r>
        <w:rPr>
          <w:rFonts w:ascii="Arial" w:hAnsi="Arial" w:cs="Arial"/>
          <w:lang w:val="en-US"/>
        </w:rPr>
        <w:t>Current and deferred tax</w:t>
      </w:r>
    </w:p>
    <w:p w14:paraId="7AED73D5" w14:textId="77777777" w:rsidR="00B4561F" w:rsidRDefault="00B4561F" w:rsidP="00815E65">
      <w:pPr>
        <w:pStyle w:val="Heading4"/>
        <w:jc w:val="both"/>
        <w:rPr>
          <w:rFonts w:ascii="Arial" w:hAnsi="Arial" w:cs="Arial"/>
          <w:color w:val="auto"/>
          <w:kern w:val="0"/>
          <w:lang w:val="mk-MK"/>
        </w:rPr>
      </w:pPr>
      <w:proofErr w:type="spellStart"/>
      <w:r w:rsidRPr="00B4561F">
        <w:rPr>
          <w:rFonts w:ascii="Arial" w:hAnsi="Arial" w:cs="Arial"/>
          <w:color w:val="auto"/>
          <w:kern w:val="0"/>
          <w:lang w:val="mk-MK"/>
        </w:rPr>
        <w:t>The</w:t>
      </w:r>
      <w:proofErr w:type="spellEnd"/>
      <w:r w:rsidRPr="00B4561F">
        <w:rPr>
          <w:rFonts w:ascii="Arial" w:hAnsi="Arial" w:cs="Arial"/>
          <w:color w:val="auto"/>
          <w:kern w:val="0"/>
          <w:lang w:val="mk-MK"/>
        </w:rPr>
        <w:t xml:space="preserve"> </w:t>
      </w:r>
      <w:proofErr w:type="spellStart"/>
      <w:r w:rsidRPr="00B4561F">
        <w:rPr>
          <w:rFonts w:ascii="Arial" w:hAnsi="Arial" w:cs="Arial"/>
          <w:color w:val="auto"/>
          <w:kern w:val="0"/>
          <w:lang w:val="mk-MK"/>
        </w:rPr>
        <w:t>tax</w:t>
      </w:r>
      <w:proofErr w:type="spellEnd"/>
      <w:r w:rsidRPr="00B4561F">
        <w:rPr>
          <w:rFonts w:ascii="Arial" w:hAnsi="Arial" w:cs="Arial"/>
          <w:color w:val="auto"/>
          <w:kern w:val="0"/>
          <w:lang w:val="mk-MK"/>
        </w:rPr>
        <w:t xml:space="preserve"> </w:t>
      </w:r>
      <w:proofErr w:type="spellStart"/>
      <w:r w:rsidRPr="00B4561F">
        <w:rPr>
          <w:rFonts w:ascii="Arial" w:hAnsi="Arial" w:cs="Arial"/>
          <w:color w:val="auto"/>
          <w:kern w:val="0"/>
          <w:lang w:val="mk-MK"/>
        </w:rPr>
        <w:t>expense</w:t>
      </w:r>
      <w:proofErr w:type="spellEnd"/>
      <w:r w:rsidRPr="00B4561F">
        <w:rPr>
          <w:rFonts w:ascii="Arial" w:hAnsi="Arial" w:cs="Arial"/>
          <w:color w:val="auto"/>
          <w:kern w:val="0"/>
          <w:lang w:val="mk-MK"/>
        </w:rPr>
        <w:t xml:space="preserve"> </w:t>
      </w:r>
      <w:proofErr w:type="spellStart"/>
      <w:r w:rsidRPr="00B4561F">
        <w:rPr>
          <w:rFonts w:ascii="Arial" w:hAnsi="Arial" w:cs="Arial"/>
          <w:color w:val="auto"/>
          <w:kern w:val="0"/>
          <w:lang w:val="mk-MK"/>
        </w:rPr>
        <w:t>for</w:t>
      </w:r>
      <w:proofErr w:type="spellEnd"/>
      <w:r w:rsidRPr="00B4561F">
        <w:rPr>
          <w:rFonts w:ascii="Arial" w:hAnsi="Arial" w:cs="Arial"/>
          <w:color w:val="auto"/>
          <w:kern w:val="0"/>
          <w:lang w:val="mk-MK"/>
        </w:rPr>
        <w:t xml:space="preserve"> </w:t>
      </w:r>
      <w:proofErr w:type="spellStart"/>
      <w:r w:rsidRPr="00B4561F">
        <w:rPr>
          <w:rFonts w:ascii="Arial" w:hAnsi="Arial" w:cs="Arial"/>
          <w:color w:val="auto"/>
          <w:kern w:val="0"/>
          <w:lang w:val="mk-MK"/>
        </w:rPr>
        <w:t>the</w:t>
      </w:r>
      <w:proofErr w:type="spellEnd"/>
      <w:r w:rsidRPr="00B4561F">
        <w:rPr>
          <w:rFonts w:ascii="Arial" w:hAnsi="Arial" w:cs="Arial"/>
          <w:color w:val="auto"/>
          <w:kern w:val="0"/>
          <w:lang w:val="mk-MK"/>
        </w:rPr>
        <w:t xml:space="preserve"> </w:t>
      </w:r>
      <w:proofErr w:type="spellStart"/>
      <w:r w:rsidRPr="00B4561F">
        <w:rPr>
          <w:rFonts w:ascii="Arial" w:hAnsi="Arial" w:cs="Arial"/>
          <w:color w:val="auto"/>
          <w:kern w:val="0"/>
          <w:lang w:val="mk-MK"/>
        </w:rPr>
        <w:t>reporting</w:t>
      </w:r>
      <w:proofErr w:type="spellEnd"/>
      <w:r w:rsidRPr="00B4561F">
        <w:rPr>
          <w:rFonts w:ascii="Arial" w:hAnsi="Arial" w:cs="Arial"/>
          <w:color w:val="auto"/>
          <w:kern w:val="0"/>
          <w:lang w:val="mk-MK"/>
        </w:rPr>
        <w:t xml:space="preserve"> </w:t>
      </w:r>
      <w:proofErr w:type="spellStart"/>
      <w:r w:rsidRPr="00B4561F">
        <w:rPr>
          <w:rFonts w:ascii="Arial" w:hAnsi="Arial" w:cs="Arial"/>
          <w:color w:val="auto"/>
          <w:kern w:val="0"/>
          <w:lang w:val="mk-MK"/>
        </w:rPr>
        <w:t>period</w:t>
      </w:r>
      <w:proofErr w:type="spellEnd"/>
      <w:r w:rsidRPr="00B4561F">
        <w:rPr>
          <w:rFonts w:ascii="Arial" w:hAnsi="Arial" w:cs="Arial"/>
          <w:color w:val="auto"/>
          <w:kern w:val="0"/>
          <w:lang w:val="mk-MK"/>
        </w:rPr>
        <w:t xml:space="preserve"> </w:t>
      </w:r>
      <w:proofErr w:type="spellStart"/>
      <w:r w:rsidRPr="00B4561F">
        <w:rPr>
          <w:rFonts w:ascii="Arial" w:hAnsi="Arial" w:cs="Arial"/>
          <w:color w:val="auto"/>
          <w:kern w:val="0"/>
          <w:lang w:val="mk-MK"/>
        </w:rPr>
        <w:t>represents</w:t>
      </w:r>
      <w:proofErr w:type="spellEnd"/>
      <w:r w:rsidRPr="00B4561F">
        <w:rPr>
          <w:rFonts w:ascii="Arial" w:hAnsi="Arial" w:cs="Arial"/>
          <w:color w:val="auto"/>
          <w:kern w:val="0"/>
          <w:lang w:val="mk-MK"/>
        </w:rPr>
        <w:t xml:space="preserve"> </w:t>
      </w:r>
      <w:proofErr w:type="spellStart"/>
      <w:r w:rsidRPr="00B4561F">
        <w:rPr>
          <w:rFonts w:ascii="Arial" w:hAnsi="Arial" w:cs="Arial"/>
          <w:color w:val="auto"/>
          <w:kern w:val="0"/>
          <w:lang w:val="mk-MK"/>
        </w:rPr>
        <w:t>the</w:t>
      </w:r>
      <w:proofErr w:type="spellEnd"/>
      <w:r w:rsidRPr="00B4561F">
        <w:rPr>
          <w:rFonts w:ascii="Arial" w:hAnsi="Arial" w:cs="Arial"/>
          <w:color w:val="auto"/>
          <w:kern w:val="0"/>
          <w:lang w:val="mk-MK"/>
        </w:rPr>
        <w:t xml:space="preserve"> </w:t>
      </w:r>
      <w:proofErr w:type="spellStart"/>
      <w:r w:rsidRPr="00B4561F">
        <w:rPr>
          <w:rFonts w:ascii="Arial" w:hAnsi="Arial" w:cs="Arial"/>
          <w:color w:val="auto"/>
          <w:kern w:val="0"/>
          <w:lang w:val="mk-MK"/>
        </w:rPr>
        <w:t>sum</w:t>
      </w:r>
      <w:proofErr w:type="spellEnd"/>
      <w:r w:rsidRPr="00B4561F">
        <w:rPr>
          <w:rFonts w:ascii="Arial" w:hAnsi="Arial" w:cs="Arial"/>
          <w:color w:val="auto"/>
          <w:kern w:val="0"/>
          <w:lang w:val="mk-MK"/>
        </w:rPr>
        <w:t xml:space="preserve"> </w:t>
      </w:r>
      <w:proofErr w:type="spellStart"/>
      <w:r w:rsidRPr="00B4561F">
        <w:rPr>
          <w:rFonts w:ascii="Arial" w:hAnsi="Arial" w:cs="Arial"/>
          <w:color w:val="auto"/>
          <w:kern w:val="0"/>
          <w:lang w:val="mk-MK"/>
        </w:rPr>
        <w:t>of</w:t>
      </w:r>
      <w:proofErr w:type="spellEnd"/>
      <w:r w:rsidRPr="00B4561F">
        <w:rPr>
          <w:rFonts w:ascii="Arial" w:hAnsi="Arial" w:cs="Arial"/>
          <w:color w:val="auto"/>
          <w:kern w:val="0"/>
          <w:lang w:val="mk-MK"/>
        </w:rPr>
        <w:t xml:space="preserve"> </w:t>
      </w:r>
      <w:proofErr w:type="spellStart"/>
      <w:r w:rsidRPr="00B4561F">
        <w:rPr>
          <w:rFonts w:ascii="Arial" w:hAnsi="Arial" w:cs="Arial"/>
          <w:color w:val="auto"/>
          <w:kern w:val="0"/>
          <w:lang w:val="mk-MK"/>
        </w:rPr>
        <w:t>the</w:t>
      </w:r>
      <w:proofErr w:type="spellEnd"/>
      <w:r w:rsidRPr="00B4561F">
        <w:rPr>
          <w:rFonts w:ascii="Arial" w:hAnsi="Arial" w:cs="Arial"/>
          <w:color w:val="auto"/>
          <w:kern w:val="0"/>
          <w:lang w:val="mk-MK"/>
        </w:rPr>
        <w:t xml:space="preserve"> </w:t>
      </w:r>
      <w:proofErr w:type="spellStart"/>
      <w:r w:rsidRPr="00B4561F">
        <w:rPr>
          <w:rFonts w:ascii="Arial" w:hAnsi="Arial" w:cs="Arial"/>
          <w:color w:val="auto"/>
          <w:kern w:val="0"/>
          <w:lang w:val="mk-MK"/>
        </w:rPr>
        <w:t>current</w:t>
      </w:r>
      <w:proofErr w:type="spellEnd"/>
      <w:r w:rsidRPr="00B4561F">
        <w:rPr>
          <w:rFonts w:ascii="Arial" w:hAnsi="Arial" w:cs="Arial"/>
          <w:color w:val="auto"/>
          <w:kern w:val="0"/>
          <w:lang w:val="mk-MK"/>
        </w:rPr>
        <w:t xml:space="preserve"> </w:t>
      </w:r>
      <w:proofErr w:type="spellStart"/>
      <w:r w:rsidRPr="00B4561F">
        <w:rPr>
          <w:rFonts w:ascii="Arial" w:hAnsi="Arial" w:cs="Arial"/>
          <w:color w:val="auto"/>
          <w:kern w:val="0"/>
          <w:lang w:val="mk-MK"/>
        </w:rPr>
        <w:t>and</w:t>
      </w:r>
      <w:proofErr w:type="spellEnd"/>
      <w:r w:rsidRPr="00B4561F">
        <w:rPr>
          <w:rFonts w:ascii="Arial" w:hAnsi="Arial" w:cs="Arial"/>
          <w:color w:val="auto"/>
          <w:kern w:val="0"/>
          <w:lang w:val="mk-MK"/>
        </w:rPr>
        <w:t xml:space="preserve"> </w:t>
      </w:r>
      <w:proofErr w:type="spellStart"/>
      <w:r w:rsidRPr="00B4561F">
        <w:rPr>
          <w:rFonts w:ascii="Arial" w:hAnsi="Arial" w:cs="Arial"/>
          <w:color w:val="auto"/>
          <w:kern w:val="0"/>
          <w:lang w:val="mk-MK"/>
        </w:rPr>
        <w:t>deferred</w:t>
      </w:r>
      <w:proofErr w:type="spellEnd"/>
      <w:r w:rsidRPr="00B4561F">
        <w:rPr>
          <w:rFonts w:ascii="Arial" w:hAnsi="Arial" w:cs="Arial"/>
          <w:color w:val="auto"/>
          <w:kern w:val="0"/>
          <w:lang w:val="mk-MK"/>
        </w:rPr>
        <w:t xml:space="preserve"> </w:t>
      </w:r>
      <w:proofErr w:type="spellStart"/>
      <w:r w:rsidRPr="00B4561F">
        <w:rPr>
          <w:rFonts w:ascii="Arial" w:hAnsi="Arial" w:cs="Arial"/>
          <w:color w:val="auto"/>
          <w:kern w:val="0"/>
          <w:lang w:val="mk-MK"/>
        </w:rPr>
        <w:t>income</w:t>
      </w:r>
      <w:proofErr w:type="spellEnd"/>
      <w:r w:rsidRPr="00B4561F">
        <w:rPr>
          <w:rFonts w:ascii="Arial" w:hAnsi="Arial" w:cs="Arial"/>
          <w:color w:val="auto"/>
          <w:kern w:val="0"/>
          <w:lang w:val="mk-MK"/>
        </w:rPr>
        <w:t xml:space="preserve"> </w:t>
      </w:r>
      <w:proofErr w:type="spellStart"/>
      <w:r w:rsidRPr="00B4561F">
        <w:rPr>
          <w:rFonts w:ascii="Arial" w:hAnsi="Arial" w:cs="Arial"/>
          <w:color w:val="auto"/>
          <w:kern w:val="0"/>
          <w:lang w:val="mk-MK"/>
        </w:rPr>
        <w:t>tax</w:t>
      </w:r>
      <w:proofErr w:type="spellEnd"/>
      <w:r w:rsidRPr="00B4561F">
        <w:rPr>
          <w:rFonts w:ascii="Arial" w:hAnsi="Arial" w:cs="Arial"/>
          <w:color w:val="auto"/>
          <w:kern w:val="0"/>
          <w:lang w:val="mk-MK"/>
        </w:rPr>
        <w:t>.</w:t>
      </w:r>
    </w:p>
    <w:p w14:paraId="0AD673FC" w14:textId="3BAE9B99" w:rsidR="00815E65" w:rsidRPr="00B4561F" w:rsidRDefault="00B4561F" w:rsidP="00815E65">
      <w:pPr>
        <w:pStyle w:val="Heading4"/>
        <w:jc w:val="both"/>
        <w:rPr>
          <w:rFonts w:ascii="Arial" w:hAnsi="Arial" w:cs="Arial"/>
          <w:lang w:val="en-US"/>
        </w:rPr>
      </w:pPr>
      <w:r>
        <w:rPr>
          <w:rFonts w:ascii="Arial" w:hAnsi="Arial" w:cs="Arial"/>
          <w:lang w:val="en-US"/>
        </w:rPr>
        <w:t>Current income tax</w:t>
      </w:r>
    </w:p>
    <w:p w14:paraId="2F8A3B1D" w14:textId="77777777" w:rsidR="00F94D5B" w:rsidRDefault="00F94D5B" w:rsidP="00815E65">
      <w:pPr>
        <w:pStyle w:val="BodyText"/>
        <w:jc w:val="both"/>
        <w:rPr>
          <w:rFonts w:ascii="Arial" w:hAnsi="Arial" w:cs="Arial"/>
          <w:lang w:val="mk-MK"/>
        </w:rPr>
      </w:pPr>
      <w:proofErr w:type="spellStart"/>
      <w:r w:rsidRPr="00F94D5B">
        <w:rPr>
          <w:rFonts w:ascii="Arial" w:hAnsi="Arial" w:cs="Arial"/>
          <w:lang w:val="mk-MK"/>
        </w:rPr>
        <w:t>The</w:t>
      </w:r>
      <w:proofErr w:type="spellEnd"/>
      <w:r w:rsidRPr="00F94D5B">
        <w:rPr>
          <w:rFonts w:ascii="Arial" w:hAnsi="Arial" w:cs="Arial"/>
          <w:lang w:val="mk-MK"/>
        </w:rPr>
        <w:t xml:space="preserve"> </w:t>
      </w:r>
      <w:proofErr w:type="spellStart"/>
      <w:r w:rsidRPr="00F94D5B">
        <w:rPr>
          <w:rFonts w:ascii="Arial" w:hAnsi="Arial" w:cs="Arial"/>
          <w:lang w:val="mk-MK"/>
        </w:rPr>
        <w:t>current</w:t>
      </w:r>
      <w:proofErr w:type="spellEnd"/>
      <w:r w:rsidRPr="00F94D5B">
        <w:rPr>
          <w:rFonts w:ascii="Arial" w:hAnsi="Arial" w:cs="Arial"/>
          <w:lang w:val="mk-MK"/>
        </w:rPr>
        <w:t xml:space="preserve"> </w:t>
      </w:r>
      <w:proofErr w:type="spellStart"/>
      <w:r w:rsidRPr="00F94D5B">
        <w:rPr>
          <w:rFonts w:ascii="Arial" w:hAnsi="Arial" w:cs="Arial"/>
          <w:lang w:val="mk-MK"/>
        </w:rPr>
        <w:t>tax</w:t>
      </w:r>
      <w:proofErr w:type="spellEnd"/>
      <w:r w:rsidRPr="00F94D5B">
        <w:rPr>
          <w:rFonts w:ascii="Arial" w:hAnsi="Arial" w:cs="Arial"/>
          <w:lang w:val="mk-MK"/>
        </w:rPr>
        <w:t xml:space="preserve"> </w:t>
      </w:r>
      <w:proofErr w:type="spellStart"/>
      <w:r w:rsidRPr="00F94D5B">
        <w:rPr>
          <w:rFonts w:ascii="Arial" w:hAnsi="Arial" w:cs="Arial"/>
          <w:lang w:val="mk-MK"/>
        </w:rPr>
        <w:t>expense</w:t>
      </w:r>
      <w:proofErr w:type="spellEnd"/>
      <w:r w:rsidRPr="00F94D5B">
        <w:rPr>
          <w:rFonts w:ascii="Arial" w:hAnsi="Arial" w:cs="Arial"/>
          <w:lang w:val="mk-MK"/>
        </w:rPr>
        <w:t xml:space="preserve"> </w:t>
      </w:r>
      <w:proofErr w:type="spellStart"/>
      <w:r w:rsidRPr="00F94D5B">
        <w:rPr>
          <w:rFonts w:ascii="Arial" w:hAnsi="Arial" w:cs="Arial"/>
          <w:lang w:val="mk-MK"/>
        </w:rPr>
        <w:t>at</w:t>
      </w:r>
      <w:proofErr w:type="spellEnd"/>
      <w:r w:rsidRPr="00F94D5B">
        <w:rPr>
          <w:rFonts w:ascii="Arial" w:hAnsi="Arial" w:cs="Arial"/>
          <w:lang w:val="mk-MK"/>
        </w:rPr>
        <w:t xml:space="preserve"> a </w:t>
      </w:r>
      <w:proofErr w:type="spellStart"/>
      <w:r w:rsidRPr="00F94D5B">
        <w:rPr>
          <w:rFonts w:ascii="Arial" w:hAnsi="Arial" w:cs="Arial"/>
          <w:lang w:val="mk-MK"/>
        </w:rPr>
        <w:t>rate</w:t>
      </w:r>
      <w:proofErr w:type="spellEnd"/>
      <w:r w:rsidRPr="00F94D5B">
        <w:rPr>
          <w:rFonts w:ascii="Arial" w:hAnsi="Arial" w:cs="Arial"/>
          <w:lang w:val="mk-MK"/>
        </w:rPr>
        <w:t xml:space="preserve"> </w:t>
      </w:r>
      <w:proofErr w:type="spellStart"/>
      <w:r w:rsidRPr="00F94D5B">
        <w:rPr>
          <w:rFonts w:ascii="Arial" w:hAnsi="Arial" w:cs="Arial"/>
          <w:lang w:val="mk-MK"/>
        </w:rPr>
        <w:t>of</w:t>
      </w:r>
      <w:proofErr w:type="spellEnd"/>
      <w:r w:rsidRPr="00F94D5B">
        <w:rPr>
          <w:rFonts w:ascii="Arial" w:hAnsi="Arial" w:cs="Arial"/>
          <w:lang w:val="mk-MK"/>
        </w:rPr>
        <w:t xml:space="preserve"> 10% </w:t>
      </w:r>
      <w:proofErr w:type="spellStart"/>
      <w:r w:rsidRPr="00F94D5B">
        <w:rPr>
          <w:rFonts w:ascii="Arial" w:hAnsi="Arial" w:cs="Arial"/>
          <w:lang w:val="mk-MK"/>
        </w:rPr>
        <w:t>is</w:t>
      </w:r>
      <w:proofErr w:type="spellEnd"/>
      <w:r w:rsidRPr="00F94D5B">
        <w:rPr>
          <w:rFonts w:ascii="Arial" w:hAnsi="Arial" w:cs="Arial"/>
          <w:lang w:val="mk-MK"/>
        </w:rPr>
        <w:t xml:space="preserve"> </w:t>
      </w:r>
      <w:proofErr w:type="spellStart"/>
      <w:r w:rsidRPr="00F94D5B">
        <w:rPr>
          <w:rFonts w:ascii="Arial" w:hAnsi="Arial" w:cs="Arial"/>
          <w:lang w:val="mk-MK"/>
        </w:rPr>
        <w:t>calculated</w:t>
      </w:r>
      <w:proofErr w:type="spellEnd"/>
      <w:r w:rsidRPr="00F94D5B">
        <w:rPr>
          <w:rFonts w:ascii="Arial" w:hAnsi="Arial" w:cs="Arial"/>
          <w:lang w:val="mk-MK"/>
        </w:rPr>
        <w:t xml:space="preserve"> </w:t>
      </w:r>
      <w:proofErr w:type="spellStart"/>
      <w:r w:rsidRPr="00F94D5B">
        <w:rPr>
          <w:rFonts w:ascii="Arial" w:hAnsi="Arial" w:cs="Arial"/>
          <w:lang w:val="mk-MK"/>
        </w:rPr>
        <w:t>on</w:t>
      </w:r>
      <w:proofErr w:type="spellEnd"/>
      <w:r w:rsidRPr="00F94D5B">
        <w:rPr>
          <w:rFonts w:ascii="Arial" w:hAnsi="Arial" w:cs="Arial"/>
          <w:lang w:val="mk-MK"/>
        </w:rPr>
        <w:t xml:space="preserve"> </w:t>
      </w:r>
      <w:proofErr w:type="spellStart"/>
      <w:r w:rsidRPr="00F94D5B">
        <w:rPr>
          <w:rFonts w:ascii="Arial" w:hAnsi="Arial" w:cs="Arial"/>
          <w:lang w:val="mk-MK"/>
        </w:rPr>
        <w:t>the</w:t>
      </w:r>
      <w:proofErr w:type="spellEnd"/>
      <w:r w:rsidRPr="00F94D5B">
        <w:rPr>
          <w:rFonts w:ascii="Arial" w:hAnsi="Arial" w:cs="Arial"/>
          <w:lang w:val="mk-MK"/>
        </w:rPr>
        <w:t xml:space="preserve"> </w:t>
      </w:r>
      <w:proofErr w:type="spellStart"/>
      <w:r w:rsidRPr="00F94D5B">
        <w:rPr>
          <w:rFonts w:ascii="Arial" w:hAnsi="Arial" w:cs="Arial"/>
          <w:lang w:val="mk-MK"/>
        </w:rPr>
        <w:t>profit</w:t>
      </w:r>
      <w:proofErr w:type="spellEnd"/>
      <w:r w:rsidRPr="00F94D5B">
        <w:rPr>
          <w:rFonts w:ascii="Arial" w:hAnsi="Arial" w:cs="Arial"/>
          <w:lang w:val="mk-MK"/>
        </w:rPr>
        <w:t xml:space="preserve"> </w:t>
      </w:r>
      <w:proofErr w:type="spellStart"/>
      <w:r w:rsidRPr="00F94D5B">
        <w:rPr>
          <w:rFonts w:ascii="Arial" w:hAnsi="Arial" w:cs="Arial"/>
          <w:lang w:val="mk-MK"/>
        </w:rPr>
        <w:t>for</w:t>
      </w:r>
      <w:proofErr w:type="spellEnd"/>
      <w:r w:rsidRPr="00F94D5B">
        <w:rPr>
          <w:rFonts w:ascii="Arial" w:hAnsi="Arial" w:cs="Arial"/>
          <w:lang w:val="mk-MK"/>
        </w:rPr>
        <w:t xml:space="preserve"> </w:t>
      </w:r>
      <w:proofErr w:type="spellStart"/>
      <w:r w:rsidRPr="00F94D5B">
        <w:rPr>
          <w:rFonts w:ascii="Arial" w:hAnsi="Arial" w:cs="Arial"/>
          <w:lang w:val="mk-MK"/>
        </w:rPr>
        <w:t>the</w:t>
      </w:r>
      <w:proofErr w:type="spellEnd"/>
      <w:r w:rsidRPr="00F94D5B">
        <w:rPr>
          <w:rFonts w:ascii="Arial" w:hAnsi="Arial" w:cs="Arial"/>
          <w:lang w:val="mk-MK"/>
        </w:rPr>
        <w:t xml:space="preserve"> </w:t>
      </w:r>
      <w:proofErr w:type="spellStart"/>
      <w:r w:rsidRPr="00F94D5B">
        <w:rPr>
          <w:rFonts w:ascii="Arial" w:hAnsi="Arial" w:cs="Arial"/>
          <w:lang w:val="mk-MK"/>
        </w:rPr>
        <w:t>period</w:t>
      </w:r>
      <w:proofErr w:type="spellEnd"/>
      <w:r w:rsidRPr="00F94D5B">
        <w:rPr>
          <w:rFonts w:ascii="Arial" w:hAnsi="Arial" w:cs="Arial"/>
          <w:lang w:val="mk-MK"/>
        </w:rPr>
        <w:t xml:space="preserve"> </w:t>
      </w:r>
      <w:proofErr w:type="spellStart"/>
      <w:r w:rsidRPr="00F94D5B">
        <w:rPr>
          <w:rFonts w:ascii="Arial" w:hAnsi="Arial" w:cs="Arial"/>
          <w:lang w:val="mk-MK"/>
        </w:rPr>
        <w:t>determined</w:t>
      </w:r>
      <w:proofErr w:type="spellEnd"/>
      <w:r w:rsidRPr="00F94D5B">
        <w:rPr>
          <w:rFonts w:ascii="Arial" w:hAnsi="Arial" w:cs="Arial"/>
          <w:lang w:val="mk-MK"/>
        </w:rPr>
        <w:t xml:space="preserve"> </w:t>
      </w:r>
      <w:proofErr w:type="spellStart"/>
      <w:r w:rsidRPr="00F94D5B">
        <w:rPr>
          <w:rFonts w:ascii="Arial" w:hAnsi="Arial" w:cs="Arial"/>
          <w:lang w:val="mk-MK"/>
        </w:rPr>
        <w:t>as</w:t>
      </w:r>
      <w:proofErr w:type="spellEnd"/>
      <w:r w:rsidRPr="00F94D5B">
        <w:rPr>
          <w:rFonts w:ascii="Arial" w:hAnsi="Arial" w:cs="Arial"/>
          <w:lang w:val="mk-MK"/>
        </w:rPr>
        <w:t xml:space="preserve"> </w:t>
      </w:r>
      <w:proofErr w:type="spellStart"/>
      <w:r w:rsidRPr="00F94D5B">
        <w:rPr>
          <w:rFonts w:ascii="Arial" w:hAnsi="Arial" w:cs="Arial"/>
          <w:lang w:val="mk-MK"/>
        </w:rPr>
        <w:t>the</w:t>
      </w:r>
      <w:proofErr w:type="spellEnd"/>
      <w:r w:rsidRPr="00F94D5B">
        <w:rPr>
          <w:rFonts w:ascii="Arial" w:hAnsi="Arial" w:cs="Arial"/>
          <w:lang w:val="mk-MK"/>
        </w:rPr>
        <w:t xml:space="preserve"> </w:t>
      </w:r>
      <w:proofErr w:type="spellStart"/>
      <w:r w:rsidRPr="00F94D5B">
        <w:rPr>
          <w:rFonts w:ascii="Arial" w:hAnsi="Arial" w:cs="Arial"/>
          <w:lang w:val="mk-MK"/>
        </w:rPr>
        <w:t>difference</w:t>
      </w:r>
      <w:proofErr w:type="spellEnd"/>
      <w:r w:rsidRPr="00F94D5B">
        <w:rPr>
          <w:rFonts w:ascii="Arial" w:hAnsi="Arial" w:cs="Arial"/>
          <w:lang w:val="mk-MK"/>
        </w:rPr>
        <w:t xml:space="preserve"> </w:t>
      </w:r>
      <w:proofErr w:type="spellStart"/>
      <w:r w:rsidRPr="00F94D5B">
        <w:rPr>
          <w:rFonts w:ascii="Arial" w:hAnsi="Arial" w:cs="Arial"/>
          <w:lang w:val="mk-MK"/>
        </w:rPr>
        <w:t>between</w:t>
      </w:r>
      <w:proofErr w:type="spellEnd"/>
      <w:r w:rsidRPr="00F94D5B">
        <w:rPr>
          <w:rFonts w:ascii="Arial" w:hAnsi="Arial" w:cs="Arial"/>
          <w:lang w:val="mk-MK"/>
        </w:rPr>
        <w:t xml:space="preserve"> </w:t>
      </w:r>
      <w:proofErr w:type="spellStart"/>
      <w:r w:rsidRPr="00F94D5B">
        <w:rPr>
          <w:rFonts w:ascii="Arial" w:hAnsi="Arial" w:cs="Arial"/>
          <w:lang w:val="mk-MK"/>
        </w:rPr>
        <w:t>total</w:t>
      </w:r>
      <w:proofErr w:type="spellEnd"/>
      <w:r w:rsidRPr="00F94D5B">
        <w:rPr>
          <w:rFonts w:ascii="Arial" w:hAnsi="Arial" w:cs="Arial"/>
          <w:lang w:val="mk-MK"/>
        </w:rPr>
        <w:t xml:space="preserve"> </w:t>
      </w:r>
      <w:proofErr w:type="spellStart"/>
      <w:r w:rsidRPr="00F94D5B">
        <w:rPr>
          <w:rFonts w:ascii="Arial" w:hAnsi="Arial" w:cs="Arial"/>
          <w:lang w:val="mk-MK"/>
        </w:rPr>
        <w:t>revenue</w:t>
      </w:r>
      <w:proofErr w:type="spellEnd"/>
      <w:r w:rsidRPr="00F94D5B">
        <w:rPr>
          <w:rFonts w:ascii="Arial" w:hAnsi="Arial" w:cs="Arial"/>
          <w:lang w:val="mk-MK"/>
        </w:rPr>
        <w:t xml:space="preserve"> </w:t>
      </w:r>
      <w:proofErr w:type="spellStart"/>
      <w:r w:rsidRPr="00F94D5B">
        <w:rPr>
          <w:rFonts w:ascii="Arial" w:hAnsi="Arial" w:cs="Arial"/>
          <w:lang w:val="mk-MK"/>
        </w:rPr>
        <w:t>and</w:t>
      </w:r>
      <w:proofErr w:type="spellEnd"/>
      <w:r w:rsidRPr="00F94D5B">
        <w:rPr>
          <w:rFonts w:ascii="Arial" w:hAnsi="Arial" w:cs="Arial"/>
          <w:lang w:val="mk-MK"/>
        </w:rPr>
        <w:t xml:space="preserve"> </w:t>
      </w:r>
      <w:proofErr w:type="spellStart"/>
      <w:r w:rsidRPr="00F94D5B">
        <w:rPr>
          <w:rFonts w:ascii="Arial" w:hAnsi="Arial" w:cs="Arial"/>
          <w:lang w:val="mk-MK"/>
        </w:rPr>
        <w:t>total</w:t>
      </w:r>
      <w:proofErr w:type="spellEnd"/>
      <w:r w:rsidRPr="00F94D5B">
        <w:rPr>
          <w:rFonts w:ascii="Arial" w:hAnsi="Arial" w:cs="Arial"/>
          <w:lang w:val="mk-MK"/>
        </w:rPr>
        <w:t xml:space="preserve"> </w:t>
      </w:r>
      <w:proofErr w:type="spellStart"/>
      <w:r w:rsidRPr="00F94D5B">
        <w:rPr>
          <w:rFonts w:ascii="Arial" w:hAnsi="Arial" w:cs="Arial"/>
          <w:lang w:val="mk-MK"/>
        </w:rPr>
        <w:t>expenditure</w:t>
      </w:r>
      <w:proofErr w:type="spellEnd"/>
      <w:r w:rsidRPr="00F94D5B">
        <w:rPr>
          <w:rFonts w:ascii="Arial" w:hAnsi="Arial" w:cs="Arial"/>
          <w:lang w:val="mk-MK"/>
        </w:rPr>
        <w:t xml:space="preserve"> </w:t>
      </w:r>
      <w:proofErr w:type="spellStart"/>
      <w:r w:rsidRPr="00F94D5B">
        <w:rPr>
          <w:rFonts w:ascii="Arial" w:hAnsi="Arial" w:cs="Arial"/>
          <w:lang w:val="mk-MK"/>
        </w:rPr>
        <w:t>increased</w:t>
      </w:r>
      <w:proofErr w:type="spellEnd"/>
      <w:r w:rsidRPr="00F94D5B">
        <w:rPr>
          <w:rFonts w:ascii="Arial" w:hAnsi="Arial" w:cs="Arial"/>
          <w:lang w:val="mk-MK"/>
        </w:rPr>
        <w:t xml:space="preserve"> </w:t>
      </w:r>
      <w:proofErr w:type="spellStart"/>
      <w:r w:rsidRPr="00F94D5B">
        <w:rPr>
          <w:rFonts w:ascii="Arial" w:hAnsi="Arial" w:cs="Arial"/>
          <w:lang w:val="mk-MK"/>
        </w:rPr>
        <w:t>by</w:t>
      </w:r>
      <w:proofErr w:type="spellEnd"/>
      <w:r w:rsidRPr="00F94D5B">
        <w:rPr>
          <w:rFonts w:ascii="Arial" w:hAnsi="Arial" w:cs="Arial"/>
          <w:lang w:val="mk-MK"/>
        </w:rPr>
        <w:t xml:space="preserve"> </w:t>
      </w:r>
      <w:proofErr w:type="spellStart"/>
      <w:r w:rsidRPr="00F94D5B">
        <w:rPr>
          <w:rFonts w:ascii="Arial" w:hAnsi="Arial" w:cs="Arial"/>
          <w:lang w:val="mk-MK"/>
        </w:rPr>
        <w:t>non-deductible</w:t>
      </w:r>
      <w:proofErr w:type="spellEnd"/>
      <w:r w:rsidRPr="00F94D5B">
        <w:rPr>
          <w:rFonts w:ascii="Arial" w:hAnsi="Arial" w:cs="Arial"/>
          <w:lang w:val="mk-MK"/>
        </w:rPr>
        <w:t xml:space="preserve"> </w:t>
      </w:r>
      <w:proofErr w:type="spellStart"/>
      <w:r w:rsidRPr="00F94D5B">
        <w:rPr>
          <w:rFonts w:ascii="Arial" w:hAnsi="Arial" w:cs="Arial"/>
          <w:lang w:val="mk-MK"/>
        </w:rPr>
        <w:t>expenses</w:t>
      </w:r>
      <w:proofErr w:type="spellEnd"/>
      <w:r w:rsidRPr="00F94D5B">
        <w:rPr>
          <w:rFonts w:ascii="Arial" w:hAnsi="Arial" w:cs="Arial"/>
          <w:lang w:val="mk-MK"/>
        </w:rPr>
        <w:t xml:space="preserve"> </w:t>
      </w:r>
      <w:proofErr w:type="spellStart"/>
      <w:r w:rsidRPr="00F94D5B">
        <w:rPr>
          <w:rFonts w:ascii="Arial" w:hAnsi="Arial" w:cs="Arial"/>
          <w:lang w:val="mk-MK"/>
        </w:rPr>
        <w:t>for</w:t>
      </w:r>
      <w:proofErr w:type="spellEnd"/>
      <w:r w:rsidRPr="00F94D5B">
        <w:rPr>
          <w:rFonts w:ascii="Arial" w:hAnsi="Arial" w:cs="Arial"/>
          <w:lang w:val="mk-MK"/>
        </w:rPr>
        <w:t xml:space="preserve"> </w:t>
      </w:r>
      <w:proofErr w:type="spellStart"/>
      <w:r w:rsidRPr="00F94D5B">
        <w:rPr>
          <w:rFonts w:ascii="Arial" w:hAnsi="Arial" w:cs="Arial"/>
          <w:lang w:val="mk-MK"/>
        </w:rPr>
        <w:t>tax</w:t>
      </w:r>
      <w:proofErr w:type="spellEnd"/>
      <w:r w:rsidRPr="00F94D5B">
        <w:rPr>
          <w:rFonts w:ascii="Arial" w:hAnsi="Arial" w:cs="Arial"/>
          <w:lang w:val="mk-MK"/>
        </w:rPr>
        <w:t xml:space="preserve"> </w:t>
      </w:r>
      <w:proofErr w:type="spellStart"/>
      <w:r w:rsidRPr="00F94D5B">
        <w:rPr>
          <w:rFonts w:ascii="Arial" w:hAnsi="Arial" w:cs="Arial"/>
          <w:lang w:val="mk-MK"/>
        </w:rPr>
        <w:t>purposes</w:t>
      </w:r>
      <w:proofErr w:type="spellEnd"/>
      <w:r w:rsidRPr="00F94D5B">
        <w:rPr>
          <w:rFonts w:ascii="Arial" w:hAnsi="Arial" w:cs="Arial"/>
          <w:lang w:val="mk-MK"/>
        </w:rPr>
        <w:t xml:space="preserve"> </w:t>
      </w:r>
      <w:proofErr w:type="spellStart"/>
      <w:r w:rsidRPr="00F94D5B">
        <w:rPr>
          <w:rFonts w:ascii="Arial" w:hAnsi="Arial" w:cs="Arial"/>
          <w:lang w:val="mk-MK"/>
        </w:rPr>
        <w:t>corrected</w:t>
      </w:r>
      <w:proofErr w:type="spellEnd"/>
      <w:r w:rsidRPr="00F94D5B">
        <w:rPr>
          <w:rFonts w:ascii="Arial" w:hAnsi="Arial" w:cs="Arial"/>
          <w:lang w:val="mk-MK"/>
        </w:rPr>
        <w:t xml:space="preserve"> </w:t>
      </w:r>
      <w:proofErr w:type="spellStart"/>
      <w:r w:rsidRPr="00F94D5B">
        <w:rPr>
          <w:rFonts w:ascii="Arial" w:hAnsi="Arial" w:cs="Arial"/>
          <w:lang w:val="mk-MK"/>
        </w:rPr>
        <w:t>for</w:t>
      </w:r>
      <w:proofErr w:type="spellEnd"/>
      <w:r w:rsidRPr="00F94D5B">
        <w:rPr>
          <w:rFonts w:ascii="Arial" w:hAnsi="Arial" w:cs="Arial"/>
          <w:lang w:val="mk-MK"/>
        </w:rPr>
        <w:t xml:space="preserve"> </w:t>
      </w:r>
      <w:proofErr w:type="spellStart"/>
      <w:r w:rsidRPr="00F94D5B">
        <w:rPr>
          <w:rFonts w:ascii="Arial" w:hAnsi="Arial" w:cs="Arial"/>
          <w:lang w:val="mk-MK"/>
        </w:rPr>
        <w:t>tax</w:t>
      </w:r>
      <w:proofErr w:type="spellEnd"/>
      <w:r w:rsidRPr="00F94D5B">
        <w:rPr>
          <w:rFonts w:ascii="Arial" w:hAnsi="Arial" w:cs="Arial"/>
          <w:lang w:val="mk-MK"/>
        </w:rPr>
        <w:t xml:space="preserve"> </w:t>
      </w:r>
      <w:proofErr w:type="spellStart"/>
      <w:r w:rsidRPr="00F94D5B">
        <w:rPr>
          <w:rFonts w:ascii="Arial" w:hAnsi="Arial" w:cs="Arial"/>
          <w:lang w:val="mk-MK"/>
        </w:rPr>
        <w:t>credit</w:t>
      </w:r>
      <w:proofErr w:type="spellEnd"/>
      <w:r w:rsidRPr="00F94D5B">
        <w:rPr>
          <w:rFonts w:ascii="Arial" w:hAnsi="Arial" w:cs="Arial"/>
          <w:lang w:val="mk-MK"/>
        </w:rPr>
        <w:t xml:space="preserve"> </w:t>
      </w:r>
      <w:proofErr w:type="spellStart"/>
      <w:r w:rsidRPr="00F94D5B">
        <w:rPr>
          <w:rFonts w:ascii="Arial" w:hAnsi="Arial" w:cs="Arial"/>
          <w:lang w:val="mk-MK"/>
        </w:rPr>
        <w:t>and</w:t>
      </w:r>
      <w:proofErr w:type="spellEnd"/>
      <w:r w:rsidRPr="00F94D5B">
        <w:rPr>
          <w:rFonts w:ascii="Arial" w:hAnsi="Arial" w:cs="Arial"/>
          <w:lang w:val="mk-MK"/>
        </w:rPr>
        <w:t xml:space="preserve"> </w:t>
      </w:r>
      <w:proofErr w:type="spellStart"/>
      <w:r w:rsidRPr="00F94D5B">
        <w:rPr>
          <w:rFonts w:ascii="Arial" w:hAnsi="Arial" w:cs="Arial"/>
          <w:lang w:val="mk-MK"/>
        </w:rPr>
        <w:t>understated</w:t>
      </w:r>
      <w:proofErr w:type="spellEnd"/>
      <w:r w:rsidRPr="00F94D5B">
        <w:rPr>
          <w:rFonts w:ascii="Arial" w:hAnsi="Arial" w:cs="Arial"/>
          <w:lang w:val="mk-MK"/>
        </w:rPr>
        <w:t xml:space="preserve"> </w:t>
      </w:r>
      <w:proofErr w:type="spellStart"/>
      <w:r w:rsidRPr="00F94D5B">
        <w:rPr>
          <w:rFonts w:ascii="Arial" w:hAnsi="Arial" w:cs="Arial"/>
          <w:lang w:val="mk-MK"/>
        </w:rPr>
        <w:t>revenues</w:t>
      </w:r>
      <w:proofErr w:type="spellEnd"/>
      <w:r w:rsidRPr="00F94D5B">
        <w:rPr>
          <w:rFonts w:ascii="Arial" w:hAnsi="Arial" w:cs="Arial"/>
          <w:lang w:val="mk-MK"/>
        </w:rPr>
        <w:t xml:space="preserve">. </w:t>
      </w:r>
    </w:p>
    <w:p w14:paraId="3BBCAAB9" w14:textId="77777777" w:rsidR="00FD06BB" w:rsidRDefault="0064243D" w:rsidP="00815E65">
      <w:pPr>
        <w:pStyle w:val="BodyText"/>
        <w:jc w:val="both"/>
        <w:rPr>
          <w:rFonts w:ascii="Arial" w:hAnsi="Arial" w:cs="Arial"/>
          <w:lang w:val="mk-MK"/>
        </w:rPr>
      </w:pPr>
      <w:proofErr w:type="spellStart"/>
      <w:r w:rsidRPr="0064243D">
        <w:rPr>
          <w:rFonts w:ascii="Arial" w:hAnsi="Arial" w:cs="Arial"/>
          <w:lang w:val="mk-MK"/>
        </w:rPr>
        <w:t>Deferred</w:t>
      </w:r>
      <w:proofErr w:type="spellEnd"/>
      <w:r w:rsidRPr="0064243D">
        <w:rPr>
          <w:rFonts w:ascii="Arial" w:hAnsi="Arial" w:cs="Arial"/>
          <w:lang w:val="mk-MK"/>
        </w:rPr>
        <w:t xml:space="preserve"> </w:t>
      </w:r>
      <w:proofErr w:type="spellStart"/>
      <w:r w:rsidRPr="0064243D">
        <w:rPr>
          <w:rFonts w:ascii="Arial" w:hAnsi="Arial" w:cs="Arial"/>
          <w:lang w:val="mk-MK"/>
        </w:rPr>
        <w:t>tax</w:t>
      </w:r>
      <w:proofErr w:type="spellEnd"/>
      <w:r w:rsidRPr="0064243D">
        <w:rPr>
          <w:rFonts w:ascii="Arial" w:hAnsi="Arial" w:cs="Arial"/>
          <w:lang w:val="mk-MK"/>
        </w:rPr>
        <w:t xml:space="preserve"> </w:t>
      </w:r>
      <w:proofErr w:type="spellStart"/>
      <w:r w:rsidRPr="0064243D">
        <w:rPr>
          <w:rFonts w:ascii="Arial" w:hAnsi="Arial" w:cs="Arial"/>
          <w:lang w:val="mk-MK"/>
        </w:rPr>
        <w:t>expense</w:t>
      </w:r>
      <w:proofErr w:type="spellEnd"/>
      <w:r w:rsidRPr="0064243D">
        <w:rPr>
          <w:rFonts w:ascii="Arial" w:hAnsi="Arial" w:cs="Arial"/>
          <w:lang w:val="mk-MK"/>
        </w:rPr>
        <w:t xml:space="preserve"> </w:t>
      </w:r>
      <w:proofErr w:type="spellStart"/>
      <w:r w:rsidRPr="0064243D">
        <w:rPr>
          <w:rFonts w:ascii="Arial" w:hAnsi="Arial" w:cs="Arial"/>
          <w:lang w:val="mk-MK"/>
        </w:rPr>
        <w:t>is</w:t>
      </w:r>
      <w:proofErr w:type="spellEnd"/>
      <w:r w:rsidRPr="0064243D">
        <w:rPr>
          <w:rFonts w:ascii="Arial" w:hAnsi="Arial" w:cs="Arial"/>
          <w:lang w:val="mk-MK"/>
        </w:rPr>
        <w:t xml:space="preserve"> </w:t>
      </w:r>
      <w:r w:rsidR="001E0EEE">
        <w:rPr>
          <w:rFonts w:ascii="Arial" w:hAnsi="Arial" w:cs="Arial"/>
          <w:lang w:val="en-US"/>
        </w:rPr>
        <w:t>recognized</w:t>
      </w:r>
      <w:r w:rsidRPr="0064243D">
        <w:rPr>
          <w:rFonts w:ascii="Arial" w:hAnsi="Arial" w:cs="Arial"/>
          <w:lang w:val="mk-MK"/>
        </w:rPr>
        <w:t xml:space="preserve"> </w:t>
      </w:r>
      <w:proofErr w:type="spellStart"/>
      <w:r w:rsidRPr="0064243D">
        <w:rPr>
          <w:rFonts w:ascii="Arial" w:hAnsi="Arial" w:cs="Arial"/>
          <w:lang w:val="mk-MK"/>
        </w:rPr>
        <w:t>in</w:t>
      </w:r>
      <w:proofErr w:type="spellEnd"/>
      <w:r w:rsidRPr="0064243D">
        <w:rPr>
          <w:rFonts w:ascii="Arial" w:hAnsi="Arial" w:cs="Arial"/>
          <w:lang w:val="mk-MK"/>
        </w:rPr>
        <w:t xml:space="preserve"> </w:t>
      </w:r>
      <w:proofErr w:type="spellStart"/>
      <w:r w:rsidRPr="0064243D">
        <w:rPr>
          <w:rFonts w:ascii="Arial" w:hAnsi="Arial" w:cs="Arial"/>
          <w:lang w:val="mk-MK"/>
        </w:rPr>
        <w:t>full</w:t>
      </w:r>
      <w:proofErr w:type="spellEnd"/>
      <w:r w:rsidRPr="0064243D">
        <w:rPr>
          <w:rFonts w:ascii="Arial" w:hAnsi="Arial" w:cs="Arial"/>
          <w:lang w:val="mk-MK"/>
        </w:rPr>
        <w:t xml:space="preserve">, </w:t>
      </w:r>
      <w:proofErr w:type="spellStart"/>
      <w:r w:rsidRPr="0064243D">
        <w:rPr>
          <w:rFonts w:ascii="Arial" w:hAnsi="Arial" w:cs="Arial"/>
          <w:lang w:val="mk-MK"/>
        </w:rPr>
        <w:t>using</w:t>
      </w:r>
      <w:proofErr w:type="spellEnd"/>
      <w:r w:rsidRPr="0064243D">
        <w:rPr>
          <w:rFonts w:ascii="Arial" w:hAnsi="Arial" w:cs="Arial"/>
          <w:lang w:val="mk-MK"/>
        </w:rPr>
        <w:t xml:space="preserve"> </w:t>
      </w:r>
      <w:proofErr w:type="spellStart"/>
      <w:r w:rsidRPr="0064243D">
        <w:rPr>
          <w:rFonts w:ascii="Arial" w:hAnsi="Arial" w:cs="Arial"/>
          <w:lang w:val="mk-MK"/>
        </w:rPr>
        <w:t>the</w:t>
      </w:r>
      <w:proofErr w:type="spellEnd"/>
      <w:r w:rsidRPr="0064243D">
        <w:rPr>
          <w:rFonts w:ascii="Arial" w:hAnsi="Arial" w:cs="Arial"/>
          <w:lang w:val="mk-MK"/>
        </w:rPr>
        <w:t xml:space="preserve"> </w:t>
      </w:r>
      <w:proofErr w:type="spellStart"/>
      <w:r w:rsidRPr="0064243D">
        <w:rPr>
          <w:rFonts w:ascii="Arial" w:hAnsi="Arial" w:cs="Arial"/>
          <w:lang w:val="mk-MK"/>
        </w:rPr>
        <w:t>liability</w:t>
      </w:r>
      <w:proofErr w:type="spellEnd"/>
      <w:r w:rsidRPr="0064243D">
        <w:rPr>
          <w:rFonts w:ascii="Arial" w:hAnsi="Arial" w:cs="Arial"/>
          <w:lang w:val="mk-MK"/>
        </w:rPr>
        <w:t xml:space="preserve"> </w:t>
      </w:r>
      <w:proofErr w:type="spellStart"/>
      <w:r w:rsidRPr="0064243D">
        <w:rPr>
          <w:rFonts w:ascii="Arial" w:hAnsi="Arial" w:cs="Arial"/>
          <w:lang w:val="mk-MK"/>
        </w:rPr>
        <w:t>method</w:t>
      </w:r>
      <w:proofErr w:type="spellEnd"/>
      <w:r w:rsidRPr="0064243D">
        <w:rPr>
          <w:rFonts w:ascii="Arial" w:hAnsi="Arial" w:cs="Arial"/>
          <w:lang w:val="mk-MK"/>
        </w:rPr>
        <w:t xml:space="preserve">, </w:t>
      </w:r>
      <w:proofErr w:type="spellStart"/>
      <w:r w:rsidRPr="0064243D">
        <w:rPr>
          <w:rFonts w:ascii="Arial" w:hAnsi="Arial" w:cs="Arial"/>
          <w:lang w:val="mk-MK"/>
        </w:rPr>
        <w:t>on</w:t>
      </w:r>
      <w:proofErr w:type="spellEnd"/>
      <w:r w:rsidRPr="0064243D">
        <w:rPr>
          <w:rFonts w:ascii="Arial" w:hAnsi="Arial" w:cs="Arial"/>
          <w:lang w:val="mk-MK"/>
        </w:rPr>
        <w:t xml:space="preserve"> </w:t>
      </w:r>
      <w:proofErr w:type="spellStart"/>
      <w:r w:rsidRPr="0064243D">
        <w:rPr>
          <w:rFonts w:ascii="Arial" w:hAnsi="Arial" w:cs="Arial"/>
          <w:lang w:val="mk-MK"/>
        </w:rPr>
        <w:t>temporary</w:t>
      </w:r>
      <w:proofErr w:type="spellEnd"/>
      <w:r w:rsidRPr="0064243D">
        <w:rPr>
          <w:rFonts w:ascii="Arial" w:hAnsi="Arial" w:cs="Arial"/>
          <w:lang w:val="mk-MK"/>
        </w:rPr>
        <w:t xml:space="preserve"> </w:t>
      </w:r>
      <w:proofErr w:type="spellStart"/>
      <w:r w:rsidRPr="0064243D">
        <w:rPr>
          <w:rFonts w:ascii="Arial" w:hAnsi="Arial" w:cs="Arial"/>
          <w:lang w:val="mk-MK"/>
        </w:rPr>
        <w:t>differences</w:t>
      </w:r>
      <w:proofErr w:type="spellEnd"/>
      <w:r w:rsidRPr="0064243D">
        <w:rPr>
          <w:rFonts w:ascii="Arial" w:hAnsi="Arial" w:cs="Arial"/>
          <w:lang w:val="mk-MK"/>
        </w:rPr>
        <w:t xml:space="preserve"> </w:t>
      </w:r>
      <w:proofErr w:type="spellStart"/>
      <w:r w:rsidRPr="0064243D">
        <w:rPr>
          <w:rFonts w:ascii="Arial" w:hAnsi="Arial" w:cs="Arial"/>
          <w:lang w:val="mk-MK"/>
        </w:rPr>
        <w:t>arising</w:t>
      </w:r>
      <w:proofErr w:type="spellEnd"/>
      <w:r w:rsidRPr="0064243D">
        <w:rPr>
          <w:rFonts w:ascii="Arial" w:hAnsi="Arial" w:cs="Arial"/>
          <w:lang w:val="mk-MK"/>
        </w:rPr>
        <w:t xml:space="preserve"> </w:t>
      </w:r>
      <w:proofErr w:type="spellStart"/>
      <w:r w:rsidRPr="0064243D">
        <w:rPr>
          <w:rFonts w:ascii="Arial" w:hAnsi="Arial" w:cs="Arial"/>
          <w:lang w:val="mk-MK"/>
        </w:rPr>
        <w:t>between</w:t>
      </w:r>
      <w:proofErr w:type="spellEnd"/>
      <w:r w:rsidRPr="0064243D">
        <w:rPr>
          <w:rFonts w:ascii="Arial" w:hAnsi="Arial" w:cs="Arial"/>
          <w:lang w:val="mk-MK"/>
        </w:rPr>
        <w:t xml:space="preserve"> </w:t>
      </w:r>
      <w:proofErr w:type="spellStart"/>
      <w:r w:rsidRPr="0064243D">
        <w:rPr>
          <w:rFonts w:ascii="Arial" w:hAnsi="Arial" w:cs="Arial"/>
          <w:lang w:val="mk-MK"/>
        </w:rPr>
        <w:t>the</w:t>
      </w:r>
      <w:proofErr w:type="spellEnd"/>
      <w:r w:rsidRPr="0064243D">
        <w:rPr>
          <w:rFonts w:ascii="Arial" w:hAnsi="Arial" w:cs="Arial"/>
          <w:lang w:val="mk-MK"/>
        </w:rPr>
        <w:t xml:space="preserve"> </w:t>
      </w:r>
      <w:proofErr w:type="spellStart"/>
      <w:r w:rsidRPr="0064243D">
        <w:rPr>
          <w:rFonts w:ascii="Arial" w:hAnsi="Arial" w:cs="Arial"/>
          <w:lang w:val="mk-MK"/>
        </w:rPr>
        <w:t>tax</w:t>
      </w:r>
      <w:proofErr w:type="spellEnd"/>
      <w:r w:rsidRPr="0064243D">
        <w:rPr>
          <w:rFonts w:ascii="Arial" w:hAnsi="Arial" w:cs="Arial"/>
          <w:lang w:val="mk-MK"/>
        </w:rPr>
        <w:t xml:space="preserve"> </w:t>
      </w:r>
      <w:proofErr w:type="spellStart"/>
      <w:r w:rsidRPr="0064243D">
        <w:rPr>
          <w:rFonts w:ascii="Arial" w:hAnsi="Arial" w:cs="Arial"/>
          <w:lang w:val="mk-MK"/>
        </w:rPr>
        <w:t>bases</w:t>
      </w:r>
      <w:proofErr w:type="spellEnd"/>
      <w:r w:rsidRPr="0064243D">
        <w:rPr>
          <w:rFonts w:ascii="Arial" w:hAnsi="Arial" w:cs="Arial"/>
          <w:lang w:val="mk-MK"/>
        </w:rPr>
        <w:t xml:space="preserve"> </w:t>
      </w:r>
      <w:proofErr w:type="spellStart"/>
      <w:r w:rsidRPr="0064243D">
        <w:rPr>
          <w:rFonts w:ascii="Arial" w:hAnsi="Arial" w:cs="Arial"/>
          <w:lang w:val="mk-MK"/>
        </w:rPr>
        <w:t>of</w:t>
      </w:r>
      <w:proofErr w:type="spellEnd"/>
      <w:r w:rsidRPr="0064243D">
        <w:rPr>
          <w:rFonts w:ascii="Arial" w:hAnsi="Arial" w:cs="Arial"/>
          <w:lang w:val="mk-MK"/>
        </w:rPr>
        <w:t xml:space="preserve"> </w:t>
      </w:r>
      <w:proofErr w:type="spellStart"/>
      <w:r w:rsidRPr="0064243D">
        <w:rPr>
          <w:rFonts w:ascii="Arial" w:hAnsi="Arial" w:cs="Arial"/>
          <w:lang w:val="mk-MK"/>
        </w:rPr>
        <w:t>assets</w:t>
      </w:r>
      <w:proofErr w:type="spellEnd"/>
      <w:r w:rsidRPr="0064243D">
        <w:rPr>
          <w:rFonts w:ascii="Arial" w:hAnsi="Arial" w:cs="Arial"/>
          <w:lang w:val="mk-MK"/>
        </w:rPr>
        <w:t xml:space="preserve"> </w:t>
      </w:r>
      <w:proofErr w:type="spellStart"/>
      <w:r w:rsidRPr="0064243D">
        <w:rPr>
          <w:rFonts w:ascii="Arial" w:hAnsi="Arial" w:cs="Arial"/>
          <w:lang w:val="mk-MK"/>
        </w:rPr>
        <w:t>and</w:t>
      </w:r>
      <w:proofErr w:type="spellEnd"/>
      <w:r w:rsidRPr="0064243D">
        <w:rPr>
          <w:rFonts w:ascii="Arial" w:hAnsi="Arial" w:cs="Arial"/>
          <w:lang w:val="mk-MK"/>
        </w:rPr>
        <w:t xml:space="preserve"> </w:t>
      </w:r>
      <w:proofErr w:type="spellStart"/>
      <w:r w:rsidRPr="0064243D">
        <w:rPr>
          <w:rFonts w:ascii="Arial" w:hAnsi="Arial" w:cs="Arial"/>
          <w:lang w:val="mk-MK"/>
        </w:rPr>
        <w:t>liabilities</w:t>
      </w:r>
      <w:proofErr w:type="spellEnd"/>
      <w:r w:rsidRPr="0064243D">
        <w:rPr>
          <w:rFonts w:ascii="Arial" w:hAnsi="Arial" w:cs="Arial"/>
          <w:lang w:val="mk-MK"/>
        </w:rPr>
        <w:t xml:space="preserve"> </w:t>
      </w:r>
      <w:proofErr w:type="spellStart"/>
      <w:r w:rsidRPr="0064243D">
        <w:rPr>
          <w:rFonts w:ascii="Arial" w:hAnsi="Arial" w:cs="Arial"/>
          <w:lang w:val="mk-MK"/>
        </w:rPr>
        <w:t>and</w:t>
      </w:r>
      <w:proofErr w:type="spellEnd"/>
      <w:r w:rsidRPr="0064243D">
        <w:rPr>
          <w:rFonts w:ascii="Arial" w:hAnsi="Arial" w:cs="Arial"/>
          <w:lang w:val="mk-MK"/>
        </w:rPr>
        <w:t xml:space="preserve"> </w:t>
      </w:r>
      <w:proofErr w:type="spellStart"/>
      <w:r w:rsidRPr="0064243D">
        <w:rPr>
          <w:rFonts w:ascii="Arial" w:hAnsi="Arial" w:cs="Arial"/>
          <w:lang w:val="mk-MK"/>
        </w:rPr>
        <w:t>their</w:t>
      </w:r>
      <w:proofErr w:type="spellEnd"/>
      <w:r w:rsidRPr="0064243D">
        <w:rPr>
          <w:rFonts w:ascii="Arial" w:hAnsi="Arial" w:cs="Arial"/>
          <w:lang w:val="mk-MK"/>
        </w:rPr>
        <w:t xml:space="preserve"> </w:t>
      </w:r>
      <w:proofErr w:type="spellStart"/>
      <w:r w:rsidRPr="0064243D">
        <w:rPr>
          <w:rFonts w:ascii="Arial" w:hAnsi="Arial" w:cs="Arial"/>
          <w:lang w:val="mk-MK"/>
        </w:rPr>
        <w:t>carrying</w:t>
      </w:r>
      <w:proofErr w:type="spellEnd"/>
      <w:r w:rsidRPr="0064243D">
        <w:rPr>
          <w:rFonts w:ascii="Arial" w:hAnsi="Arial" w:cs="Arial"/>
          <w:lang w:val="mk-MK"/>
        </w:rPr>
        <w:t xml:space="preserve"> </w:t>
      </w:r>
      <w:proofErr w:type="spellStart"/>
      <w:r w:rsidRPr="0064243D">
        <w:rPr>
          <w:rFonts w:ascii="Arial" w:hAnsi="Arial" w:cs="Arial"/>
          <w:lang w:val="mk-MK"/>
        </w:rPr>
        <w:t>values</w:t>
      </w:r>
      <w:proofErr w:type="spellEnd"/>
      <w:r w:rsidRPr="0064243D">
        <w:rPr>
          <w:rFonts w:ascii="Arial" w:hAnsi="Arial" w:cs="Arial"/>
          <w:lang w:val="mk-MK"/>
        </w:rPr>
        <w:t xml:space="preserve"> </w:t>
      </w:r>
      <w:proofErr w:type="spellStart"/>
      <w:r w:rsidRPr="0064243D">
        <w:rPr>
          <w:rFonts w:ascii="Arial" w:hAnsi="Arial" w:cs="Arial"/>
          <w:lang w:val="mk-MK"/>
        </w:rPr>
        <w:t>for</w:t>
      </w:r>
      <w:proofErr w:type="spellEnd"/>
      <w:r w:rsidRPr="0064243D">
        <w:rPr>
          <w:rFonts w:ascii="Arial" w:hAnsi="Arial" w:cs="Arial"/>
          <w:lang w:val="mk-MK"/>
        </w:rPr>
        <w:t xml:space="preserve"> </w:t>
      </w:r>
      <w:proofErr w:type="spellStart"/>
      <w:r w:rsidRPr="0064243D">
        <w:rPr>
          <w:rFonts w:ascii="Arial" w:hAnsi="Arial" w:cs="Arial"/>
          <w:lang w:val="mk-MK"/>
        </w:rPr>
        <w:t>financial</w:t>
      </w:r>
      <w:proofErr w:type="spellEnd"/>
      <w:r w:rsidRPr="0064243D">
        <w:rPr>
          <w:rFonts w:ascii="Arial" w:hAnsi="Arial" w:cs="Arial"/>
          <w:lang w:val="mk-MK"/>
        </w:rPr>
        <w:t xml:space="preserve"> </w:t>
      </w:r>
      <w:proofErr w:type="spellStart"/>
      <w:r w:rsidRPr="0064243D">
        <w:rPr>
          <w:rFonts w:ascii="Arial" w:hAnsi="Arial" w:cs="Arial"/>
          <w:lang w:val="mk-MK"/>
        </w:rPr>
        <w:t>reporting</w:t>
      </w:r>
      <w:proofErr w:type="spellEnd"/>
      <w:r w:rsidRPr="0064243D">
        <w:rPr>
          <w:rFonts w:ascii="Arial" w:hAnsi="Arial" w:cs="Arial"/>
          <w:lang w:val="mk-MK"/>
        </w:rPr>
        <w:t xml:space="preserve"> </w:t>
      </w:r>
      <w:proofErr w:type="spellStart"/>
      <w:r w:rsidRPr="0064243D">
        <w:rPr>
          <w:rFonts w:ascii="Arial" w:hAnsi="Arial" w:cs="Arial"/>
          <w:lang w:val="mk-MK"/>
        </w:rPr>
        <w:t>purposes</w:t>
      </w:r>
      <w:proofErr w:type="spellEnd"/>
      <w:r w:rsidRPr="0064243D">
        <w:rPr>
          <w:rFonts w:ascii="Arial" w:hAnsi="Arial" w:cs="Arial"/>
          <w:lang w:val="mk-MK"/>
        </w:rPr>
        <w:t xml:space="preserve">. </w:t>
      </w:r>
      <w:proofErr w:type="spellStart"/>
      <w:r w:rsidRPr="0064243D">
        <w:rPr>
          <w:rFonts w:ascii="Arial" w:hAnsi="Arial" w:cs="Arial"/>
          <w:lang w:val="mk-MK"/>
        </w:rPr>
        <w:t>Currently</w:t>
      </w:r>
      <w:proofErr w:type="spellEnd"/>
      <w:r w:rsidRPr="0064243D">
        <w:rPr>
          <w:rFonts w:ascii="Arial" w:hAnsi="Arial" w:cs="Arial"/>
          <w:lang w:val="mk-MK"/>
        </w:rPr>
        <w:t xml:space="preserve"> </w:t>
      </w:r>
      <w:proofErr w:type="spellStart"/>
      <w:r w:rsidRPr="0064243D">
        <w:rPr>
          <w:rFonts w:ascii="Arial" w:hAnsi="Arial" w:cs="Arial"/>
          <w:lang w:val="mk-MK"/>
        </w:rPr>
        <w:t>enacted</w:t>
      </w:r>
      <w:proofErr w:type="spellEnd"/>
      <w:r w:rsidRPr="0064243D">
        <w:rPr>
          <w:rFonts w:ascii="Arial" w:hAnsi="Arial" w:cs="Arial"/>
          <w:lang w:val="mk-MK"/>
        </w:rPr>
        <w:t xml:space="preserve"> </w:t>
      </w:r>
      <w:proofErr w:type="spellStart"/>
      <w:r w:rsidRPr="0064243D">
        <w:rPr>
          <w:rFonts w:ascii="Arial" w:hAnsi="Arial" w:cs="Arial"/>
          <w:lang w:val="mk-MK"/>
        </w:rPr>
        <w:t>tax</w:t>
      </w:r>
      <w:proofErr w:type="spellEnd"/>
      <w:r w:rsidRPr="0064243D">
        <w:rPr>
          <w:rFonts w:ascii="Arial" w:hAnsi="Arial" w:cs="Arial"/>
          <w:lang w:val="mk-MK"/>
        </w:rPr>
        <w:t xml:space="preserve"> </w:t>
      </w:r>
      <w:proofErr w:type="spellStart"/>
      <w:r w:rsidRPr="0064243D">
        <w:rPr>
          <w:rFonts w:ascii="Arial" w:hAnsi="Arial" w:cs="Arial"/>
          <w:lang w:val="mk-MK"/>
        </w:rPr>
        <w:t>rates</w:t>
      </w:r>
      <w:proofErr w:type="spellEnd"/>
      <w:r w:rsidRPr="0064243D">
        <w:rPr>
          <w:rFonts w:ascii="Arial" w:hAnsi="Arial" w:cs="Arial"/>
          <w:lang w:val="mk-MK"/>
        </w:rPr>
        <w:t xml:space="preserve"> </w:t>
      </w:r>
      <w:proofErr w:type="spellStart"/>
      <w:r w:rsidRPr="0064243D">
        <w:rPr>
          <w:rFonts w:ascii="Arial" w:hAnsi="Arial" w:cs="Arial"/>
          <w:lang w:val="mk-MK"/>
        </w:rPr>
        <w:t>are</w:t>
      </w:r>
      <w:proofErr w:type="spellEnd"/>
      <w:r w:rsidRPr="0064243D">
        <w:rPr>
          <w:rFonts w:ascii="Arial" w:hAnsi="Arial" w:cs="Arial"/>
          <w:lang w:val="mk-MK"/>
        </w:rPr>
        <w:t xml:space="preserve"> </w:t>
      </w:r>
      <w:proofErr w:type="spellStart"/>
      <w:r w:rsidRPr="0064243D">
        <w:rPr>
          <w:rFonts w:ascii="Arial" w:hAnsi="Arial" w:cs="Arial"/>
          <w:lang w:val="mk-MK"/>
        </w:rPr>
        <w:t>used</w:t>
      </w:r>
      <w:proofErr w:type="spellEnd"/>
      <w:r w:rsidRPr="0064243D">
        <w:rPr>
          <w:rFonts w:ascii="Arial" w:hAnsi="Arial" w:cs="Arial"/>
          <w:lang w:val="mk-MK"/>
        </w:rPr>
        <w:t xml:space="preserve"> </w:t>
      </w:r>
      <w:proofErr w:type="spellStart"/>
      <w:r w:rsidRPr="0064243D">
        <w:rPr>
          <w:rFonts w:ascii="Arial" w:hAnsi="Arial" w:cs="Arial"/>
          <w:lang w:val="mk-MK"/>
        </w:rPr>
        <w:t>in</w:t>
      </w:r>
      <w:proofErr w:type="spellEnd"/>
      <w:r w:rsidRPr="0064243D">
        <w:rPr>
          <w:rFonts w:ascii="Arial" w:hAnsi="Arial" w:cs="Arial"/>
          <w:lang w:val="mk-MK"/>
        </w:rPr>
        <w:t xml:space="preserve"> </w:t>
      </w:r>
      <w:proofErr w:type="spellStart"/>
      <w:r w:rsidRPr="0064243D">
        <w:rPr>
          <w:rFonts w:ascii="Arial" w:hAnsi="Arial" w:cs="Arial"/>
          <w:lang w:val="mk-MK"/>
        </w:rPr>
        <w:t>determination</w:t>
      </w:r>
      <w:proofErr w:type="spellEnd"/>
      <w:r w:rsidRPr="0064243D">
        <w:rPr>
          <w:rFonts w:ascii="Arial" w:hAnsi="Arial" w:cs="Arial"/>
          <w:lang w:val="mk-MK"/>
        </w:rPr>
        <w:t xml:space="preserve"> </w:t>
      </w:r>
      <w:proofErr w:type="spellStart"/>
      <w:r w:rsidRPr="0064243D">
        <w:rPr>
          <w:rFonts w:ascii="Arial" w:hAnsi="Arial" w:cs="Arial"/>
          <w:lang w:val="mk-MK"/>
        </w:rPr>
        <w:t>of</w:t>
      </w:r>
      <w:proofErr w:type="spellEnd"/>
      <w:r w:rsidRPr="0064243D">
        <w:rPr>
          <w:rFonts w:ascii="Arial" w:hAnsi="Arial" w:cs="Arial"/>
          <w:lang w:val="mk-MK"/>
        </w:rPr>
        <w:t xml:space="preserve"> </w:t>
      </w:r>
      <w:proofErr w:type="spellStart"/>
      <w:r w:rsidRPr="0064243D">
        <w:rPr>
          <w:rFonts w:ascii="Arial" w:hAnsi="Arial" w:cs="Arial"/>
          <w:lang w:val="mk-MK"/>
        </w:rPr>
        <w:t>deferred</w:t>
      </w:r>
      <w:proofErr w:type="spellEnd"/>
      <w:r w:rsidRPr="0064243D">
        <w:rPr>
          <w:rFonts w:ascii="Arial" w:hAnsi="Arial" w:cs="Arial"/>
          <w:lang w:val="mk-MK"/>
        </w:rPr>
        <w:t xml:space="preserve"> </w:t>
      </w:r>
      <w:proofErr w:type="spellStart"/>
      <w:r w:rsidRPr="0064243D">
        <w:rPr>
          <w:rFonts w:ascii="Arial" w:hAnsi="Arial" w:cs="Arial"/>
          <w:lang w:val="mk-MK"/>
        </w:rPr>
        <w:t>tax</w:t>
      </w:r>
      <w:proofErr w:type="spellEnd"/>
      <w:r w:rsidRPr="0064243D">
        <w:rPr>
          <w:rFonts w:ascii="Arial" w:hAnsi="Arial" w:cs="Arial"/>
          <w:lang w:val="mk-MK"/>
        </w:rPr>
        <w:t xml:space="preserve"> </w:t>
      </w:r>
      <w:proofErr w:type="spellStart"/>
      <w:r w:rsidRPr="0064243D">
        <w:rPr>
          <w:rFonts w:ascii="Arial" w:hAnsi="Arial" w:cs="Arial"/>
          <w:lang w:val="mk-MK"/>
        </w:rPr>
        <w:t>expense</w:t>
      </w:r>
      <w:proofErr w:type="spellEnd"/>
      <w:r w:rsidRPr="0064243D">
        <w:rPr>
          <w:rFonts w:ascii="Arial" w:hAnsi="Arial" w:cs="Arial"/>
          <w:lang w:val="mk-MK"/>
        </w:rPr>
        <w:t xml:space="preserve">. </w:t>
      </w:r>
      <w:proofErr w:type="spellStart"/>
      <w:r w:rsidRPr="0064243D">
        <w:rPr>
          <w:rFonts w:ascii="Arial" w:hAnsi="Arial" w:cs="Arial"/>
          <w:lang w:val="mk-MK"/>
        </w:rPr>
        <w:t>Deferred</w:t>
      </w:r>
      <w:proofErr w:type="spellEnd"/>
      <w:r w:rsidRPr="0064243D">
        <w:rPr>
          <w:rFonts w:ascii="Arial" w:hAnsi="Arial" w:cs="Arial"/>
          <w:lang w:val="mk-MK"/>
        </w:rPr>
        <w:t xml:space="preserve"> </w:t>
      </w:r>
      <w:proofErr w:type="spellStart"/>
      <w:r w:rsidRPr="0064243D">
        <w:rPr>
          <w:rFonts w:ascii="Arial" w:hAnsi="Arial" w:cs="Arial"/>
          <w:lang w:val="mk-MK"/>
        </w:rPr>
        <w:t>tax</w:t>
      </w:r>
      <w:proofErr w:type="spellEnd"/>
      <w:r w:rsidRPr="0064243D">
        <w:rPr>
          <w:rFonts w:ascii="Arial" w:hAnsi="Arial" w:cs="Arial"/>
          <w:lang w:val="mk-MK"/>
        </w:rPr>
        <w:t xml:space="preserve"> </w:t>
      </w:r>
      <w:proofErr w:type="spellStart"/>
      <w:r w:rsidRPr="0064243D">
        <w:rPr>
          <w:rFonts w:ascii="Arial" w:hAnsi="Arial" w:cs="Arial"/>
          <w:lang w:val="mk-MK"/>
        </w:rPr>
        <w:t>is</w:t>
      </w:r>
      <w:proofErr w:type="spellEnd"/>
      <w:r w:rsidRPr="0064243D">
        <w:rPr>
          <w:rFonts w:ascii="Arial" w:hAnsi="Arial" w:cs="Arial"/>
          <w:lang w:val="mk-MK"/>
        </w:rPr>
        <w:t xml:space="preserve"> </w:t>
      </w:r>
      <w:r>
        <w:rPr>
          <w:rFonts w:ascii="Arial" w:hAnsi="Arial" w:cs="Arial"/>
          <w:lang w:val="en-US"/>
        </w:rPr>
        <w:t>debited</w:t>
      </w:r>
      <w:r w:rsidRPr="0064243D">
        <w:rPr>
          <w:rFonts w:ascii="Arial" w:hAnsi="Arial" w:cs="Arial"/>
          <w:lang w:val="mk-MK"/>
        </w:rPr>
        <w:t xml:space="preserve"> </w:t>
      </w:r>
      <w:proofErr w:type="spellStart"/>
      <w:r w:rsidRPr="0064243D">
        <w:rPr>
          <w:rFonts w:ascii="Arial" w:hAnsi="Arial" w:cs="Arial"/>
          <w:lang w:val="mk-MK"/>
        </w:rPr>
        <w:t>or</w:t>
      </w:r>
      <w:proofErr w:type="spellEnd"/>
      <w:r w:rsidRPr="0064243D">
        <w:rPr>
          <w:rFonts w:ascii="Arial" w:hAnsi="Arial" w:cs="Arial"/>
          <w:lang w:val="mk-MK"/>
        </w:rPr>
        <w:t xml:space="preserve"> </w:t>
      </w:r>
    </w:p>
    <w:p w14:paraId="03C8EFFA" w14:textId="77777777" w:rsidR="00FD06BB" w:rsidRDefault="00FD06BB" w:rsidP="00815E65">
      <w:pPr>
        <w:pStyle w:val="BodyText"/>
        <w:jc w:val="both"/>
        <w:rPr>
          <w:rFonts w:ascii="Arial" w:hAnsi="Arial" w:cs="Arial"/>
          <w:lang w:val="mk-MK"/>
        </w:rPr>
      </w:pPr>
    </w:p>
    <w:p w14:paraId="5957C926" w14:textId="4755177E" w:rsidR="008430FA" w:rsidRPr="00CE3053" w:rsidRDefault="008430FA" w:rsidP="008430FA">
      <w:pPr>
        <w:jc w:val="both"/>
        <w:rPr>
          <w:rFonts w:ascii="Arial" w:hAnsi="Arial" w:cs="Arial"/>
          <w:b/>
          <w:bCs/>
          <w:color w:val="747678"/>
          <w:lang w:val="mk-MK"/>
        </w:rPr>
      </w:pPr>
      <w:r>
        <w:rPr>
          <w:rFonts w:ascii="Arial" w:hAnsi="Arial" w:cs="Arial"/>
          <w:b/>
          <w:bCs/>
          <w:color w:val="747678"/>
        </w:rPr>
        <w:lastRenderedPageBreak/>
        <w:t>Income tax</w:t>
      </w:r>
      <w:r w:rsidRPr="00CE3053">
        <w:rPr>
          <w:rFonts w:ascii="Arial" w:hAnsi="Arial" w:cs="Arial"/>
          <w:b/>
          <w:bCs/>
          <w:color w:val="747678"/>
          <w:lang w:val="mk-MK"/>
        </w:rPr>
        <w:t xml:space="preserve"> (</w:t>
      </w:r>
      <w:r>
        <w:rPr>
          <w:rFonts w:ascii="Arial" w:hAnsi="Arial" w:cs="Arial"/>
          <w:b/>
          <w:bCs/>
          <w:color w:val="747678"/>
        </w:rPr>
        <w:t>continued</w:t>
      </w:r>
      <w:r w:rsidRPr="00CE3053">
        <w:rPr>
          <w:rFonts w:ascii="Arial" w:hAnsi="Arial" w:cs="Arial"/>
          <w:b/>
          <w:bCs/>
          <w:color w:val="747678"/>
          <w:lang w:val="mk-MK"/>
        </w:rPr>
        <w:t>)</w:t>
      </w:r>
    </w:p>
    <w:p w14:paraId="0A9100B4" w14:textId="4EAAFF9E" w:rsidR="0064243D" w:rsidRPr="00C07E8D" w:rsidRDefault="0064243D" w:rsidP="00815E65">
      <w:pPr>
        <w:pStyle w:val="BodyText"/>
        <w:jc w:val="both"/>
        <w:rPr>
          <w:rFonts w:ascii="Arial" w:hAnsi="Arial" w:cs="Arial"/>
          <w:lang w:val="en-US"/>
        </w:rPr>
      </w:pPr>
      <w:proofErr w:type="spellStart"/>
      <w:r w:rsidRPr="0064243D">
        <w:rPr>
          <w:rFonts w:ascii="Arial" w:hAnsi="Arial" w:cs="Arial"/>
          <w:lang w:val="mk-MK"/>
        </w:rPr>
        <w:t>credited</w:t>
      </w:r>
      <w:proofErr w:type="spellEnd"/>
      <w:r w:rsidRPr="0064243D">
        <w:rPr>
          <w:rFonts w:ascii="Arial" w:hAnsi="Arial" w:cs="Arial"/>
          <w:lang w:val="mk-MK"/>
        </w:rPr>
        <w:t xml:space="preserve"> </w:t>
      </w:r>
      <w:proofErr w:type="spellStart"/>
      <w:r w:rsidRPr="0064243D">
        <w:rPr>
          <w:rFonts w:ascii="Arial" w:hAnsi="Arial" w:cs="Arial"/>
          <w:lang w:val="mk-MK"/>
        </w:rPr>
        <w:t>in</w:t>
      </w:r>
      <w:proofErr w:type="spellEnd"/>
      <w:r w:rsidRPr="0064243D">
        <w:rPr>
          <w:rFonts w:ascii="Arial" w:hAnsi="Arial" w:cs="Arial"/>
          <w:lang w:val="mk-MK"/>
        </w:rPr>
        <w:t xml:space="preserve"> </w:t>
      </w:r>
      <w:proofErr w:type="spellStart"/>
      <w:r w:rsidRPr="0064243D">
        <w:rPr>
          <w:rFonts w:ascii="Arial" w:hAnsi="Arial" w:cs="Arial"/>
          <w:lang w:val="mk-MK"/>
        </w:rPr>
        <w:t>the</w:t>
      </w:r>
      <w:proofErr w:type="spellEnd"/>
      <w:r w:rsidRPr="0064243D">
        <w:rPr>
          <w:rFonts w:ascii="Arial" w:hAnsi="Arial" w:cs="Arial"/>
          <w:lang w:val="mk-MK"/>
        </w:rPr>
        <w:t xml:space="preserve"> </w:t>
      </w:r>
      <w:proofErr w:type="spellStart"/>
      <w:r w:rsidRPr="0064243D">
        <w:rPr>
          <w:rFonts w:ascii="Arial" w:hAnsi="Arial" w:cs="Arial"/>
          <w:lang w:val="mk-MK"/>
        </w:rPr>
        <w:t>statement</w:t>
      </w:r>
      <w:proofErr w:type="spellEnd"/>
      <w:r w:rsidRPr="0064243D">
        <w:rPr>
          <w:rFonts w:ascii="Arial" w:hAnsi="Arial" w:cs="Arial"/>
          <w:lang w:val="mk-MK"/>
        </w:rPr>
        <w:t xml:space="preserve"> </w:t>
      </w:r>
      <w:proofErr w:type="spellStart"/>
      <w:r w:rsidRPr="0064243D">
        <w:rPr>
          <w:rFonts w:ascii="Arial" w:hAnsi="Arial" w:cs="Arial"/>
          <w:lang w:val="mk-MK"/>
        </w:rPr>
        <w:t>of</w:t>
      </w:r>
      <w:proofErr w:type="spellEnd"/>
      <w:r w:rsidRPr="0064243D">
        <w:rPr>
          <w:rFonts w:ascii="Arial" w:hAnsi="Arial" w:cs="Arial"/>
          <w:lang w:val="mk-MK"/>
        </w:rPr>
        <w:t xml:space="preserve"> </w:t>
      </w:r>
      <w:proofErr w:type="spellStart"/>
      <w:r w:rsidRPr="0064243D">
        <w:rPr>
          <w:rFonts w:ascii="Arial" w:hAnsi="Arial" w:cs="Arial"/>
          <w:lang w:val="mk-MK"/>
        </w:rPr>
        <w:t>comprehensive</w:t>
      </w:r>
      <w:proofErr w:type="spellEnd"/>
      <w:r w:rsidRPr="0064243D">
        <w:rPr>
          <w:rFonts w:ascii="Arial" w:hAnsi="Arial" w:cs="Arial"/>
          <w:lang w:val="mk-MK"/>
        </w:rPr>
        <w:t xml:space="preserve"> </w:t>
      </w:r>
      <w:proofErr w:type="spellStart"/>
      <w:r w:rsidRPr="0064243D">
        <w:rPr>
          <w:rFonts w:ascii="Arial" w:hAnsi="Arial" w:cs="Arial"/>
          <w:lang w:val="mk-MK"/>
        </w:rPr>
        <w:t>income</w:t>
      </w:r>
      <w:proofErr w:type="spellEnd"/>
      <w:r w:rsidRPr="0064243D">
        <w:rPr>
          <w:rFonts w:ascii="Arial" w:hAnsi="Arial" w:cs="Arial"/>
          <w:lang w:val="mk-MK"/>
        </w:rPr>
        <w:t xml:space="preserve">, </w:t>
      </w:r>
      <w:proofErr w:type="spellStart"/>
      <w:r w:rsidRPr="0064243D">
        <w:rPr>
          <w:rFonts w:ascii="Arial" w:hAnsi="Arial" w:cs="Arial"/>
          <w:lang w:val="mk-MK"/>
        </w:rPr>
        <w:t>except</w:t>
      </w:r>
      <w:proofErr w:type="spellEnd"/>
      <w:r w:rsidRPr="0064243D">
        <w:rPr>
          <w:rFonts w:ascii="Arial" w:hAnsi="Arial" w:cs="Arial"/>
          <w:lang w:val="mk-MK"/>
        </w:rPr>
        <w:t xml:space="preserve"> </w:t>
      </w:r>
      <w:proofErr w:type="spellStart"/>
      <w:r w:rsidRPr="0064243D">
        <w:rPr>
          <w:rFonts w:ascii="Arial" w:hAnsi="Arial" w:cs="Arial"/>
          <w:lang w:val="mk-MK"/>
        </w:rPr>
        <w:t>when</w:t>
      </w:r>
      <w:proofErr w:type="spellEnd"/>
      <w:r w:rsidRPr="0064243D">
        <w:rPr>
          <w:rFonts w:ascii="Arial" w:hAnsi="Arial" w:cs="Arial"/>
          <w:lang w:val="mk-MK"/>
        </w:rPr>
        <w:t xml:space="preserve"> </w:t>
      </w:r>
      <w:proofErr w:type="spellStart"/>
      <w:r w:rsidRPr="0064243D">
        <w:rPr>
          <w:rFonts w:ascii="Arial" w:hAnsi="Arial" w:cs="Arial"/>
          <w:lang w:val="mk-MK"/>
        </w:rPr>
        <w:t>it</w:t>
      </w:r>
      <w:proofErr w:type="spellEnd"/>
      <w:r w:rsidRPr="0064243D">
        <w:rPr>
          <w:rFonts w:ascii="Arial" w:hAnsi="Arial" w:cs="Arial"/>
          <w:lang w:val="mk-MK"/>
        </w:rPr>
        <w:t xml:space="preserve"> </w:t>
      </w:r>
      <w:proofErr w:type="spellStart"/>
      <w:r w:rsidRPr="0064243D">
        <w:rPr>
          <w:rFonts w:ascii="Arial" w:hAnsi="Arial" w:cs="Arial"/>
          <w:lang w:val="mk-MK"/>
        </w:rPr>
        <w:t>relates</w:t>
      </w:r>
      <w:proofErr w:type="spellEnd"/>
      <w:r w:rsidRPr="0064243D">
        <w:rPr>
          <w:rFonts w:ascii="Arial" w:hAnsi="Arial" w:cs="Arial"/>
          <w:lang w:val="mk-MK"/>
        </w:rPr>
        <w:t xml:space="preserve"> </w:t>
      </w:r>
      <w:proofErr w:type="spellStart"/>
      <w:r w:rsidRPr="0064243D">
        <w:rPr>
          <w:rFonts w:ascii="Arial" w:hAnsi="Arial" w:cs="Arial"/>
          <w:lang w:val="mk-MK"/>
        </w:rPr>
        <w:t>to</w:t>
      </w:r>
      <w:proofErr w:type="spellEnd"/>
      <w:r w:rsidRPr="0064243D">
        <w:rPr>
          <w:rFonts w:ascii="Arial" w:hAnsi="Arial" w:cs="Arial"/>
          <w:lang w:val="mk-MK"/>
        </w:rPr>
        <w:t xml:space="preserve"> </w:t>
      </w:r>
      <w:proofErr w:type="spellStart"/>
      <w:r w:rsidRPr="0064243D">
        <w:rPr>
          <w:rFonts w:ascii="Arial" w:hAnsi="Arial" w:cs="Arial"/>
          <w:lang w:val="mk-MK"/>
        </w:rPr>
        <w:t>items</w:t>
      </w:r>
      <w:proofErr w:type="spellEnd"/>
      <w:r w:rsidRPr="0064243D">
        <w:rPr>
          <w:rFonts w:ascii="Arial" w:hAnsi="Arial" w:cs="Arial"/>
          <w:lang w:val="mk-MK"/>
        </w:rPr>
        <w:t xml:space="preserve"> </w:t>
      </w:r>
      <w:r>
        <w:rPr>
          <w:rFonts w:ascii="Arial" w:hAnsi="Arial" w:cs="Arial"/>
          <w:lang w:val="en-US"/>
        </w:rPr>
        <w:t xml:space="preserve">debited </w:t>
      </w:r>
      <w:proofErr w:type="spellStart"/>
      <w:r w:rsidRPr="0064243D">
        <w:rPr>
          <w:rFonts w:ascii="Arial" w:hAnsi="Arial" w:cs="Arial"/>
          <w:lang w:val="mk-MK"/>
        </w:rPr>
        <w:t>or</w:t>
      </w:r>
      <w:proofErr w:type="spellEnd"/>
      <w:r w:rsidRPr="0064243D">
        <w:rPr>
          <w:rFonts w:ascii="Arial" w:hAnsi="Arial" w:cs="Arial"/>
          <w:lang w:val="mk-MK"/>
        </w:rPr>
        <w:t xml:space="preserve"> </w:t>
      </w:r>
      <w:proofErr w:type="spellStart"/>
      <w:r w:rsidRPr="0064243D">
        <w:rPr>
          <w:rFonts w:ascii="Arial" w:hAnsi="Arial" w:cs="Arial"/>
          <w:lang w:val="mk-MK"/>
        </w:rPr>
        <w:t>credited</w:t>
      </w:r>
      <w:proofErr w:type="spellEnd"/>
      <w:r w:rsidRPr="0064243D">
        <w:rPr>
          <w:rFonts w:ascii="Arial" w:hAnsi="Arial" w:cs="Arial"/>
          <w:lang w:val="mk-MK"/>
        </w:rPr>
        <w:t xml:space="preserve"> </w:t>
      </w:r>
      <w:proofErr w:type="spellStart"/>
      <w:r w:rsidRPr="0064243D">
        <w:rPr>
          <w:rFonts w:ascii="Arial" w:hAnsi="Arial" w:cs="Arial"/>
          <w:lang w:val="mk-MK"/>
        </w:rPr>
        <w:t>directly</w:t>
      </w:r>
      <w:proofErr w:type="spellEnd"/>
      <w:r w:rsidRPr="0064243D">
        <w:rPr>
          <w:rFonts w:ascii="Arial" w:hAnsi="Arial" w:cs="Arial"/>
          <w:lang w:val="mk-MK"/>
        </w:rPr>
        <w:t xml:space="preserve"> </w:t>
      </w:r>
      <w:proofErr w:type="spellStart"/>
      <w:r w:rsidRPr="0064243D">
        <w:rPr>
          <w:rFonts w:ascii="Arial" w:hAnsi="Arial" w:cs="Arial"/>
          <w:lang w:val="mk-MK"/>
        </w:rPr>
        <w:t>to</w:t>
      </w:r>
      <w:proofErr w:type="spellEnd"/>
      <w:r w:rsidRPr="0064243D">
        <w:rPr>
          <w:rFonts w:ascii="Arial" w:hAnsi="Arial" w:cs="Arial"/>
          <w:lang w:val="mk-MK"/>
        </w:rPr>
        <w:t xml:space="preserve"> </w:t>
      </w:r>
      <w:proofErr w:type="spellStart"/>
      <w:r w:rsidRPr="0064243D">
        <w:rPr>
          <w:rFonts w:ascii="Arial" w:hAnsi="Arial" w:cs="Arial"/>
          <w:lang w:val="mk-MK"/>
        </w:rPr>
        <w:t>equity</w:t>
      </w:r>
      <w:proofErr w:type="spellEnd"/>
      <w:r w:rsidRPr="0064243D">
        <w:rPr>
          <w:rFonts w:ascii="Arial" w:hAnsi="Arial" w:cs="Arial"/>
          <w:lang w:val="mk-MK"/>
        </w:rPr>
        <w:t xml:space="preserve">, </w:t>
      </w:r>
      <w:proofErr w:type="spellStart"/>
      <w:r w:rsidRPr="0064243D">
        <w:rPr>
          <w:rFonts w:ascii="Arial" w:hAnsi="Arial" w:cs="Arial"/>
          <w:lang w:val="mk-MK"/>
        </w:rPr>
        <w:t>in</w:t>
      </w:r>
      <w:proofErr w:type="spellEnd"/>
      <w:r w:rsidRPr="0064243D">
        <w:rPr>
          <w:rFonts w:ascii="Arial" w:hAnsi="Arial" w:cs="Arial"/>
          <w:lang w:val="mk-MK"/>
        </w:rPr>
        <w:t xml:space="preserve"> </w:t>
      </w:r>
      <w:proofErr w:type="spellStart"/>
      <w:r w:rsidRPr="0064243D">
        <w:rPr>
          <w:rFonts w:ascii="Arial" w:hAnsi="Arial" w:cs="Arial"/>
          <w:lang w:val="mk-MK"/>
        </w:rPr>
        <w:t>which</w:t>
      </w:r>
      <w:proofErr w:type="spellEnd"/>
      <w:r w:rsidRPr="0064243D">
        <w:rPr>
          <w:rFonts w:ascii="Arial" w:hAnsi="Arial" w:cs="Arial"/>
          <w:lang w:val="mk-MK"/>
        </w:rPr>
        <w:t xml:space="preserve"> </w:t>
      </w:r>
      <w:proofErr w:type="spellStart"/>
      <w:r w:rsidRPr="0064243D">
        <w:rPr>
          <w:rFonts w:ascii="Arial" w:hAnsi="Arial" w:cs="Arial"/>
          <w:lang w:val="mk-MK"/>
        </w:rPr>
        <w:t>case</w:t>
      </w:r>
      <w:proofErr w:type="spellEnd"/>
      <w:r w:rsidRPr="0064243D">
        <w:rPr>
          <w:rFonts w:ascii="Arial" w:hAnsi="Arial" w:cs="Arial"/>
          <w:lang w:val="mk-MK"/>
        </w:rPr>
        <w:t xml:space="preserve"> </w:t>
      </w:r>
      <w:proofErr w:type="spellStart"/>
      <w:r w:rsidRPr="0064243D">
        <w:rPr>
          <w:rFonts w:ascii="Arial" w:hAnsi="Arial" w:cs="Arial"/>
          <w:lang w:val="mk-MK"/>
        </w:rPr>
        <w:t>the</w:t>
      </w:r>
      <w:proofErr w:type="spellEnd"/>
      <w:r w:rsidRPr="0064243D">
        <w:rPr>
          <w:rFonts w:ascii="Arial" w:hAnsi="Arial" w:cs="Arial"/>
          <w:lang w:val="mk-MK"/>
        </w:rPr>
        <w:t xml:space="preserve"> </w:t>
      </w:r>
      <w:proofErr w:type="spellStart"/>
      <w:r w:rsidRPr="0064243D">
        <w:rPr>
          <w:rFonts w:ascii="Arial" w:hAnsi="Arial" w:cs="Arial"/>
          <w:lang w:val="mk-MK"/>
        </w:rPr>
        <w:t>deferred</w:t>
      </w:r>
      <w:proofErr w:type="spellEnd"/>
      <w:r w:rsidRPr="0064243D">
        <w:rPr>
          <w:rFonts w:ascii="Arial" w:hAnsi="Arial" w:cs="Arial"/>
          <w:lang w:val="mk-MK"/>
        </w:rPr>
        <w:t xml:space="preserve"> </w:t>
      </w:r>
      <w:proofErr w:type="spellStart"/>
      <w:r w:rsidRPr="0064243D">
        <w:rPr>
          <w:rFonts w:ascii="Arial" w:hAnsi="Arial" w:cs="Arial"/>
          <w:lang w:val="mk-MK"/>
        </w:rPr>
        <w:t>tax</w:t>
      </w:r>
      <w:proofErr w:type="spellEnd"/>
      <w:r w:rsidRPr="0064243D">
        <w:rPr>
          <w:rFonts w:ascii="Arial" w:hAnsi="Arial" w:cs="Arial"/>
          <w:lang w:val="mk-MK"/>
        </w:rPr>
        <w:t xml:space="preserve"> </w:t>
      </w:r>
      <w:proofErr w:type="spellStart"/>
      <w:r w:rsidRPr="0064243D">
        <w:rPr>
          <w:rFonts w:ascii="Arial" w:hAnsi="Arial" w:cs="Arial"/>
          <w:lang w:val="mk-MK"/>
        </w:rPr>
        <w:t>is</w:t>
      </w:r>
      <w:proofErr w:type="spellEnd"/>
      <w:r w:rsidRPr="0064243D">
        <w:rPr>
          <w:rFonts w:ascii="Arial" w:hAnsi="Arial" w:cs="Arial"/>
          <w:lang w:val="mk-MK"/>
        </w:rPr>
        <w:t xml:space="preserve"> </w:t>
      </w:r>
      <w:proofErr w:type="spellStart"/>
      <w:r w:rsidRPr="0064243D">
        <w:rPr>
          <w:rFonts w:ascii="Arial" w:hAnsi="Arial" w:cs="Arial"/>
          <w:lang w:val="mk-MK"/>
        </w:rPr>
        <w:t>also</w:t>
      </w:r>
      <w:proofErr w:type="spellEnd"/>
      <w:r w:rsidRPr="0064243D">
        <w:rPr>
          <w:rFonts w:ascii="Arial" w:hAnsi="Arial" w:cs="Arial"/>
          <w:lang w:val="mk-MK"/>
        </w:rPr>
        <w:t xml:space="preserve"> </w:t>
      </w:r>
      <w:proofErr w:type="spellStart"/>
      <w:r w:rsidRPr="0064243D">
        <w:rPr>
          <w:rFonts w:ascii="Arial" w:hAnsi="Arial" w:cs="Arial"/>
          <w:lang w:val="mk-MK"/>
        </w:rPr>
        <w:t>dealt</w:t>
      </w:r>
      <w:proofErr w:type="spellEnd"/>
      <w:r w:rsidRPr="0064243D">
        <w:rPr>
          <w:rFonts w:ascii="Arial" w:hAnsi="Arial" w:cs="Arial"/>
          <w:lang w:val="mk-MK"/>
        </w:rPr>
        <w:t xml:space="preserve"> </w:t>
      </w:r>
      <w:proofErr w:type="spellStart"/>
      <w:r w:rsidRPr="0064243D">
        <w:rPr>
          <w:rFonts w:ascii="Arial" w:hAnsi="Arial" w:cs="Arial"/>
          <w:lang w:val="mk-MK"/>
        </w:rPr>
        <w:t>with</w:t>
      </w:r>
      <w:proofErr w:type="spellEnd"/>
      <w:r w:rsidRPr="0064243D">
        <w:rPr>
          <w:rFonts w:ascii="Arial" w:hAnsi="Arial" w:cs="Arial"/>
          <w:lang w:val="mk-MK"/>
        </w:rPr>
        <w:t xml:space="preserve"> </w:t>
      </w:r>
      <w:proofErr w:type="spellStart"/>
      <w:r w:rsidRPr="0064243D">
        <w:rPr>
          <w:rFonts w:ascii="Arial" w:hAnsi="Arial" w:cs="Arial"/>
          <w:lang w:val="mk-MK"/>
        </w:rPr>
        <w:t>in</w:t>
      </w:r>
      <w:proofErr w:type="spellEnd"/>
      <w:r w:rsidRPr="0064243D">
        <w:rPr>
          <w:rFonts w:ascii="Arial" w:hAnsi="Arial" w:cs="Arial"/>
          <w:lang w:val="mk-MK"/>
        </w:rPr>
        <w:t xml:space="preserve"> </w:t>
      </w:r>
      <w:proofErr w:type="spellStart"/>
      <w:r w:rsidRPr="0064243D">
        <w:rPr>
          <w:rFonts w:ascii="Arial" w:hAnsi="Arial" w:cs="Arial"/>
          <w:lang w:val="mk-MK"/>
        </w:rPr>
        <w:t>equity</w:t>
      </w:r>
      <w:proofErr w:type="spellEnd"/>
      <w:r w:rsidR="00C07E8D">
        <w:rPr>
          <w:rFonts w:ascii="Arial" w:hAnsi="Arial" w:cs="Arial"/>
          <w:lang w:val="en-US"/>
        </w:rPr>
        <w:t>.</w:t>
      </w:r>
    </w:p>
    <w:p w14:paraId="14442F2E" w14:textId="77777777" w:rsidR="00937590" w:rsidRDefault="00937590" w:rsidP="00815E65">
      <w:pPr>
        <w:pStyle w:val="BodyText"/>
        <w:jc w:val="both"/>
        <w:rPr>
          <w:rFonts w:ascii="Arial" w:hAnsi="Arial" w:cs="Arial"/>
          <w:lang w:val="mk-MK"/>
        </w:rPr>
      </w:pPr>
      <w:proofErr w:type="spellStart"/>
      <w:r w:rsidRPr="00937590">
        <w:rPr>
          <w:rFonts w:ascii="Arial" w:hAnsi="Arial" w:cs="Arial"/>
          <w:lang w:val="mk-MK"/>
        </w:rPr>
        <w:t>Deferred</w:t>
      </w:r>
      <w:proofErr w:type="spellEnd"/>
      <w:r w:rsidRPr="00937590">
        <w:rPr>
          <w:rFonts w:ascii="Arial" w:hAnsi="Arial" w:cs="Arial"/>
          <w:lang w:val="mk-MK"/>
        </w:rPr>
        <w:t xml:space="preserve"> </w:t>
      </w:r>
      <w:proofErr w:type="spellStart"/>
      <w:r w:rsidRPr="00937590">
        <w:rPr>
          <w:rFonts w:ascii="Arial" w:hAnsi="Arial" w:cs="Arial"/>
          <w:lang w:val="mk-MK"/>
        </w:rPr>
        <w:t>tax</w:t>
      </w:r>
      <w:proofErr w:type="spellEnd"/>
      <w:r w:rsidRPr="00937590">
        <w:rPr>
          <w:rFonts w:ascii="Arial" w:hAnsi="Arial" w:cs="Arial"/>
          <w:lang w:val="mk-MK"/>
        </w:rPr>
        <w:t xml:space="preserve"> </w:t>
      </w:r>
      <w:proofErr w:type="spellStart"/>
      <w:r w:rsidRPr="00937590">
        <w:rPr>
          <w:rFonts w:ascii="Arial" w:hAnsi="Arial" w:cs="Arial"/>
          <w:lang w:val="mk-MK"/>
        </w:rPr>
        <w:t>assets</w:t>
      </w:r>
      <w:proofErr w:type="spellEnd"/>
      <w:r w:rsidRPr="00937590">
        <w:rPr>
          <w:rFonts w:ascii="Arial" w:hAnsi="Arial" w:cs="Arial"/>
          <w:lang w:val="mk-MK"/>
        </w:rPr>
        <w:t xml:space="preserve"> </w:t>
      </w:r>
      <w:proofErr w:type="spellStart"/>
      <w:r w:rsidRPr="00937590">
        <w:rPr>
          <w:rFonts w:ascii="Arial" w:hAnsi="Arial" w:cs="Arial"/>
          <w:lang w:val="mk-MK"/>
        </w:rPr>
        <w:t>are</w:t>
      </w:r>
      <w:proofErr w:type="spellEnd"/>
      <w:r w:rsidRPr="00937590">
        <w:rPr>
          <w:rFonts w:ascii="Arial" w:hAnsi="Arial" w:cs="Arial"/>
          <w:lang w:val="mk-MK"/>
        </w:rPr>
        <w:t xml:space="preserve"> </w:t>
      </w:r>
      <w:proofErr w:type="spellStart"/>
      <w:r w:rsidRPr="00937590">
        <w:rPr>
          <w:rFonts w:ascii="Arial" w:hAnsi="Arial" w:cs="Arial"/>
          <w:lang w:val="mk-MK"/>
        </w:rPr>
        <w:t>recognized</w:t>
      </w:r>
      <w:proofErr w:type="spellEnd"/>
      <w:r w:rsidRPr="00937590">
        <w:rPr>
          <w:rFonts w:ascii="Arial" w:hAnsi="Arial" w:cs="Arial"/>
          <w:lang w:val="mk-MK"/>
        </w:rPr>
        <w:t xml:space="preserve"> </w:t>
      </w:r>
      <w:proofErr w:type="spellStart"/>
      <w:r w:rsidRPr="00937590">
        <w:rPr>
          <w:rFonts w:ascii="Arial" w:hAnsi="Arial" w:cs="Arial"/>
          <w:lang w:val="mk-MK"/>
        </w:rPr>
        <w:t>to</w:t>
      </w:r>
      <w:proofErr w:type="spellEnd"/>
      <w:r w:rsidRPr="00937590">
        <w:rPr>
          <w:rFonts w:ascii="Arial" w:hAnsi="Arial" w:cs="Arial"/>
          <w:lang w:val="mk-MK"/>
        </w:rPr>
        <w:t xml:space="preserve"> </w:t>
      </w:r>
      <w:proofErr w:type="spellStart"/>
      <w:r w:rsidRPr="00937590">
        <w:rPr>
          <w:rFonts w:ascii="Arial" w:hAnsi="Arial" w:cs="Arial"/>
          <w:lang w:val="mk-MK"/>
        </w:rPr>
        <w:t>the</w:t>
      </w:r>
      <w:proofErr w:type="spellEnd"/>
      <w:r w:rsidRPr="00937590">
        <w:rPr>
          <w:rFonts w:ascii="Arial" w:hAnsi="Arial" w:cs="Arial"/>
          <w:lang w:val="mk-MK"/>
        </w:rPr>
        <w:t xml:space="preserve"> </w:t>
      </w:r>
      <w:proofErr w:type="spellStart"/>
      <w:r w:rsidRPr="00937590">
        <w:rPr>
          <w:rFonts w:ascii="Arial" w:hAnsi="Arial" w:cs="Arial"/>
          <w:lang w:val="mk-MK"/>
        </w:rPr>
        <w:t>extent</w:t>
      </w:r>
      <w:proofErr w:type="spellEnd"/>
      <w:r w:rsidRPr="00937590">
        <w:rPr>
          <w:rFonts w:ascii="Arial" w:hAnsi="Arial" w:cs="Arial"/>
          <w:lang w:val="mk-MK"/>
        </w:rPr>
        <w:t xml:space="preserve"> </w:t>
      </w:r>
      <w:proofErr w:type="spellStart"/>
      <w:r w:rsidRPr="00937590">
        <w:rPr>
          <w:rFonts w:ascii="Arial" w:hAnsi="Arial" w:cs="Arial"/>
          <w:lang w:val="mk-MK"/>
        </w:rPr>
        <w:t>that</w:t>
      </w:r>
      <w:proofErr w:type="spellEnd"/>
      <w:r w:rsidRPr="00937590">
        <w:rPr>
          <w:rFonts w:ascii="Arial" w:hAnsi="Arial" w:cs="Arial"/>
          <w:lang w:val="mk-MK"/>
        </w:rPr>
        <w:t xml:space="preserve"> </w:t>
      </w:r>
      <w:proofErr w:type="spellStart"/>
      <w:r w:rsidRPr="00937590">
        <w:rPr>
          <w:rFonts w:ascii="Arial" w:hAnsi="Arial" w:cs="Arial"/>
          <w:lang w:val="mk-MK"/>
        </w:rPr>
        <w:t>it</w:t>
      </w:r>
      <w:proofErr w:type="spellEnd"/>
      <w:r w:rsidRPr="00937590">
        <w:rPr>
          <w:rFonts w:ascii="Arial" w:hAnsi="Arial" w:cs="Arial"/>
          <w:lang w:val="mk-MK"/>
        </w:rPr>
        <w:t xml:space="preserve"> </w:t>
      </w:r>
      <w:proofErr w:type="spellStart"/>
      <w:r w:rsidRPr="00937590">
        <w:rPr>
          <w:rFonts w:ascii="Arial" w:hAnsi="Arial" w:cs="Arial"/>
          <w:lang w:val="mk-MK"/>
        </w:rPr>
        <w:t>is</w:t>
      </w:r>
      <w:proofErr w:type="spellEnd"/>
      <w:r w:rsidRPr="00937590">
        <w:rPr>
          <w:rFonts w:ascii="Arial" w:hAnsi="Arial" w:cs="Arial"/>
          <w:lang w:val="mk-MK"/>
        </w:rPr>
        <w:t xml:space="preserve"> </w:t>
      </w:r>
      <w:proofErr w:type="spellStart"/>
      <w:r w:rsidRPr="00937590">
        <w:rPr>
          <w:rFonts w:ascii="Arial" w:hAnsi="Arial" w:cs="Arial"/>
          <w:lang w:val="mk-MK"/>
        </w:rPr>
        <w:t>probable</w:t>
      </w:r>
      <w:proofErr w:type="spellEnd"/>
      <w:r w:rsidRPr="00937590">
        <w:rPr>
          <w:rFonts w:ascii="Arial" w:hAnsi="Arial" w:cs="Arial"/>
          <w:lang w:val="mk-MK"/>
        </w:rPr>
        <w:t xml:space="preserve"> </w:t>
      </w:r>
      <w:proofErr w:type="spellStart"/>
      <w:r w:rsidRPr="00937590">
        <w:rPr>
          <w:rFonts w:ascii="Arial" w:hAnsi="Arial" w:cs="Arial"/>
          <w:lang w:val="mk-MK"/>
        </w:rPr>
        <w:t>that</w:t>
      </w:r>
      <w:proofErr w:type="spellEnd"/>
      <w:r w:rsidRPr="00937590">
        <w:rPr>
          <w:rFonts w:ascii="Arial" w:hAnsi="Arial" w:cs="Arial"/>
          <w:lang w:val="mk-MK"/>
        </w:rPr>
        <w:t xml:space="preserve"> </w:t>
      </w:r>
      <w:proofErr w:type="spellStart"/>
      <w:r w:rsidRPr="00937590">
        <w:rPr>
          <w:rFonts w:ascii="Arial" w:hAnsi="Arial" w:cs="Arial"/>
          <w:lang w:val="mk-MK"/>
        </w:rPr>
        <w:t>future</w:t>
      </w:r>
      <w:proofErr w:type="spellEnd"/>
      <w:r w:rsidRPr="00937590">
        <w:rPr>
          <w:rFonts w:ascii="Arial" w:hAnsi="Arial" w:cs="Arial"/>
          <w:lang w:val="mk-MK"/>
        </w:rPr>
        <w:t xml:space="preserve"> </w:t>
      </w:r>
      <w:proofErr w:type="spellStart"/>
      <w:r w:rsidRPr="00937590">
        <w:rPr>
          <w:rFonts w:ascii="Arial" w:hAnsi="Arial" w:cs="Arial"/>
          <w:lang w:val="mk-MK"/>
        </w:rPr>
        <w:t>taxable</w:t>
      </w:r>
      <w:proofErr w:type="spellEnd"/>
      <w:r w:rsidRPr="00937590">
        <w:rPr>
          <w:rFonts w:ascii="Arial" w:hAnsi="Arial" w:cs="Arial"/>
          <w:lang w:val="mk-MK"/>
        </w:rPr>
        <w:t xml:space="preserve"> </w:t>
      </w:r>
      <w:proofErr w:type="spellStart"/>
      <w:r w:rsidRPr="00937590">
        <w:rPr>
          <w:rFonts w:ascii="Arial" w:hAnsi="Arial" w:cs="Arial"/>
          <w:lang w:val="mk-MK"/>
        </w:rPr>
        <w:t>profit</w:t>
      </w:r>
      <w:proofErr w:type="spellEnd"/>
      <w:r w:rsidRPr="00937590">
        <w:rPr>
          <w:rFonts w:ascii="Arial" w:hAnsi="Arial" w:cs="Arial"/>
          <w:lang w:val="mk-MK"/>
        </w:rPr>
        <w:t xml:space="preserve"> </w:t>
      </w:r>
      <w:proofErr w:type="spellStart"/>
      <w:r w:rsidRPr="00937590">
        <w:rPr>
          <w:rFonts w:ascii="Arial" w:hAnsi="Arial" w:cs="Arial"/>
          <w:lang w:val="mk-MK"/>
        </w:rPr>
        <w:t>will</w:t>
      </w:r>
      <w:proofErr w:type="spellEnd"/>
      <w:r w:rsidRPr="00937590">
        <w:rPr>
          <w:rFonts w:ascii="Arial" w:hAnsi="Arial" w:cs="Arial"/>
          <w:lang w:val="mk-MK"/>
        </w:rPr>
        <w:t xml:space="preserve"> </w:t>
      </w:r>
      <w:proofErr w:type="spellStart"/>
      <w:r w:rsidRPr="00937590">
        <w:rPr>
          <w:rFonts w:ascii="Arial" w:hAnsi="Arial" w:cs="Arial"/>
          <w:lang w:val="mk-MK"/>
        </w:rPr>
        <w:t>be</w:t>
      </w:r>
      <w:proofErr w:type="spellEnd"/>
      <w:r w:rsidRPr="00937590">
        <w:rPr>
          <w:rFonts w:ascii="Arial" w:hAnsi="Arial" w:cs="Arial"/>
          <w:lang w:val="mk-MK"/>
        </w:rPr>
        <w:t xml:space="preserve"> </w:t>
      </w:r>
      <w:proofErr w:type="spellStart"/>
      <w:r w:rsidRPr="00937590">
        <w:rPr>
          <w:rFonts w:ascii="Arial" w:hAnsi="Arial" w:cs="Arial"/>
          <w:lang w:val="mk-MK"/>
        </w:rPr>
        <w:t>available</w:t>
      </w:r>
      <w:proofErr w:type="spellEnd"/>
      <w:r w:rsidRPr="00937590">
        <w:rPr>
          <w:rFonts w:ascii="Arial" w:hAnsi="Arial" w:cs="Arial"/>
          <w:lang w:val="mk-MK"/>
        </w:rPr>
        <w:t xml:space="preserve">, </w:t>
      </w:r>
      <w:proofErr w:type="spellStart"/>
      <w:r w:rsidRPr="00937590">
        <w:rPr>
          <w:rFonts w:ascii="Arial" w:hAnsi="Arial" w:cs="Arial"/>
          <w:lang w:val="mk-MK"/>
        </w:rPr>
        <w:t>against</w:t>
      </w:r>
      <w:proofErr w:type="spellEnd"/>
      <w:r w:rsidRPr="00937590">
        <w:rPr>
          <w:rFonts w:ascii="Arial" w:hAnsi="Arial" w:cs="Arial"/>
          <w:lang w:val="mk-MK"/>
        </w:rPr>
        <w:t xml:space="preserve"> </w:t>
      </w:r>
      <w:proofErr w:type="spellStart"/>
      <w:r w:rsidRPr="00937590">
        <w:rPr>
          <w:rFonts w:ascii="Arial" w:hAnsi="Arial" w:cs="Arial"/>
          <w:lang w:val="mk-MK"/>
        </w:rPr>
        <w:t>which</w:t>
      </w:r>
      <w:proofErr w:type="spellEnd"/>
      <w:r w:rsidRPr="00937590">
        <w:rPr>
          <w:rFonts w:ascii="Arial" w:hAnsi="Arial" w:cs="Arial"/>
          <w:lang w:val="mk-MK"/>
        </w:rPr>
        <w:t xml:space="preserve"> </w:t>
      </w:r>
      <w:proofErr w:type="spellStart"/>
      <w:r w:rsidRPr="00937590">
        <w:rPr>
          <w:rFonts w:ascii="Arial" w:hAnsi="Arial" w:cs="Arial"/>
          <w:lang w:val="mk-MK"/>
        </w:rPr>
        <w:t>the</w:t>
      </w:r>
      <w:proofErr w:type="spellEnd"/>
      <w:r w:rsidRPr="00937590">
        <w:rPr>
          <w:rFonts w:ascii="Arial" w:hAnsi="Arial" w:cs="Arial"/>
          <w:lang w:val="mk-MK"/>
        </w:rPr>
        <w:t xml:space="preserve"> </w:t>
      </w:r>
      <w:proofErr w:type="spellStart"/>
      <w:r w:rsidRPr="00937590">
        <w:rPr>
          <w:rFonts w:ascii="Arial" w:hAnsi="Arial" w:cs="Arial"/>
          <w:lang w:val="mk-MK"/>
        </w:rPr>
        <w:t>temporary</w:t>
      </w:r>
      <w:proofErr w:type="spellEnd"/>
      <w:r w:rsidRPr="00937590">
        <w:rPr>
          <w:rFonts w:ascii="Arial" w:hAnsi="Arial" w:cs="Arial"/>
          <w:lang w:val="mk-MK"/>
        </w:rPr>
        <w:t xml:space="preserve"> </w:t>
      </w:r>
      <w:proofErr w:type="spellStart"/>
      <w:r w:rsidRPr="00937590">
        <w:rPr>
          <w:rFonts w:ascii="Arial" w:hAnsi="Arial" w:cs="Arial"/>
          <w:lang w:val="mk-MK"/>
        </w:rPr>
        <w:t>differences</w:t>
      </w:r>
      <w:proofErr w:type="spellEnd"/>
      <w:r w:rsidRPr="00937590">
        <w:rPr>
          <w:rFonts w:ascii="Arial" w:hAnsi="Arial" w:cs="Arial"/>
          <w:lang w:val="mk-MK"/>
        </w:rPr>
        <w:t xml:space="preserve"> </w:t>
      </w:r>
      <w:proofErr w:type="spellStart"/>
      <w:r w:rsidRPr="00937590">
        <w:rPr>
          <w:rFonts w:ascii="Arial" w:hAnsi="Arial" w:cs="Arial"/>
          <w:lang w:val="mk-MK"/>
        </w:rPr>
        <w:t>can</w:t>
      </w:r>
      <w:proofErr w:type="spellEnd"/>
      <w:r w:rsidRPr="00937590">
        <w:rPr>
          <w:rFonts w:ascii="Arial" w:hAnsi="Arial" w:cs="Arial"/>
          <w:lang w:val="mk-MK"/>
        </w:rPr>
        <w:t xml:space="preserve"> </w:t>
      </w:r>
      <w:proofErr w:type="spellStart"/>
      <w:r w:rsidRPr="00937590">
        <w:rPr>
          <w:rFonts w:ascii="Arial" w:hAnsi="Arial" w:cs="Arial"/>
          <w:lang w:val="mk-MK"/>
        </w:rPr>
        <w:t>be</w:t>
      </w:r>
      <w:proofErr w:type="spellEnd"/>
      <w:r w:rsidRPr="00937590">
        <w:rPr>
          <w:rFonts w:ascii="Arial" w:hAnsi="Arial" w:cs="Arial"/>
          <w:lang w:val="mk-MK"/>
        </w:rPr>
        <w:t xml:space="preserve"> </w:t>
      </w:r>
      <w:proofErr w:type="spellStart"/>
      <w:r w:rsidRPr="00937590">
        <w:rPr>
          <w:rFonts w:ascii="Arial" w:hAnsi="Arial" w:cs="Arial"/>
          <w:lang w:val="mk-MK"/>
        </w:rPr>
        <w:t>utilized</w:t>
      </w:r>
      <w:proofErr w:type="spellEnd"/>
      <w:r w:rsidRPr="00937590">
        <w:rPr>
          <w:rFonts w:ascii="Arial" w:hAnsi="Arial" w:cs="Arial"/>
          <w:lang w:val="mk-MK"/>
        </w:rPr>
        <w:t xml:space="preserve">.   </w:t>
      </w:r>
    </w:p>
    <w:p w14:paraId="4A5EBFAB" w14:textId="27D4C828" w:rsidR="00815E65" w:rsidRPr="00194070" w:rsidRDefault="00937590" w:rsidP="00815E65">
      <w:pPr>
        <w:pStyle w:val="BodyText"/>
        <w:jc w:val="both"/>
        <w:rPr>
          <w:rFonts w:ascii="Arial" w:hAnsi="Arial" w:cs="Arial"/>
          <w:lang w:val="en-US"/>
        </w:rPr>
      </w:pPr>
      <w:proofErr w:type="spellStart"/>
      <w:r w:rsidRPr="00937590">
        <w:rPr>
          <w:rFonts w:ascii="Arial" w:hAnsi="Arial" w:cs="Arial"/>
          <w:lang w:val="mk-MK"/>
        </w:rPr>
        <w:t>The</w:t>
      </w:r>
      <w:proofErr w:type="spellEnd"/>
      <w:r w:rsidRPr="00937590">
        <w:rPr>
          <w:rFonts w:ascii="Arial" w:hAnsi="Arial" w:cs="Arial"/>
          <w:lang w:val="mk-MK"/>
        </w:rPr>
        <w:t xml:space="preserve"> </w:t>
      </w:r>
      <w:proofErr w:type="spellStart"/>
      <w:r w:rsidRPr="00937590">
        <w:rPr>
          <w:rFonts w:ascii="Arial" w:hAnsi="Arial" w:cs="Arial"/>
          <w:lang w:val="mk-MK"/>
        </w:rPr>
        <w:t>Fund</w:t>
      </w:r>
      <w:proofErr w:type="spellEnd"/>
      <w:r w:rsidRPr="00937590">
        <w:rPr>
          <w:rFonts w:ascii="Arial" w:hAnsi="Arial" w:cs="Arial"/>
          <w:lang w:val="mk-MK"/>
        </w:rPr>
        <w:t xml:space="preserve"> </w:t>
      </w:r>
      <w:proofErr w:type="spellStart"/>
      <w:r w:rsidRPr="00937590">
        <w:rPr>
          <w:rFonts w:ascii="Arial" w:hAnsi="Arial" w:cs="Arial"/>
          <w:lang w:val="mk-MK"/>
        </w:rPr>
        <w:t>has</w:t>
      </w:r>
      <w:proofErr w:type="spellEnd"/>
      <w:r w:rsidRPr="00937590">
        <w:rPr>
          <w:rFonts w:ascii="Arial" w:hAnsi="Arial" w:cs="Arial"/>
          <w:lang w:val="mk-MK"/>
        </w:rPr>
        <w:t xml:space="preserve"> </w:t>
      </w:r>
      <w:proofErr w:type="spellStart"/>
      <w:r w:rsidRPr="00937590">
        <w:rPr>
          <w:rFonts w:ascii="Arial" w:hAnsi="Arial" w:cs="Arial"/>
          <w:lang w:val="mk-MK"/>
        </w:rPr>
        <w:t>not</w:t>
      </w:r>
      <w:proofErr w:type="spellEnd"/>
      <w:r w:rsidRPr="00937590">
        <w:rPr>
          <w:rFonts w:ascii="Arial" w:hAnsi="Arial" w:cs="Arial"/>
          <w:lang w:val="mk-MK"/>
        </w:rPr>
        <w:t xml:space="preserve"> </w:t>
      </w:r>
      <w:proofErr w:type="spellStart"/>
      <w:r w:rsidRPr="00937590">
        <w:rPr>
          <w:rFonts w:ascii="Arial" w:hAnsi="Arial" w:cs="Arial"/>
          <w:lang w:val="mk-MK"/>
        </w:rPr>
        <w:t>recognized</w:t>
      </w:r>
      <w:proofErr w:type="spellEnd"/>
      <w:r w:rsidRPr="00937590">
        <w:rPr>
          <w:rFonts w:ascii="Arial" w:hAnsi="Arial" w:cs="Arial"/>
          <w:lang w:val="mk-MK"/>
        </w:rPr>
        <w:t xml:space="preserve"> </w:t>
      </w:r>
      <w:proofErr w:type="spellStart"/>
      <w:r w:rsidRPr="00937590">
        <w:rPr>
          <w:rFonts w:ascii="Arial" w:hAnsi="Arial" w:cs="Arial"/>
          <w:lang w:val="mk-MK"/>
        </w:rPr>
        <w:t>any</w:t>
      </w:r>
      <w:proofErr w:type="spellEnd"/>
      <w:r w:rsidRPr="00937590">
        <w:rPr>
          <w:rFonts w:ascii="Arial" w:hAnsi="Arial" w:cs="Arial"/>
          <w:lang w:val="mk-MK"/>
        </w:rPr>
        <w:t xml:space="preserve"> </w:t>
      </w:r>
      <w:proofErr w:type="spellStart"/>
      <w:r w:rsidRPr="00937590">
        <w:rPr>
          <w:rFonts w:ascii="Arial" w:hAnsi="Arial" w:cs="Arial"/>
          <w:lang w:val="mk-MK"/>
        </w:rPr>
        <w:t>deferred</w:t>
      </w:r>
      <w:proofErr w:type="spellEnd"/>
      <w:r w:rsidRPr="00937590">
        <w:rPr>
          <w:rFonts w:ascii="Arial" w:hAnsi="Arial" w:cs="Arial"/>
          <w:lang w:val="mk-MK"/>
        </w:rPr>
        <w:t xml:space="preserve"> </w:t>
      </w:r>
      <w:proofErr w:type="spellStart"/>
      <w:r w:rsidRPr="00937590">
        <w:rPr>
          <w:rFonts w:ascii="Arial" w:hAnsi="Arial" w:cs="Arial"/>
          <w:lang w:val="mk-MK"/>
        </w:rPr>
        <w:t>tax</w:t>
      </w:r>
      <w:proofErr w:type="spellEnd"/>
      <w:r w:rsidRPr="00937590">
        <w:rPr>
          <w:rFonts w:ascii="Arial" w:hAnsi="Arial" w:cs="Arial"/>
          <w:lang w:val="mk-MK"/>
        </w:rPr>
        <w:t xml:space="preserve"> </w:t>
      </w:r>
      <w:proofErr w:type="spellStart"/>
      <w:r w:rsidRPr="00937590">
        <w:rPr>
          <w:rFonts w:ascii="Arial" w:hAnsi="Arial" w:cs="Arial"/>
          <w:lang w:val="mk-MK"/>
        </w:rPr>
        <w:t>assets</w:t>
      </w:r>
      <w:proofErr w:type="spellEnd"/>
      <w:r w:rsidRPr="00937590">
        <w:rPr>
          <w:rFonts w:ascii="Arial" w:hAnsi="Arial" w:cs="Arial"/>
          <w:lang w:val="mk-MK"/>
        </w:rPr>
        <w:t xml:space="preserve"> </w:t>
      </w:r>
      <w:proofErr w:type="spellStart"/>
      <w:r w:rsidRPr="00937590">
        <w:rPr>
          <w:rFonts w:ascii="Arial" w:hAnsi="Arial" w:cs="Arial"/>
          <w:lang w:val="mk-MK"/>
        </w:rPr>
        <w:t>or</w:t>
      </w:r>
      <w:proofErr w:type="spellEnd"/>
      <w:r w:rsidRPr="00937590">
        <w:rPr>
          <w:rFonts w:ascii="Arial" w:hAnsi="Arial" w:cs="Arial"/>
          <w:lang w:val="mk-MK"/>
        </w:rPr>
        <w:t xml:space="preserve"> </w:t>
      </w:r>
      <w:proofErr w:type="spellStart"/>
      <w:r w:rsidRPr="00937590">
        <w:rPr>
          <w:rFonts w:ascii="Arial" w:hAnsi="Arial" w:cs="Arial"/>
          <w:lang w:val="mk-MK"/>
        </w:rPr>
        <w:t>liability</w:t>
      </w:r>
      <w:proofErr w:type="spellEnd"/>
      <w:r w:rsidRPr="00937590">
        <w:rPr>
          <w:rFonts w:ascii="Arial" w:hAnsi="Arial" w:cs="Arial"/>
          <w:lang w:val="mk-MK"/>
        </w:rPr>
        <w:t xml:space="preserve"> </w:t>
      </w:r>
      <w:proofErr w:type="spellStart"/>
      <w:r w:rsidRPr="00937590">
        <w:rPr>
          <w:rFonts w:ascii="Arial" w:hAnsi="Arial" w:cs="Arial"/>
          <w:lang w:val="mk-MK"/>
        </w:rPr>
        <w:t>at</w:t>
      </w:r>
      <w:proofErr w:type="spellEnd"/>
      <w:r w:rsidRPr="00937590">
        <w:rPr>
          <w:rFonts w:ascii="Arial" w:hAnsi="Arial" w:cs="Arial"/>
          <w:lang w:val="mk-MK"/>
        </w:rPr>
        <w:t xml:space="preserve"> </w:t>
      </w:r>
      <w:r w:rsidR="00815E65" w:rsidRPr="001E6526">
        <w:rPr>
          <w:rFonts w:ascii="Arial" w:hAnsi="Arial" w:cs="Arial"/>
          <w:lang w:val="mk-MK"/>
        </w:rPr>
        <w:t xml:space="preserve">31 </w:t>
      </w:r>
      <w:r w:rsidR="00194070">
        <w:rPr>
          <w:rFonts w:ascii="Arial" w:hAnsi="Arial" w:cs="Arial"/>
          <w:lang w:val="en-US"/>
        </w:rPr>
        <w:t>December</w:t>
      </w:r>
      <w:r w:rsidR="00815E65" w:rsidRPr="001E6526">
        <w:rPr>
          <w:rFonts w:ascii="Arial" w:hAnsi="Arial" w:cs="Arial"/>
          <w:lang w:val="mk-MK"/>
        </w:rPr>
        <w:t xml:space="preserve"> 20</w:t>
      </w:r>
      <w:r w:rsidR="00815E65" w:rsidRPr="00CE3053">
        <w:rPr>
          <w:rFonts w:ascii="Arial" w:hAnsi="Arial" w:cs="Arial"/>
          <w:lang w:val="mk-MK"/>
        </w:rPr>
        <w:t>2</w:t>
      </w:r>
      <w:r w:rsidR="008F2213" w:rsidRPr="00CE3053">
        <w:rPr>
          <w:rFonts w:ascii="Arial" w:hAnsi="Arial" w:cs="Arial"/>
          <w:lang w:val="mk-MK"/>
        </w:rPr>
        <w:t>1</w:t>
      </w:r>
      <w:r w:rsidR="00815E65" w:rsidRPr="001E6526">
        <w:rPr>
          <w:rFonts w:ascii="Arial" w:hAnsi="Arial" w:cs="Arial"/>
          <w:lang w:val="mk-MK"/>
        </w:rPr>
        <w:t xml:space="preserve"> </w:t>
      </w:r>
      <w:r w:rsidR="00194070">
        <w:rPr>
          <w:rFonts w:ascii="Arial" w:hAnsi="Arial" w:cs="Arial"/>
          <w:lang w:val="en-US"/>
        </w:rPr>
        <w:t>and</w:t>
      </w:r>
      <w:r w:rsidR="00815E65" w:rsidRPr="001E6526">
        <w:rPr>
          <w:rFonts w:ascii="Arial" w:hAnsi="Arial" w:cs="Arial"/>
          <w:lang w:val="mk-MK"/>
        </w:rPr>
        <w:t xml:space="preserve"> 20</w:t>
      </w:r>
      <w:r w:rsidR="008F2213" w:rsidRPr="00CE3053">
        <w:rPr>
          <w:rFonts w:ascii="Arial" w:hAnsi="Arial" w:cs="Arial"/>
          <w:lang w:val="mk-MK"/>
        </w:rPr>
        <w:t>20</w:t>
      </w:r>
      <w:r w:rsidR="00194070" w:rsidRPr="00194070">
        <w:rPr>
          <w:rFonts w:ascii="Arial" w:hAnsi="Arial" w:cs="Arial"/>
          <w:lang w:val="mk-MK"/>
        </w:rPr>
        <w:t xml:space="preserve">, </w:t>
      </w:r>
      <w:proofErr w:type="spellStart"/>
      <w:r w:rsidR="00194070" w:rsidRPr="00194070">
        <w:rPr>
          <w:rFonts w:ascii="Arial" w:hAnsi="Arial" w:cs="Arial"/>
          <w:lang w:val="mk-MK"/>
        </w:rPr>
        <w:t>as</w:t>
      </w:r>
      <w:proofErr w:type="spellEnd"/>
      <w:r w:rsidR="00194070" w:rsidRPr="00194070">
        <w:rPr>
          <w:rFonts w:ascii="Arial" w:hAnsi="Arial" w:cs="Arial"/>
          <w:lang w:val="mk-MK"/>
        </w:rPr>
        <w:t xml:space="preserve"> </w:t>
      </w:r>
      <w:proofErr w:type="spellStart"/>
      <w:r w:rsidR="00194070" w:rsidRPr="00194070">
        <w:rPr>
          <w:rFonts w:ascii="Arial" w:hAnsi="Arial" w:cs="Arial"/>
          <w:lang w:val="mk-MK"/>
        </w:rPr>
        <w:t>there</w:t>
      </w:r>
      <w:proofErr w:type="spellEnd"/>
      <w:r w:rsidR="00194070" w:rsidRPr="00194070">
        <w:rPr>
          <w:rFonts w:ascii="Arial" w:hAnsi="Arial" w:cs="Arial"/>
          <w:lang w:val="mk-MK"/>
        </w:rPr>
        <w:t xml:space="preserve"> </w:t>
      </w:r>
      <w:proofErr w:type="spellStart"/>
      <w:r w:rsidR="00194070" w:rsidRPr="00194070">
        <w:rPr>
          <w:rFonts w:ascii="Arial" w:hAnsi="Arial" w:cs="Arial"/>
          <w:lang w:val="mk-MK"/>
        </w:rPr>
        <w:t>are</w:t>
      </w:r>
      <w:proofErr w:type="spellEnd"/>
      <w:r w:rsidR="00194070" w:rsidRPr="00194070">
        <w:rPr>
          <w:rFonts w:ascii="Arial" w:hAnsi="Arial" w:cs="Arial"/>
          <w:lang w:val="mk-MK"/>
        </w:rPr>
        <w:t xml:space="preserve"> </w:t>
      </w:r>
      <w:proofErr w:type="spellStart"/>
      <w:r w:rsidR="00194070" w:rsidRPr="00194070">
        <w:rPr>
          <w:rFonts w:ascii="Arial" w:hAnsi="Arial" w:cs="Arial"/>
          <w:lang w:val="mk-MK"/>
        </w:rPr>
        <w:t>no</w:t>
      </w:r>
      <w:proofErr w:type="spellEnd"/>
      <w:r w:rsidR="00194070" w:rsidRPr="00194070">
        <w:rPr>
          <w:rFonts w:ascii="Arial" w:hAnsi="Arial" w:cs="Arial"/>
          <w:lang w:val="mk-MK"/>
        </w:rPr>
        <w:t xml:space="preserve"> </w:t>
      </w:r>
      <w:proofErr w:type="spellStart"/>
      <w:r w:rsidR="00194070" w:rsidRPr="00194070">
        <w:rPr>
          <w:rFonts w:ascii="Arial" w:hAnsi="Arial" w:cs="Arial"/>
          <w:lang w:val="mk-MK"/>
        </w:rPr>
        <w:t>temporary</w:t>
      </w:r>
      <w:proofErr w:type="spellEnd"/>
      <w:r w:rsidR="00194070" w:rsidRPr="00194070">
        <w:rPr>
          <w:rFonts w:ascii="Arial" w:hAnsi="Arial" w:cs="Arial"/>
          <w:lang w:val="mk-MK"/>
        </w:rPr>
        <w:t xml:space="preserve"> </w:t>
      </w:r>
      <w:proofErr w:type="spellStart"/>
      <w:r w:rsidR="00194070" w:rsidRPr="00194070">
        <w:rPr>
          <w:rFonts w:ascii="Arial" w:hAnsi="Arial" w:cs="Arial"/>
          <w:lang w:val="mk-MK"/>
        </w:rPr>
        <w:t>differences</w:t>
      </w:r>
      <w:proofErr w:type="spellEnd"/>
      <w:r w:rsidR="00194070" w:rsidRPr="00194070">
        <w:rPr>
          <w:rFonts w:ascii="Arial" w:hAnsi="Arial" w:cs="Arial"/>
          <w:lang w:val="mk-MK"/>
        </w:rPr>
        <w:t xml:space="preserve"> </w:t>
      </w:r>
      <w:proofErr w:type="spellStart"/>
      <w:r w:rsidR="00194070" w:rsidRPr="00194070">
        <w:rPr>
          <w:rFonts w:ascii="Arial" w:hAnsi="Arial" w:cs="Arial"/>
          <w:lang w:val="mk-MK"/>
        </w:rPr>
        <w:t>existing</w:t>
      </w:r>
      <w:proofErr w:type="spellEnd"/>
      <w:r w:rsidR="00194070" w:rsidRPr="00194070">
        <w:rPr>
          <w:rFonts w:ascii="Arial" w:hAnsi="Arial" w:cs="Arial"/>
          <w:lang w:val="mk-MK"/>
        </w:rPr>
        <w:t xml:space="preserve"> </w:t>
      </w:r>
      <w:proofErr w:type="spellStart"/>
      <w:r w:rsidR="00194070" w:rsidRPr="00194070">
        <w:rPr>
          <w:rFonts w:ascii="Arial" w:hAnsi="Arial" w:cs="Arial"/>
          <w:lang w:val="mk-MK"/>
        </w:rPr>
        <w:t>at</w:t>
      </w:r>
      <w:proofErr w:type="spellEnd"/>
      <w:r w:rsidR="00194070" w:rsidRPr="00194070">
        <w:rPr>
          <w:rFonts w:ascii="Arial" w:hAnsi="Arial" w:cs="Arial"/>
          <w:lang w:val="mk-MK"/>
        </w:rPr>
        <w:t xml:space="preserve"> </w:t>
      </w:r>
      <w:proofErr w:type="spellStart"/>
      <w:r w:rsidR="00194070" w:rsidRPr="00194070">
        <w:rPr>
          <w:rFonts w:ascii="Arial" w:hAnsi="Arial" w:cs="Arial"/>
          <w:lang w:val="mk-MK"/>
        </w:rPr>
        <w:t>that</w:t>
      </w:r>
      <w:proofErr w:type="spellEnd"/>
      <w:r w:rsidR="00194070" w:rsidRPr="00194070">
        <w:rPr>
          <w:rFonts w:ascii="Arial" w:hAnsi="Arial" w:cs="Arial"/>
          <w:lang w:val="mk-MK"/>
        </w:rPr>
        <w:t xml:space="preserve"> </w:t>
      </w:r>
      <w:proofErr w:type="spellStart"/>
      <w:r w:rsidR="00194070" w:rsidRPr="00194070">
        <w:rPr>
          <w:rFonts w:ascii="Arial" w:hAnsi="Arial" w:cs="Arial"/>
          <w:lang w:val="mk-MK"/>
        </w:rPr>
        <w:t>date</w:t>
      </w:r>
      <w:proofErr w:type="spellEnd"/>
    </w:p>
    <w:p w14:paraId="2FEBD060" w14:textId="77777777" w:rsidR="00815E65" w:rsidRPr="001E6526" w:rsidRDefault="00815E65" w:rsidP="00815E65">
      <w:pPr>
        <w:pStyle w:val="BodyText"/>
        <w:jc w:val="both"/>
        <w:rPr>
          <w:rFonts w:ascii="Arial" w:hAnsi="Arial" w:cs="Arial"/>
          <w:lang w:val="mk-MK"/>
        </w:rPr>
      </w:pPr>
    </w:p>
    <w:p w14:paraId="04A5B0C5" w14:textId="72517818" w:rsidR="00815E65" w:rsidRPr="00CE3053" w:rsidRDefault="008F2213" w:rsidP="0061511C">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sidRPr="00CE3053">
        <w:rPr>
          <w:rFonts w:ascii="Arial" w:hAnsi="Arial" w:cs="Arial"/>
          <w:b/>
          <w:color w:val="4F2D7F"/>
          <w:sz w:val="18"/>
          <w:lang w:val="mk-MK"/>
        </w:rPr>
        <w:t xml:space="preserve"> </w:t>
      </w:r>
      <w:r w:rsidR="001E0EEE">
        <w:rPr>
          <w:rFonts w:ascii="Arial" w:hAnsi="Arial" w:cs="Arial"/>
          <w:b/>
          <w:color w:val="4F2D7F"/>
          <w:sz w:val="18"/>
          <w:lang w:val="en-US"/>
        </w:rPr>
        <w:t xml:space="preserve">Commitments and </w:t>
      </w:r>
      <w:proofErr w:type="spellStart"/>
      <w:r w:rsidR="001E0EEE">
        <w:rPr>
          <w:rFonts w:ascii="Arial" w:hAnsi="Arial" w:cs="Arial"/>
          <w:b/>
          <w:color w:val="4F2D7F"/>
          <w:sz w:val="18"/>
          <w:lang w:val="en-US"/>
        </w:rPr>
        <w:t>contigencies</w:t>
      </w:r>
      <w:proofErr w:type="spellEnd"/>
    </w:p>
    <w:p w14:paraId="07161A58" w14:textId="7C36BABE" w:rsidR="00815E65" w:rsidRDefault="001E0EEE" w:rsidP="00815E65">
      <w:pPr>
        <w:pStyle w:val="BodyText"/>
        <w:jc w:val="both"/>
        <w:rPr>
          <w:rFonts w:ascii="Arial" w:hAnsi="Arial" w:cs="Arial"/>
          <w:lang w:val="en-US"/>
        </w:rPr>
      </w:pPr>
      <w:proofErr w:type="spellStart"/>
      <w:r w:rsidRPr="001E0EEE">
        <w:rPr>
          <w:rFonts w:ascii="Arial" w:hAnsi="Arial" w:cs="Arial"/>
          <w:lang w:val="mk-MK"/>
        </w:rPr>
        <w:t>Contingent</w:t>
      </w:r>
      <w:proofErr w:type="spellEnd"/>
      <w:r w:rsidRPr="001E0EEE">
        <w:rPr>
          <w:rFonts w:ascii="Arial" w:hAnsi="Arial" w:cs="Arial"/>
          <w:lang w:val="mk-MK"/>
        </w:rPr>
        <w:t xml:space="preserve"> </w:t>
      </w:r>
      <w:proofErr w:type="spellStart"/>
      <w:r w:rsidRPr="001E0EEE">
        <w:rPr>
          <w:rFonts w:ascii="Arial" w:hAnsi="Arial" w:cs="Arial"/>
          <w:lang w:val="mk-MK"/>
        </w:rPr>
        <w:t>liabilities</w:t>
      </w:r>
      <w:proofErr w:type="spellEnd"/>
      <w:r w:rsidRPr="001E0EEE">
        <w:rPr>
          <w:rFonts w:ascii="Arial" w:hAnsi="Arial" w:cs="Arial"/>
          <w:lang w:val="mk-MK"/>
        </w:rPr>
        <w:t xml:space="preserve"> </w:t>
      </w:r>
      <w:proofErr w:type="spellStart"/>
      <w:r w:rsidRPr="001E0EEE">
        <w:rPr>
          <w:rFonts w:ascii="Arial" w:hAnsi="Arial" w:cs="Arial"/>
          <w:lang w:val="mk-MK"/>
        </w:rPr>
        <w:t>are</w:t>
      </w:r>
      <w:proofErr w:type="spellEnd"/>
      <w:r w:rsidRPr="001E0EEE">
        <w:rPr>
          <w:rFonts w:ascii="Arial" w:hAnsi="Arial" w:cs="Arial"/>
          <w:lang w:val="mk-MK"/>
        </w:rPr>
        <w:t xml:space="preserve"> </w:t>
      </w:r>
      <w:proofErr w:type="spellStart"/>
      <w:r w:rsidRPr="001E0EEE">
        <w:rPr>
          <w:rFonts w:ascii="Arial" w:hAnsi="Arial" w:cs="Arial"/>
          <w:lang w:val="mk-MK"/>
        </w:rPr>
        <w:t>not</w:t>
      </w:r>
      <w:proofErr w:type="spellEnd"/>
      <w:r w:rsidRPr="001E0EEE">
        <w:rPr>
          <w:rFonts w:ascii="Arial" w:hAnsi="Arial" w:cs="Arial"/>
          <w:lang w:val="mk-MK"/>
        </w:rPr>
        <w:t xml:space="preserve"> </w:t>
      </w:r>
      <w:proofErr w:type="spellStart"/>
      <w:r w:rsidRPr="001E0EEE">
        <w:rPr>
          <w:rFonts w:ascii="Arial" w:hAnsi="Arial" w:cs="Arial"/>
          <w:lang w:val="mk-MK"/>
        </w:rPr>
        <w:t>recognized</w:t>
      </w:r>
      <w:proofErr w:type="spellEnd"/>
      <w:r w:rsidRPr="001E0EEE">
        <w:rPr>
          <w:rFonts w:ascii="Arial" w:hAnsi="Arial" w:cs="Arial"/>
          <w:lang w:val="mk-MK"/>
        </w:rPr>
        <w:t xml:space="preserve"> </w:t>
      </w:r>
      <w:proofErr w:type="spellStart"/>
      <w:r w:rsidRPr="001E0EEE">
        <w:rPr>
          <w:rFonts w:ascii="Arial" w:hAnsi="Arial" w:cs="Arial"/>
          <w:lang w:val="mk-MK"/>
        </w:rPr>
        <w:t>in</w:t>
      </w:r>
      <w:proofErr w:type="spellEnd"/>
      <w:r w:rsidRPr="001E0EEE">
        <w:rPr>
          <w:rFonts w:ascii="Arial" w:hAnsi="Arial" w:cs="Arial"/>
          <w:lang w:val="mk-MK"/>
        </w:rPr>
        <w:t xml:space="preserve"> </w:t>
      </w:r>
      <w:proofErr w:type="spellStart"/>
      <w:r w:rsidRPr="001E0EEE">
        <w:rPr>
          <w:rFonts w:ascii="Arial" w:hAnsi="Arial" w:cs="Arial"/>
          <w:lang w:val="mk-MK"/>
        </w:rPr>
        <w:t>the</w:t>
      </w:r>
      <w:proofErr w:type="spellEnd"/>
      <w:r w:rsidRPr="001E0EEE">
        <w:rPr>
          <w:rFonts w:ascii="Arial" w:hAnsi="Arial" w:cs="Arial"/>
          <w:lang w:val="mk-MK"/>
        </w:rPr>
        <w:t xml:space="preserve"> </w:t>
      </w:r>
      <w:proofErr w:type="spellStart"/>
      <w:r w:rsidRPr="001E0EEE">
        <w:rPr>
          <w:rFonts w:ascii="Arial" w:hAnsi="Arial" w:cs="Arial"/>
          <w:lang w:val="mk-MK"/>
        </w:rPr>
        <w:t>financial</w:t>
      </w:r>
      <w:proofErr w:type="spellEnd"/>
      <w:r w:rsidRPr="001E0EEE">
        <w:rPr>
          <w:rFonts w:ascii="Arial" w:hAnsi="Arial" w:cs="Arial"/>
          <w:lang w:val="mk-MK"/>
        </w:rPr>
        <w:t xml:space="preserve"> </w:t>
      </w:r>
      <w:proofErr w:type="spellStart"/>
      <w:r w:rsidRPr="001E0EEE">
        <w:rPr>
          <w:rFonts w:ascii="Arial" w:hAnsi="Arial" w:cs="Arial"/>
          <w:lang w:val="mk-MK"/>
        </w:rPr>
        <w:t>statements</w:t>
      </w:r>
      <w:proofErr w:type="spellEnd"/>
      <w:r w:rsidRPr="001E0EEE">
        <w:rPr>
          <w:rFonts w:ascii="Arial" w:hAnsi="Arial" w:cs="Arial"/>
          <w:lang w:val="mk-MK"/>
        </w:rPr>
        <w:t xml:space="preserve">. </w:t>
      </w:r>
      <w:proofErr w:type="spellStart"/>
      <w:r w:rsidRPr="001E0EEE">
        <w:rPr>
          <w:rFonts w:ascii="Arial" w:hAnsi="Arial" w:cs="Arial"/>
          <w:lang w:val="mk-MK"/>
        </w:rPr>
        <w:t>They</w:t>
      </w:r>
      <w:proofErr w:type="spellEnd"/>
      <w:r w:rsidRPr="001E0EEE">
        <w:rPr>
          <w:rFonts w:ascii="Arial" w:hAnsi="Arial" w:cs="Arial"/>
          <w:lang w:val="mk-MK"/>
        </w:rPr>
        <w:t xml:space="preserve"> </w:t>
      </w:r>
      <w:proofErr w:type="spellStart"/>
      <w:r w:rsidRPr="001E0EEE">
        <w:rPr>
          <w:rFonts w:ascii="Arial" w:hAnsi="Arial" w:cs="Arial"/>
          <w:lang w:val="mk-MK"/>
        </w:rPr>
        <w:t>are</w:t>
      </w:r>
      <w:proofErr w:type="spellEnd"/>
      <w:r w:rsidRPr="001E0EEE">
        <w:rPr>
          <w:rFonts w:ascii="Arial" w:hAnsi="Arial" w:cs="Arial"/>
          <w:lang w:val="mk-MK"/>
        </w:rPr>
        <w:t xml:space="preserve"> </w:t>
      </w:r>
      <w:proofErr w:type="spellStart"/>
      <w:r w:rsidRPr="001E0EEE">
        <w:rPr>
          <w:rFonts w:ascii="Arial" w:hAnsi="Arial" w:cs="Arial"/>
          <w:lang w:val="mk-MK"/>
        </w:rPr>
        <w:t>disclosed</w:t>
      </w:r>
      <w:proofErr w:type="spellEnd"/>
      <w:r w:rsidRPr="001E0EEE">
        <w:rPr>
          <w:rFonts w:ascii="Arial" w:hAnsi="Arial" w:cs="Arial"/>
          <w:lang w:val="mk-MK"/>
        </w:rPr>
        <w:t xml:space="preserve"> </w:t>
      </w:r>
      <w:proofErr w:type="spellStart"/>
      <w:r w:rsidRPr="001E0EEE">
        <w:rPr>
          <w:rFonts w:ascii="Arial" w:hAnsi="Arial" w:cs="Arial"/>
          <w:lang w:val="mk-MK"/>
        </w:rPr>
        <w:t>when</w:t>
      </w:r>
      <w:proofErr w:type="spellEnd"/>
      <w:r w:rsidRPr="001E0EEE">
        <w:rPr>
          <w:rFonts w:ascii="Arial" w:hAnsi="Arial" w:cs="Arial"/>
          <w:lang w:val="mk-MK"/>
        </w:rPr>
        <w:t xml:space="preserve"> </w:t>
      </w:r>
      <w:proofErr w:type="spellStart"/>
      <w:r w:rsidRPr="001E0EEE">
        <w:rPr>
          <w:rFonts w:ascii="Arial" w:hAnsi="Arial" w:cs="Arial"/>
          <w:lang w:val="mk-MK"/>
        </w:rPr>
        <w:t>the</w:t>
      </w:r>
      <w:proofErr w:type="spellEnd"/>
      <w:r w:rsidRPr="001E0EEE">
        <w:rPr>
          <w:rFonts w:ascii="Arial" w:hAnsi="Arial" w:cs="Arial"/>
          <w:lang w:val="mk-MK"/>
        </w:rPr>
        <w:t xml:space="preserve"> </w:t>
      </w:r>
      <w:proofErr w:type="spellStart"/>
      <w:r w:rsidRPr="001E0EEE">
        <w:rPr>
          <w:rFonts w:ascii="Arial" w:hAnsi="Arial" w:cs="Arial"/>
          <w:lang w:val="mk-MK"/>
        </w:rPr>
        <w:t>possibility</w:t>
      </w:r>
      <w:proofErr w:type="spellEnd"/>
      <w:r w:rsidRPr="001E0EEE">
        <w:rPr>
          <w:rFonts w:ascii="Arial" w:hAnsi="Arial" w:cs="Arial"/>
          <w:lang w:val="mk-MK"/>
        </w:rPr>
        <w:t xml:space="preserve"> </w:t>
      </w:r>
      <w:proofErr w:type="spellStart"/>
      <w:r w:rsidRPr="001E0EEE">
        <w:rPr>
          <w:rFonts w:ascii="Arial" w:hAnsi="Arial" w:cs="Arial"/>
          <w:lang w:val="mk-MK"/>
        </w:rPr>
        <w:t>of</w:t>
      </w:r>
      <w:proofErr w:type="spellEnd"/>
      <w:r w:rsidRPr="001E0EEE">
        <w:rPr>
          <w:rFonts w:ascii="Arial" w:hAnsi="Arial" w:cs="Arial"/>
          <w:lang w:val="mk-MK"/>
        </w:rPr>
        <w:t xml:space="preserve"> </w:t>
      </w:r>
      <w:proofErr w:type="spellStart"/>
      <w:r w:rsidRPr="001E0EEE">
        <w:rPr>
          <w:rFonts w:ascii="Arial" w:hAnsi="Arial" w:cs="Arial"/>
          <w:lang w:val="mk-MK"/>
        </w:rPr>
        <w:t>an</w:t>
      </w:r>
      <w:proofErr w:type="spellEnd"/>
      <w:r w:rsidRPr="001E0EEE">
        <w:rPr>
          <w:rFonts w:ascii="Arial" w:hAnsi="Arial" w:cs="Arial"/>
          <w:lang w:val="mk-MK"/>
        </w:rPr>
        <w:t xml:space="preserve"> </w:t>
      </w:r>
      <w:proofErr w:type="spellStart"/>
      <w:r w:rsidRPr="001E0EEE">
        <w:rPr>
          <w:rFonts w:ascii="Arial" w:hAnsi="Arial" w:cs="Arial"/>
          <w:lang w:val="mk-MK"/>
        </w:rPr>
        <w:t>outflow</w:t>
      </w:r>
      <w:proofErr w:type="spellEnd"/>
      <w:r w:rsidRPr="001E0EEE">
        <w:rPr>
          <w:rFonts w:ascii="Arial" w:hAnsi="Arial" w:cs="Arial"/>
          <w:lang w:val="mk-MK"/>
        </w:rPr>
        <w:t xml:space="preserve"> </w:t>
      </w:r>
      <w:proofErr w:type="spellStart"/>
      <w:r w:rsidRPr="001E0EEE">
        <w:rPr>
          <w:rFonts w:ascii="Arial" w:hAnsi="Arial" w:cs="Arial"/>
          <w:lang w:val="mk-MK"/>
        </w:rPr>
        <w:t>of</w:t>
      </w:r>
      <w:proofErr w:type="spellEnd"/>
      <w:r w:rsidRPr="001E0EEE">
        <w:rPr>
          <w:rFonts w:ascii="Arial" w:hAnsi="Arial" w:cs="Arial"/>
          <w:lang w:val="mk-MK"/>
        </w:rPr>
        <w:t xml:space="preserve"> </w:t>
      </w:r>
      <w:proofErr w:type="spellStart"/>
      <w:r w:rsidRPr="001E0EEE">
        <w:rPr>
          <w:rFonts w:ascii="Arial" w:hAnsi="Arial" w:cs="Arial"/>
          <w:lang w:val="mk-MK"/>
        </w:rPr>
        <w:t>resources</w:t>
      </w:r>
      <w:proofErr w:type="spellEnd"/>
      <w:r w:rsidRPr="001E0EEE">
        <w:rPr>
          <w:rFonts w:ascii="Arial" w:hAnsi="Arial" w:cs="Arial"/>
          <w:lang w:val="mk-MK"/>
        </w:rPr>
        <w:t xml:space="preserve"> </w:t>
      </w:r>
      <w:proofErr w:type="spellStart"/>
      <w:r w:rsidRPr="001E0EEE">
        <w:rPr>
          <w:rFonts w:ascii="Arial" w:hAnsi="Arial" w:cs="Arial"/>
          <w:lang w:val="mk-MK"/>
        </w:rPr>
        <w:t>embodying</w:t>
      </w:r>
      <w:proofErr w:type="spellEnd"/>
      <w:r w:rsidRPr="001E0EEE">
        <w:rPr>
          <w:rFonts w:ascii="Arial" w:hAnsi="Arial" w:cs="Arial"/>
          <w:lang w:val="mk-MK"/>
        </w:rPr>
        <w:t xml:space="preserve"> </w:t>
      </w:r>
      <w:proofErr w:type="spellStart"/>
      <w:r w:rsidRPr="001E0EEE">
        <w:rPr>
          <w:rFonts w:ascii="Arial" w:hAnsi="Arial" w:cs="Arial"/>
          <w:lang w:val="mk-MK"/>
        </w:rPr>
        <w:t>economic</w:t>
      </w:r>
      <w:proofErr w:type="spellEnd"/>
      <w:r w:rsidRPr="001E0EEE">
        <w:rPr>
          <w:rFonts w:ascii="Arial" w:hAnsi="Arial" w:cs="Arial"/>
          <w:lang w:val="mk-MK"/>
        </w:rPr>
        <w:t xml:space="preserve"> </w:t>
      </w:r>
      <w:proofErr w:type="spellStart"/>
      <w:r w:rsidRPr="001E0EEE">
        <w:rPr>
          <w:rFonts w:ascii="Arial" w:hAnsi="Arial" w:cs="Arial"/>
          <w:lang w:val="mk-MK"/>
        </w:rPr>
        <w:t>benefits</w:t>
      </w:r>
      <w:proofErr w:type="spellEnd"/>
      <w:r w:rsidRPr="001E0EEE">
        <w:rPr>
          <w:rFonts w:ascii="Arial" w:hAnsi="Arial" w:cs="Arial"/>
          <w:lang w:val="mk-MK"/>
        </w:rPr>
        <w:t xml:space="preserve"> </w:t>
      </w:r>
      <w:proofErr w:type="spellStart"/>
      <w:r w:rsidRPr="001E0EEE">
        <w:rPr>
          <w:rFonts w:ascii="Arial" w:hAnsi="Arial" w:cs="Arial"/>
          <w:lang w:val="mk-MK"/>
        </w:rPr>
        <w:t>is</w:t>
      </w:r>
      <w:proofErr w:type="spellEnd"/>
      <w:r w:rsidRPr="001E0EEE">
        <w:rPr>
          <w:rFonts w:ascii="Arial" w:hAnsi="Arial" w:cs="Arial"/>
          <w:lang w:val="mk-MK"/>
        </w:rPr>
        <w:t xml:space="preserve"> </w:t>
      </w:r>
      <w:proofErr w:type="spellStart"/>
      <w:r w:rsidRPr="001E0EEE">
        <w:rPr>
          <w:rFonts w:ascii="Arial" w:hAnsi="Arial" w:cs="Arial"/>
          <w:lang w:val="mk-MK"/>
        </w:rPr>
        <w:t>probable</w:t>
      </w:r>
      <w:proofErr w:type="spellEnd"/>
      <w:r w:rsidRPr="001E0EEE">
        <w:rPr>
          <w:rFonts w:ascii="Arial" w:hAnsi="Arial" w:cs="Arial"/>
          <w:lang w:val="mk-MK"/>
        </w:rPr>
        <w:t xml:space="preserve">. </w:t>
      </w:r>
      <w:proofErr w:type="spellStart"/>
      <w:r w:rsidRPr="001E0EEE">
        <w:rPr>
          <w:rFonts w:ascii="Arial" w:hAnsi="Arial" w:cs="Arial"/>
          <w:lang w:val="mk-MK"/>
        </w:rPr>
        <w:t>In</w:t>
      </w:r>
      <w:proofErr w:type="spellEnd"/>
      <w:r w:rsidRPr="001E0EEE">
        <w:rPr>
          <w:rFonts w:ascii="Arial" w:hAnsi="Arial" w:cs="Arial"/>
          <w:lang w:val="mk-MK"/>
        </w:rPr>
        <w:t xml:space="preserve"> </w:t>
      </w:r>
      <w:proofErr w:type="spellStart"/>
      <w:r w:rsidRPr="001E0EEE">
        <w:rPr>
          <w:rFonts w:ascii="Arial" w:hAnsi="Arial" w:cs="Arial"/>
          <w:lang w:val="mk-MK"/>
        </w:rPr>
        <w:t>addition</w:t>
      </w:r>
      <w:proofErr w:type="spellEnd"/>
      <w:r w:rsidRPr="001E0EEE">
        <w:rPr>
          <w:rFonts w:ascii="Arial" w:hAnsi="Arial" w:cs="Arial"/>
          <w:lang w:val="mk-MK"/>
        </w:rPr>
        <w:t xml:space="preserve">, a </w:t>
      </w:r>
      <w:proofErr w:type="spellStart"/>
      <w:r w:rsidRPr="001E0EEE">
        <w:rPr>
          <w:rFonts w:ascii="Arial" w:hAnsi="Arial" w:cs="Arial"/>
          <w:lang w:val="mk-MK"/>
        </w:rPr>
        <w:t>contingent</w:t>
      </w:r>
      <w:proofErr w:type="spellEnd"/>
      <w:r w:rsidRPr="001E0EEE">
        <w:rPr>
          <w:rFonts w:ascii="Arial" w:hAnsi="Arial" w:cs="Arial"/>
          <w:lang w:val="mk-MK"/>
        </w:rPr>
        <w:t xml:space="preserve"> </w:t>
      </w:r>
      <w:proofErr w:type="spellStart"/>
      <w:r w:rsidRPr="001E0EEE">
        <w:rPr>
          <w:rFonts w:ascii="Arial" w:hAnsi="Arial" w:cs="Arial"/>
          <w:lang w:val="mk-MK"/>
        </w:rPr>
        <w:t>asset</w:t>
      </w:r>
      <w:proofErr w:type="spellEnd"/>
      <w:r w:rsidRPr="001E0EEE">
        <w:rPr>
          <w:rFonts w:ascii="Arial" w:hAnsi="Arial" w:cs="Arial"/>
          <w:lang w:val="mk-MK"/>
        </w:rPr>
        <w:t xml:space="preserve"> </w:t>
      </w:r>
      <w:proofErr w:type="spellStart"/>
      <w:r w:rsidRPr="001E0EEE">
        <w:rPr>
          <w:rFonts w:ascii="Arial" w:hAnsi="Arial" w:cs="Arial"/>
          <w:lang w:val="mk-MK"/>
        </w:rPr>
        <w:t>is</w:t>
      </w:r>
      <w:proofErr w:type="spellEnd"/>
      <w:r w:rsidRPr="001E0EEE">
        <w:rPr>
          <w:rFonts w:ascii="Arial" w:hAnsi="Arial" w:cs="Arial"/>
          <w:lang w:val="mk-MK"/>
        </w:rPr>
        <w:t xml:space="preserve"> </w:t>
      </w:r>
      <w:proofErr w:type="spellStart"/>
      <w:r w:rsidRPr="001E0EEE">
        <w:rPr>
          <w:rFonts w:ascii="Arial" w:hAnsi="Arial" w:cs="Arial"/>
          <w:lang w:val="mk-MK"/>
        </w:rPr>
        <w:t>not</w:t>
      </w:r>
      <w:proofErr w:type="spellEnd"/>
      <w:r w:rsidRPr="001E0EEE">
        <w:rPr>
          <w:rFonts w:ascii="Arial" w:hAnsi="Arial" w:cs="Arial"/>
          <w:lang w:val="mk-MK"/>
        </w:rPr>
        <w:t xml:space="preserve"> </w:t>
      </w:r>
      <w:proofErr w:type="spellStart"/>
      <w:r w:rsidRPr="001E0EEE">
        <w:rPr>
          <w:rFonts w:ascii="Arial" w:hAnsi="Arial" w:cs="Arial"/>
          <w:lang w:val="mk-MK"/>
        </w:rPr>
        <w:t>recognized</w:t>
      </w:r>
      <w:proofErr w:type="spellEnd"/>
      <w:r w:rsidRPr="001E0EEE">
        <w:rPr>
          <w:rFonts w:ascii="Arial" w:hAnsi="Arial" w:cs="Arial"/>
          <w:lang w:val="mk-MK"/>
        </w:rPr>
        <w:t xml:space="preserve"> </w:t>
      </w:r>
      <w:proofErr w:type="spellStart"/>
      <w:r w:rsidRPr="001E0EEE">
        <w:rPr>
          <w:rFonts w:ascii="Arial" w:hAnsi="Arial" w:cs="Arial"/>
          <w:lang w:val="mk-MK"/>
        </w:rPr>
        <w:t>in</w:t>
      </w:r>
      <w:proofErr w:type="spellEnd"/>
      <w:r w:rsidRPr="001E0EEE">
        <w:rPr>
          <w:rFonts w:ascii="Arial" w:hAnsi="Arial" w:cs="Arial"/>
          <w:lang w:val="mk-MK"/>
        </w:rPr>
        <w:t xml:space="preserve"> </w:t>
      </w:r>
      <w:proofErr w:type="spellStart"/>
      <w:r w:rsidRPr="001E0EEE">
        <w:rPr>
          <w:rFonts w:ascii="Arial" w:hAnsi="Arial" w:cs="Arial"/>
          <w:lang w:val="mk-MK"/>
        </w:rPr>
        <w:t>the</w:t>
      </w:r>
      <w:proofErr w:type="spellEnd"/>
      <w:r w:rsidRPr="001E0EEE">
        <w:rPr>
          <w:rFonts w:ascii="Arial" w:hAnsi="Arial" w:cs="Arial"/>
          <w:lang w:val="mk-MK"/>
        </w:rPr>
        <w:t xml:space="preserve"> </w:t>
      </w:r>
      <w:proofErr w:type="spellStart"/>
      <w:r w:rsidRPr="001E0EEE">
        <w:rPr>
          <w:rFonts w:ascii="Arial" w:hAnsi="Arial" w:cs="Arial"/>
          <w:lang w:val="mk-MK"/>
        </w:rPr>
        <w:t>financial</w:t>
      </w:r>
      <w:proofErr w:type="spellEnd"/>
      <w:r w:rsidRPr="001E0EEE">
        <w:rPr>
          <w:rFonts w:ascii="Arial" w:hAnsi="Arial" w:cs="Arial"/>
          <w:lang w:val="mk-MK"/>
        </w:rPr>
        <w:t xml:space="preserve"> </w:t>
      </w:r>
      <w:proofErr w:type="spellStart"/>
      <w:r w:rsidRPr="001E0EEE">
        <w:rPr>
          <w:rFonts w:ascii="Arial" w:hAnsi="Arial" w:cs="Arial"/>
          <w:lang w:val="mk-MK"/>
        </w:rPr>
        <w:t>statements</w:t>
      </w:r>
      <w:proofErr w:type="spellEnd"/>
      <w:r w:rsidRPr="001E0EEE">
        <w:rPr>
          <w:rFonts w:ascii="Arial" w:hAnsi="Arial" w:cs="Arial"/>
          <w:lang w:val="mk-MK"/>
        </w:rPr>
        <w:t xml:space="preserve"> </w:t>
      </w:r>
      <w:proofErr w:type="spellStart"/>
      <w:r w:rsidRPr="001E0EEE">
        <w:rPr>
          <w:rFonts w:ascii="Arial" w:hAnsi="Arial" w:cs="Arial"/>
          <w:lang w:val="mk-MK"/>
        </w:rPr>
        <w:t>but</w:t>
      </w:r>
      <w:proofErr w:type="spellEnd"/>
      <w:r w:rsidRPr="001E0EEE">
        <w:rPr>
          <w:rFonts w:ascii="Arial" w:hAnsi="Arial" w:cs="Arial"/>
          <w:lang w:val="mk-MK"/>
        </w:rPr>
        <w:t xml:space="preserve"> </w:t>
      </w:r>
      <w:proofErr w:type="spellStart"/>
      <w:r w:rsidRPr="001E0EEE">
        <w:rPr>
          <w:rFonts w:ascii="Arial" w:hAnsi="Arial" w:cs="Arial"/>
          <w:lang w:val="mk-MK"/>
        </w:rPr>
        <w:t>disclosed</w:t>
      </w:r>
      <w:proofErr w:type="spellEnd"/>
      <w:r w:rsidRPr="001E0EEE">
        <w:rPr>
          <w:rFonts w:ascii="Arial" w:hAnsi="Arial" w:cs="Arial"/>
          <w:lang w:val="mk-MK"/>
        </w:rPr>
        <w:t xml:space="preserve"> </w:t>
      </w:r>
      <w:proofErr w:type="spellStart"/>
      <w:r w:rsidRPr="001E0EEE">
        <w:rPr>
          <w:rFonts w:ascii="Arial" w:hAnsi="Arial" w:cs="Arial"/>
          <w:lang w:val="mk-MK"/>
        </w:rPr>
        <w:t>when</w:t>
      </w:r>
      <w:proofErr w:type="spellEnd"/>
      <w:r w:rsidRPr="001E0EEE">
        <w:rPr>
          <w:rFonts w:ascii="Arial" w:hAnsi="Arial" w:cs="Arial"/>
          <w:lang w:val="mk-MK"/>
        </w:rPr>
        <w:t xml:space="preserve"> </w:t>
      </w:r>
      <w:proofErr w:type="spellStart"/>
      <w:r w:rsidRPr="001E0EEE">
        <w:rPr>
          <w:rFonts w:ascii="Arial" w:hAnsi="Arial" w:cs="Arial"/>
          <w:lang w:val="mk-MK"/>
        </w:rPr>
        <w:t>an</w:t>
      </w:r>
      <w:proofErr w:type="spellEnd"/>
      <w:r w:rsidRPr="001E0EEE">
        <w:rPr>
          <w:rFonts w:ascii="Arial" w:hAnsi="Arial" w:cs="Arial"/>
          <w:lang w:val="mk-MK"/>
        </w:rPr>
        <w:t xml:space="preserve"> </w:t>
      </w:r>
      <w:proofErr w:type="spellStart"/>
      <w:r w:rsidRPr="001E0EEE">
        <w:rPr>
          <w:rFonts w:ascii="Arial" w:hAnsi="Arial" w:cs="Arial"/>
          <w:lang w:val="mk-MK"/>
        </w:rPr>
        <w:t>inflow</w:t>
      </w:r>
      <w:proofErr w:type="spellEnd"/>
      <w:r w:rsidRPr="001E0EEE">
        <w:rPr>
          <w:rFonts w:ascii="Arial" w:hAnsi="Arial" w:cs="Arial"/>
          <w:lang w:val="mk-MK"/>
        </w:rPr>
        <w:t xml:space="preserve"> </w:t>
      </w:r>
      <w:proofErr w:type="spellStart"/>
      <w:r w:rsidRPr="001E0EEE">
        <w:rPr>
          <w:rFonts w:ascii="Arial" w:hAnsi="Arial" w:cs="Arial"/>
          <w:lang w:val="mk-MK"/>
        </w:rPr>
        <w:t>of</w:t>
      </w:r>
      <w:proofErr w:type="spellEnd"/>
      <w:r w:rsidRPr="001E0EEE">
        <w:rPr>
          <w:rFonts w:ascii="Arial" w:hAnsi="Arial" w:cs="Arial"/>
          <w:lang w:val="mk-MK"/>
        </w:rPr>
        <w:t xml:space="preserve"> </w:t>
      </w:r>
      <w:proofErr w:type="spellStart"/>
      <w:r w:rsidRPr="001E0EEE">
        <w:rPr>
          <w:rFonts w:ascii="Arial" w:hAnsi="Arial" w:cs="Arial"/>
          <w:lang w:val="mk-MK"/>
        </w:rPr>
        <w:t>economic</w:t>
      </w:r>
      <w:proofErr w:type="spellEnd"/>
      <w:r w:rsidRPr="001E0EEE">
        <w:rPr>
          <w:rFonts w:ascii="Arial" w:hAnsi="Arial" w:cs="Arial"/>
          <w:lang w:val="mk-MK"/>
        </w:rPr>
        <w:t xml:space="preserve"> </w:t>
      </w:r>
      <w:proofErr w:type="spellStart"/>
      <w:r w:rsidRPr="001E0EEE">
        <w:rPr>
          <w:rFonts w:ascii="Arial" w:hAnsi="Arial" w:cs="Arial"/>
          <w:lang w:val="mk-MK"/>
        </w:rPr>
        <w:t>benefits</w:t>
      </w:r>
      <w:proofErr w:type="spellEnd"/>
      <w:r w:rsidRPr="001E0EEE">
        <w:rPr>
          <w:rFonts w:ascii="Arial" w:hAnsi="Arial" w:cs="Arial"/>
          <w:lang w:val="mk-MK"/>
        </w:rPr>
        <w:t xml:space="preserve"> </w:t>
      </w:r>
      <w:proofErr w:type="spellStart"/>
      <w:r w:rsidRPr="001E0EEE">
        <w:rPr>
          <w:rFonts w:ascii="Arial" w:hAnsi="Arial" w:cs="Arial"/>
          <w:lang w:val="mk-MK"/>
        </w:rPr>
        <w:t>is</w:t>
      </w:r>
      <w:proofErr w:type="spellEnd"/>
      <w:r w:rsidRPr="001E0EEE">
        <w:rPr>
          <w:rFonts w:ascii="Arial" w:hAnsi="Arial" w:cs="Arial"/>
          <w:lang w:val="mk-MK"/>
        </w:rPr>
        <w:t xml:space="preserve"> </w:t>
      </w:r>
      <w:proofErr w:type="spellStart"/>
      <w:r w:rsidRPr="001E0EEE">
        <w:rPr>
          <w:rFonts w:ascii="Arial" w:hAnsi="Arial" w:cs="Arial"/>
          <w:lang w:val="mk-MK"/>
        </w:rPr>
        <w:t>probable</w:t>
      </w:r>
      <w:proofErr w:type="spellEnd"/>
      <w:r w:rsidRPr="001E0EEE">
        <w:rPr>
          <w:rFonts w:ascii="Arial" w:hAnsi="Arial" w:cs="Arial"/>
          <w:lang w:val="mk-MK"/>
        </w:rPr>
        <w:t xml:space="preserve">. </w:t>
      </w:r>
      <w:proofErr w:type="spellStart"/>
      <w:r w:rsidRPr="001E0EEE">
        <w:rPr>
          <w:rFonts w:ascii="Arial" w:hAnsi="Arial" w:cs="Arial"/>
          <w:lang w:val="mk-MK"/>
        </w:rPr>
        <w:t>The</w:t>
      </w:r>
      <w:proofErr w:type="spellEnd"/>
      <w:r w:rsidRPr="001E0EEE">
        <w:rPr>
          <w:rFonts w:ascii="Arial" w:hAnsi="Arial" w:cs="Arial"/>
          <w:lang w:val="mk-MK"/>
        </w:rPr>
        <w:t xml:space="preserve"> </w:t>
      </w:r>
      <w:proofErr w:type="spellStart"/>
      <w:r w:rsidRPr="001E0EEE">
        <w:rPr>
          <w:rFonts w:ascii="Arial" w:hAnsi="Arial" w:cs="Arial"/>
          <w:lang w:val="mk-MK"/>
        </w:rPr>
        <w:t>amount</w:t>
      </w:r>
      <w:proofErr w:type="spellEnd"/>
      <w:r w:rsidRPr="001E0EEE">
        <w:rPr>
          <w:rFonts w:ascii="Arial" w:hAnsi="Arial" w:cs="Arial"/>
          <w:lang w:val="mk-MK"/>
        </w:rPr>
        <w:t xml:space="preserve"> </w:t>
      </w:r>
      <w:proofErr w:type="spellStart"/>
      <w:r w:rsidRPr="001E0EEE">
        <w:rPr>
          <w:rFonts w:ascii="Arial" w:hAnsi="Arial" w:cs="Arial"/>
          <w:lang w:val="mk-MK"/>
        </w:rPr>
        <w:t>of</w:t>
      </w:r>
      <w:proofErr w:type="spellEnd"/>
      <w:r w:rsidRPr="001E0EEE">
        <w:rPr>
          <w:rFonts w:ascii="Arial" w:hAnsi="Arial" w:cs="Arial"/>
          <w:lang w:val="mk-MK"/>
        </w:rPr>
        <w:t xml:space="preserve"> a </w:t>
      </w:r>
      <w:proofErr w:type="spellStart"/>
      <w:r w:rsidRPr="001E0EEE">
        <w:rPr>
          <w:rFonts w:ascii="Arial" w:hAnsi="Arial" w:cs="Arial"/>
          <w:lang w:val="mk-MK"/>
        </w:rPr>
        <w:t>contingent</w:t>
      </w:r>
      <w:proofErr w:type="spellEnd"/>
      <w:r w:rsidRPr="001E0EEE">
        <w:rPr>
          <w:rFonts w:ascii="Arial" w:hAnsi="Arial" w:cs="Arial"/>
          <w:lang w:val="mk-MK"/>
        </w:rPr>
        <w:t xml:space="preserve"> </w:t>
      </w:r>
      <w:proofErr w:type="spellStart"/>
      <w:r w:rsidRPr="001E0EEE">
        <w:rPr>
          <w:rFonts w:ascii="Arial" w:hAnsi="Arial" w:cs="Arial"/>
          <w:lang w:val="mk-MK"/>
        </w:rPr>
        <w:t>loss</w:t>
      </w:r>
      <w:proofErr w:type="spellEnd"/>
      <w:r w:rsidRPr="001E0EEE">
        <w:rPr>
          <w:rFonts w:ascii="Arial" w:hAnsi="Arial" w:cs="Arial"/>
          <w:lang w:val="mk-MK"/>
        </w:rPr>
        <w:t xml:space="preserve"> </w:t>
      </w:r>
      <w:proofErr w:type="spellStart"/>
      <w:r w:rsidRPr="001E0EEE">
        <w:rPr>
          <w:rFonts w:ascii="Arial" w:hAnsi="Arial" w:cs="Arial"/>
          <w:lang w:val="mk-MK"/>
        </w:rPr>
        <w:t>is</w:t>
      </w:r>
      <w:proofErr w:type="spellEnd"/>
      <w:r w:rsidRPr="001E0EEE">
        <w:rPr>
          <w:rFonts w:ascii="Arial" w:hAnsi="Arial" w:cs="Arial"/>
          <w:lang w:val="mk-MK"/>
        </w:rPr>
        <w:t xml:space="preserve"> </w:t>
      </w:r>
      <w:proofErr w:type="spellStart"/>
      <w:r w:rsidRPr="001E0EEE">
        <w:rPr>
          <w:rFonts w:ascii="Arial" w:hAnsi="Arial" w:cs="Arial"/>
          <w:lang w:val="mk-MK"/>
        </w:rPr>
        <w:t>recognized</w:t>
      </w:r>
      <w:proofErr w:type="spellEnd"/>
      <w:r w:rsidRPr="001E0EEE">
        <w:rPr>
          <w:rFonts w:ascii="Arial" w:hAnsi="Arial" w:cs="Arial"/>
          <w:lang w:val="mk-MK"/>
        </w:rPr>
        <w:t xml:space="preserve"> </w:t>
      </w:r>
      <w:proofErr w:type="spellStart"/>
      <w:r w:rsidRPr="001E0EEE">
        <w:rPr>
          <w:rFonts w:ascii="Arial" w:hAnsi="Arial" w:cs="Arial"/>
          <w:lang w:val="mk-MK"/>
        </w:rPr>
        <w:t>as</w:t>
      </w:r>
      <w:proofErr w:type="spellEnd"/>
      <w:r w:rsidRPr="001E0EEE">
        <w:rPr>
          <w:rFonts w:ascii="Arial" w:hAnsi="Arial" w:cs="Arial"/>
          <w:lang w:val="mk-MK"/>
        </w:rPr>
        <w:t xml:space="preserve"> a </w:t>
      </w:r>
      <w:proofErr w:type="spellStart"/>
      <w:r w:rsidRPr="001E0EEE">
        <w:rPr>
          <w:rFonts w:ascii="Arial" w:hAnsi="Arial" w:cs="Arial"/>
          <w:lang w:val="mk-MK"/>
        </w:rPr>
        <w:t>provision</w:t>
      </w:r>
      <w:proofErr w:type="spellEnd"/>
      <w:r w:rsidRPr="001E0EEE">
        <w:rPr>
          <w:rFonts w:ascii="Arial" w:hAnsi="Arial" w:cs="Arial"/>
          <w:lang w:val="mk-MK"/>
        </w:rPr>
        <w:t xml:space="preserve"> </w:t>
      </w:r>
      <w:proofErr w:type="spellStart"/>
      <w:r w:rsidRPr="001E0EEE">
        <w:rPr>
          <w:rFonts w:ascii="Arial" w:hAnsi="Arial" w:cs="Arial"/>
          <w:lang w:val="mk-MK"/>
        </w:rPr>
        <w:t>if</w:t>
      </w:r>
      <w:proofErr w:type="spellEnd"/>
      <w:r w:rsidRPr="001E0EEE">
        <w:rPr>
          <w:rFonts w:ascii="Arial" w:hAnsi="Arial" w:cs="Arial"/>
          <w:lang w:val="mk-MK"/>
        </w:rPr>
        <w:t xml:space="preserve"> </w:t>
      </w:r>
      <w:proofErr w:type="spellStart"/>
      <w:r w:rsidRPr="001E0EEE">
        <w:rPr>
          <w:rFonts w:ascii="Arial" w:hAnsi="Arial" w:cs="Arial"/>
          <w:lang w:val="mk-MK"/>
        </w:rPr>
        <w:t>it</w:t>
      </w:r>
      <w:proofErr w:type="spellEnd"/>
      <w:r w:rsidRPr="001E0EEE">
        <w:rPr>
          <w:rFonts w:ascii="Arial" w:hAnsi="Arial" w:cs="Arial"/>
          <w:lang w:val="mk-MK"/>
        </w:rPr>
        <w:t xml:space="preserve"> </w:t>
      </w:r>
      <w:proofErr w:type="spellStart"/>
      <w:r w:rsidRPr="001E0EEE">
        <w:rPr>
          <w:rFonts w:ascii="Arial" w:hAnsi="Arial" w:cs="Arial"/>
          <w:lang w:val="mk-MK"/>
        </w:rPr>
        <w:t>is</w:t>
      </w:r>
      <w:proofErr w:type="spellEnd"/>
      <w:r w:rsidRPr="001E0EEE">
        <w:rPr>
          <w:rFonts w:ascii="Arial" w:hAnsi="Arial" w:cs="Arial"/>
          <w:lang w:val="mk-MK"/>
        </w:rPr>
        <w:t xml:space="preserve"> </w:t>
      </w:r>
      <w:proofErr w:type="spellStart"/>
      <w:r w:rsidRPr="001E0EEE">
        <w:rPr>
          <w:rFonts w:ascii="Arial" w:hAnsi="Arial" w:cs="Arial"/>
          <w:lang w:val="mk-MK"/>
        </w:rPr>
        <w:t>probable</w:t>
      </w:r>
      <w:proofErr w:type="spellEnd"/>
      <w:r w:rsidRPr="001E0EEE">
        <w:rPr>
          <w:rFonts w:ascii="Arial" w:hAnsi="Arial" w:cs="Arial"/>
          <w:lang w:val="mk-MK"/>
        </w:rPr>
        <w:t xml:space="preserve"> </w:t>
      </w:r>
      <w:proofErr w:type="spellStart"/>
      <w:r w:rsidRPr="001E0EEE">
        <w:rPr>
          <w:rFonts w:ascii="Arial" w:hAnsi="Arial" w:cs="Arial"/>
          <w:lang w:val="mk-MK"/>
        </w:rPr>
        <w:t>that</w:t>
      </w:r>
      <w:proofErr w:type="spellEnd"/>
      <w:r w:rsidRPr="001E0EEE">
        <w:rPr>
          <w:rFonts w:ascii="Arial" w:hAnsi="Arial" w:cs="Arial"/>
          <w:lang w:val="mk-MK"/>
        </w:rPr>
        <w:t xml:space="preserve"> </w:t>
      </w:r>
      <w:proofErr w:type="spellStart"/>
      <w:r w:rsidRPr="001E0EEE">
        <w:rPr>
          <w:rFonts w:ascii="Arial" w:hAnsi="Arial" w:cs="Arial"/>
          <w:lang w:val="mk-MK"/>
        </w:rPr>
        <w:t>future</w:t>
      </w:r>
      <w:proofErr w:type="spellEnd"/>
      <w:r w:rsidRPr="001E0EEE">
        <w:rPr>
          <w:rFonts w:ascii="Arial" w:hAnsi="Arial" w:cs="Arial"/>
          <w:lang w:val="mk-MK"/>
        </w:rPr>
        <w:t xml:space="preserve"> </w:t>
      </w:r>
      <w:proofErr w:type="spellStart"/>
      <w:r w:rsidRPr="001E0EEE">
        <w:rPr>
          <w:rFonts w:ascii="Arial" w:hAnsi="Arial" w:cs="Arial"/>
          <w:lang w:val="mk-MK"/>
        </w:rPr>
        <w:t>events</w:t>
      </w:r>
      <w:proofErr w:type="spellEnd"/>
      <w:r w:rsidRPr="001E0EEE">
        <w:rPr>
          <w:rFonts w:ascii="Arial" w:hAnsi="Arial" w:cs="Arial"/>
          <w:lang w:val="mk-MK"/>
        </w:rPr>
        <w:t xml:space="preserve"> </w:t>
      </w:r>
      <w:proofErr w:type="spellStart"/>
      <w:r w:rsidRPr="001E0EEE">
        <w:rPr>
          <w:rFonts w:ascii="Arial" w:hAnsi="Arial" w:cs="Arial"/>
          <w:lang w:val="mk-MK"/>
        </w:rPr>
        <w:t>will</w:t>
      </w:r>
      <w:proofErr w:type="spellEnd"/>
      <w:r w:rsidRPr="001E0EEE">
        <w:rPr>
          <w:rFonts w:ascii="Arial" w:hAnsi="Arial" w:cs="Arial"/>
          <w:lang w:val="mk-MK"/>
        </w:rPr>
        <w:t xml:space="preserve"> </w:t>
      </w:r>
      <w:proofErr w:type="spellStart"/>
      <w:r w:rsidRPr="001E0EEE">
        <w:rPr>
          <w:rFonts w:ascii="Arial" w:hAnsi="Arial" w:cs="Arial"/>
          <w:lang w:val="mk-MK"/>
        </w:rPr>
        <w:t>confirm</w:t>
      </w:r>
      <w:proofErr w:type="spellEnd"/>
      <w:r w:rsidRPr="001E0EEE">
        <w:rPr>
          <w:rFonts w:ascii="Arial" w:hAnsi="Arial" w:cs="Arial"/>
          <w:lang w:val="mk-MK"/>
        </w:rPr>
        <w:t xml:space="preserve"> </w:t>
      </w:r>
      <w:proofErr w:type="spellStart"/>
      <w:r w:rsidRPr="001E0EEE">
        <w:rPr>
          <w:rFonts w:ascii="Arial" w:hAnsi="Arial" w:cs="Arial"/>
          <w:lang w:val="mk-MK"/>
        </w:rPr>
        <w:t>existence</w:t>
      </w:r>
      <w:proofErr w:type="spellEnd"/>
      <w:r w:rsidRPr="001E0EEE">
        <w:rPr>
          <w:rFonts w:ascii="Arial" w:hAnsi="Arial" w:cs="Arial"/>
          <w:lang w:val="mk-MK"/>
        </w:rPr>
        <w:t xml:space="preserve"> </w:t>
      </w:r>
      <w:proofErr w:type="spellStart"/>
      <w:r w:rsidRPr="001E0EEE">
        <w:rPr>
          <w:rFonts w:ascii="Arial" w:hAnsi="Arial" w:cs="Arial"/>
          <w:lang w:val="mk-MK"/>
        </w:rPr>
        <w:t>of</w:t>
      </w:r>
      <w:proofErr w:type="spellEnd"/>
      <w:r w:rsidRPr="001E0EEE">
        <w:rPr>
          <w:rFonts w:ascii="Arial" w:hAnsi="Arial" w:cs="Arial"/>
          <w:lang w:val="mk-MK"/>
        </w:rPr>
        <w:t xml:space="preserve"> a </w:t>
      </w:r>
      <w:proofErr w:type="spellStart"/>
      <w:r w:rsidRPr="001E0EEE">
        <w:rPr>
          <w:rFonts w:ascii="Arial" w:hAnsi="Arial" w:cs="Arial"/>
          <w:lang w:val="mk-MK"/>
        </w:rPr>
        <w:t>liability</w:t>
      </w:r>
      <w:proofErr w:type="spellEnd"/>
      <w:r w:rsidRPr="001E0EEE">
        <w:rPr>
          <w:rFonts w:ascii="Arial" w:hAnsi="Arial" w:cs="Arial"/>
          <w:lang w:val="mk-MK"/>
        </w:rPr>
        <w:t xml:space="preserve"> </w:t>
      </w:r>
      <w:proofErr w:type="spellStart"/>
      <w:r w:rsidRPr="001E0EEE">
        <w:rPr>
          <w:rFonts w:ascii="Arial" w:hAnsi="Arial" w:cs="Arial"/>
          <w:lang w:val="mk-MK"/>
        </w:rPr>
        <w:t>on</w:t>
      </w:r>
      <w:proofErr w:type="spellEnd"/>
      <w:r w:rsidRPr="001E0EEE">
        <w:rPr>
          <w:rFonts w:ascii="Arial" w:hAnsi="Arial" w:cs="Arial"/>
          <w:lang w:val="mk-MK"/>
        </w:rPr>
        <w:t xml:space="preserve"> </w:t>
      </w:r>
      <w:proofErr w:type="spellStart"/>
      <w:r w:rsidRPr="001E0EEE">
        <w:rPr>
          <w:rFonts w:ascii="Arial" w:hAnsi="Arial" w:cs="Arial"/>
          <w:lang w:val="mk-MK"/>
        </w:rPr>
        <w:t>the</w:t>
      </w:r>
      <w:proofErr w:type="spellEnd"/>
      <w:r w:rsidRPr="001E0EEE">
        <w:rPr>
          <w:rFonts w:ascii="Arial" w:hAnsi="Arial" w:cs="Arial"/>
          <w:lang w:val="mk-MK"/>
        </w:rPr>
        <w:t xml:space="preserve"> </w:t>
      </w:r>
      <w:proofErr w:type="spellStart"/>
      <w:r w:rsidRPr="001E0EEE">
        <w:rPr>
          <w:rFonts w:ascii="Arial" w:hAnsi="Arial" w:cs="Arial"/>
          <w:lang w:val="mk-MK"/>
        </w:rPr>
        <w:t>reporting</w:t>
      </w:r>
      <w:proofErr w:type="spellEnd"/>
      <w:r w:rsidRPr="001E0EEE">
        <w:rPr>
          <w:rFonts w:ascii="Arial" w:hAnsi="Arial" w:cs="Arial"/>
          <w:lang w:val="mk-MK"/>
        </w:rPr>
        <w:t xml:space="preserve"> </w:t>
      </w:r>
      <w:proofErr w:type="spellStart"/>
      <w:r w:rsidRPr="001E0EEE">
        <w:rPr>
          <w:rFonts w:ascii="Arial" w:hAnsi="Arial" w:cs="Arial"/>
          <w:lang w:val="mk-MK"/>
        </w:rPr>
        <w:t>date</w:t>
      </w:r>
      <w:proofErr w:type="spellEnd"/>
      <w:r w:rsidRPr="001E0EEE">
        <w:rPr>
          <w:rFonts w:ascii="Arial" w:hAnsi="Arial" w:cs="Arial"/>
          <w:lang w:val="mk-MK"/>
        </w:rPr>
        <w:t xml:space="preserve"> </w:t>
      </w:r>
      <w:proofErr w:type="spellStart"/>
      <w:r w:rsidRPr="001E0EEE">
        <w:rPr>
          <w:rFonts w:ascii="Arial" w:hAnsi="Arial" w:cs="Arial"/>
          <w:lang w:val="mk-MK"/>
        </w:rPr>
        <w:t>and</w:t>
      </w:r>
      <w:proofErr w:type="spellEnd"/>
      <w:r w:rsidRPr="001E0EEE">
        <w:rPr>
          <w:rFonts w:ascii="Arial" w:hAnsi="Arial" w:cs="Arial"/>
          <w:lang w:val="mk-MK"/>
        </w:rPr>
        <w:t xml:space="preserve"> </w:t>
      </w:r>
      <w:proofErr w:type="spellStart"/>
      <w:r w:rsidRPr="001E0EEE">
        <w:rPr>
          <w:rFonts w:ascii="Arial" w:hAnsi="Arial" w:cs="Arial"/>
          <w:lang w:val="mk-MK"/>
        </w:rPr>
        <w:t>when</w:t>
      </w:r>
      <w:proofErr w:type="spellEnd"/>
      <w:r w:rsidRPr="001E0EEE">
        <w:rPr>
          <w:rFonts w:ascii="Arial" w:hAnsi="Arial" w:cs="Arial"/>
          <w:lang w:val="mk-MK"/>
        </w:rPr>
        <w:t xml:space="preserve"> a </w:t>
      </w:r>
      <w:proofErr w:type="spellStart"/>
      <w:r w:rsidRPr="001E0EEE">
        <w:rPr>
          <w:rFonts w:ascii="Arial" w:hAnsi="Arial" w:cs="Arial"/>
          <w:lang w:val="mk-MK"/>
        </w:rPr>
        <w:t>reasonable</w:t>
      </w:r>
      <w:proofErr w:type="spellEnd"/>
      <w:r w:rsidRPr="001E0EEE">
        <w:rPr>
          <w:rFonts w:ascii="Arial" w:hAnsi="Arial" w:cs="Arial"/>
          <w:lang w:val="mk-MK"/>
        </w:rPr>
        <w:t xml:space="preserve"> </w:t>
      </w:r>
      <w:proofErr w:type="spellStart"/>
      <w:r w:rsidRPr="001E0EEE">
        <w:rPr>
          <w:rFonts w:ascii="Arial" w:hAnsi="Arial" w:cs="Arial"/>
          <w:lang w:val="mk-MK"/>
        </w:rPr>
        <w:t>estimate</w:t>
      </w:r>
      <w:proofErr w:type="spellEnd"/>
      <w:r w:rsidRPr="001E0EEE">
        <w:rPr>
          <w:rFonts w:ascii="Arial" w:hAnsi="Arial" w:cs="Arial"/>
          <w:lang w:val="mk-MK"/>
        </w:rPr>
        <w:t xml:space="preserve"> </w:t>
      </w:r>
      <w:proofErr w:type="spellStart"/>
      <w:r w:rsidRPr="001E0EEE">
        <w:rPr>
          <w:rFonts w:ascii="Arial" w:hAnsi="Arial" w:cs="Arial"/>
          <w:lang w:val="mk-MK"/>
        </w:rPr>
        <w:t>of</w:t>
      </w:r>
      <w:proofErr w:type="spellEnd"/>
      <w:r w:rsidRPr="001E0EEE">
        <w:rPr>
          <w:rFonts w:ascii="Arial" w:hAnsi="Arial" w:cs="Arial"/>
          <w:lang w:val="mk-MK"/>
        </w:rPr>
        <w:t xml:space="preserve"> </w:t>
      </w:r>
      <w:proofErr w:type="spellStart"/>
      <w:r w:rsidRPr="001E0EEE">
        <w:rPr>
          <w:rFonts w:ascii="Arial" w:hAnsi="Arial" w:cs="Arial"/>
          <w:lang w:val="mk-MK"/>
        </w:rPr>
        <w:t>the</w:t>
      </w:r>
      <w:proofErr w:type="spellEnd"/>
      <w:r w:rsidRPr="001E0EEE">
        <w:rPr>
          <w:rFonts w:ascii="Arial" w:hAnsi="Arial" w:cs="Arial"/>
          <w:lang w:val="mk-MK"/>
        </w:rPr>
        <w:t xml:space="preserve"> </w:t>
      </w:r>
      <w:proofErr w:type="spellStart"/>
      <w:r w:rsidRPr="001E0EEE">
        <w:rPr>
          <w:rFonts w:ascii="Arial" w:hAnsi="Arial" w:cs="Arial"/>
          <w:lang w:val="mk-MK"/>
        </w:rPr>
        <w:t>amount</w:t>
      </w:r>
      <w:proofErr w:type="spellEnd"/>
      <w:r w:rsidRPr="001E0EEE">
        <w:rPr>
          <w:rFonts w:ascii="Arial" w:hAnsi="Arial" w:cs="Arial"/>
          <w:lang w:val="mk-MK"/>
        </w:rPr>
        <w:t xml:space="preserve"> </w:t>
      </w:r>
      <w:proofErr w:type="spellStart"/>
      <w:r w:rsidRPr="001E0EEE">
        <w:rPr>
          <w:rFonts w:ascii="Arial" w:hAnsi="Arial" w:cs="Arial"/>
          <w:lang w:val="mk-MK"/>
        </w:rPr>
        <w:t>of</w:t>
      </w:r>
      <w:proofErr w:type="spellEnd"/>
      <w:r w:rsidRPr="001E0EEE">
        <w:rPr>
          <w:rFonts w:ascii="Arial" w:hAnsi="Arial" w:cs="Arial"/>
          <w:lang w:val="mk-MK"/>
        </w:rPr>
        <w:t xml:space="preserve"> </w:t>
      </w:r>
      <w:proofErr w:type="spellStart"/>
      <w:r w:rsidRPr="001E0EEE">
        <w:rPr>
          <w:rFonts w:ascii="Arial" w:hAnsi="Arial" w:cs="Arial"/>
          <w:lang w:val="mk-MK"/>
        </w:rPr>
        <w:t>the</w:t>
      </w:r>
      <w:proofErr w:type="spellEnd"/>
      <w:r w:rsidRPr="001E0EEE">
        <w:rPr>
          <w:rFonts w:ascii="Arial" w:hAnsi="Arial" w:cs="Arial"/>
          <w:lang w:val="mk-MK"/>
        </w:rPr>
        <w:t xml:space="preserve"> </w:t>
      </w:r>
      <w:proofErr w:type="spellStart"/>
      <w:r w:rsidRPr="001E0EEE">
        <w:rPr>
          <w:rFonts w:ascii="Arial" w:hAnsi="Arial" w:cs="Arial"/>
          <w:lang w:val="mk-MK"/>
        </w:rPr>
        <w:t>resulting</w:t>
      </w:r>
      <w:proofErr w:type="spellEnd"/>
      <w:r w:rsidRPr="001E0EEE">
        <w:rPr>
          <w:rFonts w:ascii="Arial" w:hAnsi="Arial" w:cs="Arial"/>
          <w:lang w:val="mk-MK"/>
        </w:rPr>
        <w:t xml:space="preserve"> </w:t>
      </w:r>
      <w:proofErr w:type="spellStart"/>
      <w:r w:rsidRPr="001E0EEE">
        <w:rPr>
          <w:rFonts w:ascii="Arial" w:hAnsi="Arial" w:cs="Arial"/>
          <w:lang w:val="mk-MK"/>
        </w:rPr>
        <w:t>loss</w:t>
      </w:r>
      <w:proofErr w:type="spellEnd"/>
      <w:r w:rsidRPr="001E0EEE">
        <w:rPr>
          <w:rFonts w:ascii="Arial" w:hAnsi="Arial" w:cs="Arial"/>
          <w:lang w:val="mk-MK"/>
        </w:rPr>
        <w:t xml:space="preserve"> </w:t>
      </w:r>
      <w:proofErr w:type="spellStart"/>
      <w:r w:rsidRPr="001E0EEE">
        <w:rPr>
          <w:rFonts w:ascii="Arial" w:hAnsi="Arial" w:cs="Arial"/>
          <w:lang w:val="mk-MK"/>
        </w:rPr>
        <w:t>can</w:t>
      </w:r>
      <w:proofErr w:type="spellEnd"/>
      <w:r w:rsidRPr="001E0EEE">
        <w:rPr>
          <w:rFonts w:ascii="Arial" w:hAnsi="Arial" w:cs="Arial"/>
          <w:lang w:val="mk-MK"/>
        </w:rPr>
        <w:t xml:space="preserve"> </w:t>
      </w:r>
      <w:proofErr w:type="spellStart"/>
      <w:r w:rsidRPr="001E0EEE">
        <w:rPr>
          <w:rFonts w:ascii="Arial" w:hAnsi="Arial" w:cs="Arial"/>
          <w:lang w:val="mk-MK"/>
        </w:rPr>
        <w:t>be</w:t>
      </w:r>
      <w:proofErr w:type="spellEnd"/>
      <w:r w:rsidRPr="001E0EEE">
        <w:rPr>
          <w:rFonts w:ascii="Arial" w:hAnsi="Arial" w:cs="Arial"/>
          <w:lang w:val="mk-MK"/>
        </w:rPr>
        <w:t xml:space="preserve"> </w:t>
      </w:r>
      <w:proofErr w:type="spellStart"/>
      <w:r w:rsidRPr="001E0EEE">
        <w:rPr>
          <w:rFonts w:ascii="Arial" w:hAnsi="Arial" w:cs="Arial"/>
          <w:lang w:val="mk-MK"/>
        </w:rPr>
        <w:t>made</w:t>
      </w:r>
      <w:proofErr w:type="spellEnd"/>
      <w:r>
        <w:rPr>
          <w:rFonts w:ascii="Arial" w:hAnsi="Arial" w:cs="Arial"/>
          <w:lang w:val="en-US"/>
        </w:rPr>
        <w:t>.</w:t>
      </w:r>
    </w:p>
    <w:p w14:paraId="5AA70FB8" w14:textId="77777777" w:rsidR="001E0EEE" w:rsidRPr="001E0EEE" w:rsidRDefault="001E0EEE" w:rsidP="00815E65">
      <w:pPr>
        <w:pStyle w:val="BodyText"/>
        <w:jc w:val="both"/>
        <w:rPr>
          <w:rFonts w:ascii="Arial" w:hAnsi="Arial" w:cs="Arial"/>
          <w:lang w:val="en-US"/>
        </w:rPr>
      </w:pPr>
    </w:p>
    <w:p w14:paraId="75FD578A" w14:textId="545858CA" w:rsidR="00815E65" w:rsidRPr="00CE3053" w:rsidRDefault="008F2213" w:rsidP="0061511C">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sidRPr="00CE3053">
        <w:rPr>
          <w:rFonts w:ascii="Arial" w:hAnsi="Arial" w:cs="Arial"/>
          <w:b/>
          <w:color w:val="4F2D7F"/>
          <w:sz w:val="18"/>
          <w:lang w:val="mk-MK"/>
        </w:rPr>
        <w:t xml:space="preserve"> </w:t>
      </w:r>
      <w:r w:rsidR="001E0EEE">
        <w:rPr>
          <w:rFonts w:ascii="Arial" w:hAnsi="Arial" w:cs="Arial"/>
          <w:b/>
          <w:color w:val="4F2D7F"/>
          <w:sz w:val="18"/>
          <w:lang w:val="en-US"/>
        </w:rPr>
        <w:t>Related party transactions</w:t>
      </w:r>
    </w:p>
    <w:p w14:paraId="0B936279" w14:textId="39CCCB82" w:rsidR="00815E65" w:rsidRDefault="008F275A" w:rsidP="00815E65">
      <w:pPr>
        <w:pStyle w:val="BodyText"/>
        <w:jc w:val="both"/>
        <w:rPr>
          <w:rFonts w:ascii="Arial" w:hAnsi="Arial" w:cs="Arial"/>
          <w:lang w:val="mk-MK"/>
        </w:rPr>
      </w:pPr>
      <w:proofErr w:type="spellStart"/>
      <w:r w:rsidRPr="008F275A">
        <w:rPr>
          <w:rFonts w:ascii="Arial" w:hAnsi="Arial" w:cs="Arial"/>
          <w:lang w:val="mk-MK"/>
        </w:rPr>
        <w:t>Related</w:t>
      </w:r>
      <w:proofErr w:type="spellEnd"/>
      <w:r w:rsidRPr="008F275A">
        <w:rPr>
          <w:rFonts w:ascii="Arial" w:hAnsi="Arial" w:cs="Arial"/>
          <w:lang w:val="mk-MK"/>
        </w:rPr>
        <w:t xml:space="preserve"> </w:t>
      </w:r>
      <w:proofErr w:type="spellStart"/>
      <w:r w:rsidRPr="008F275A">
        <w:rPr>
          <w:rFonts w:ascii="Arial" w:hAnsi="Arial" w:cs="Arial"/>
          <w:lang w:val="mk-MK"/>
        </w:rPr>
        <w:t>parties</w:t>
      </w:r>
      <w:proofErr w:type="spellEnd"/>
      <w:r w:rsidRPr="008F275A">
        <w:rPr>
          <w:rFonts w:ascii="Arial" w:hAnsi="Arial" w:cs="Arial"/>
          <w:lang w:val="mk-MK"/>
        </w:rPr>
        <w:t xml:space="preserve"> </w:t>
      </w:r>
      <w:proofErr w:type="spellStart"/>
      <w:r w:rsidRPr="008F275A">
        <w:rPr>
          <w:rFonts w:ascii="Arial" w:hAnsi="Arial" w:cs="Arial"/>
          <w:lang w:val="mk-MK"/>
        </w:rPr>
        <w:t>are</w:t>
      </w:r>
      <w:proofErr w:type="spellEnd"/>
      <w:r w:rsidRPr="008F275A">
        <w:rPr>
          <w:rFonts w:ascii="Arial" w:hAnsi="Arial" w:cs="Arial"/>
          <w:lang w:val="mk-MK"/>
        </w:rPr>
        <w:t xml:space="preserve"> </w:t>
      </w:r>
      <w:proofErr w:type="spellStart"/>
      <w:r w:rsidRPr="008F275A">
        <w:rPr>
          <w:rFonts w:ascii="Arial" w:hAnsi="Arial" w:cs="Arial"/>
          <w:lang w:val="mk-MK"/>
        </w:rPr>
        <w:t>considered</w:t>
      </w:r>
      <w:proofErr w:type="spellEnd"/>
      <w:r w:rsidRPr="008F275A">
        <w:rPr>
          <w:rFonts w:ascii="Arial" w:hAnsi="Arial" w:cs="Arial"/>
          <w:lang w:val="mk-MK"/>
        </w:rPr>
        <w:t xml:space="preserve"> </w:t>
      </w:r>
      <w:proofErr w:type="spellStart"/>
      <w:r w:rsidRPr="008F275A">
        <w:rPr>
          <w:rFonts w:ascii="Arial" w:hAnsi="Arial" w:cs="Arial"/>
          <w:lang w:val="mk-MK"/>
        </w:rPr>
        <w:t>those</w:t>
      </w:r>
      <w:proofErr w:type="spellEnd"/>
      <w:r w:rsidRPr="008F275A">
        <w:rPr>
          <w:rFonts w:ascii="Arial" w:hAnsi="Arial" w:cs="Arial"/>
          <w:lang w:val="mk-MK"/>
        </w:rPr>
        <w:t xml:space="preserve"> </w:t>
      </w:r>
      <w:proofErr w:type="spellStart"/>
      <w:r w:rsidRPr="008F275A">
        <w:rPr>
          <w:rFonts w:ascii="Arial" w:hAnsi="Arial" w:cs="Arial"/>
          <w:lang w:val="mk-MK"/>
        </w:rPr>
        <w:t>where</w:t>
      </w:r>
      <w:proofErr w:type="spellEnd"/>
      <w:r w:rsidRPr="008F275A">
        <w:rPr>
          <w:rFonts w:ascii="Arial" w:hAnsi="Arial" w:cs="Arial"/>
          <w:lang w:val="mk-MK"/>
        </w:rPr>
        <w:t xml:space="preserve"> </w:t>
      </w:r>
      <w:proofErr w:type="spellStart"/>
      <w:r w:rsidRPr="008F275A">
        <w:rPr>
          <w:rFonts w:ascii="Arial" w:hAnsi="Arial" w:cs="Arial"/>
          <w:lang w:val="mk-MK"/>
        </w:rPr>
        <w:t>one</w:t>
      </w:r>
      <w:proofErr w:type="spellEnd"/>
      <w:r w:rsidRPr="008F275A">
        <w:rPr>
          <w:rFonts w:ascii="Arial" w:hAnsi="Arial" w:cs="Arial"/>
          <w:lang w:val="mk-MK"/>
        </w:rPr>
        <w:t xml:space="preserve"> </w:t>
      </w:r>
      <w:proofErr w:type="spellStart"/>
      <w:r w:rsidRPr="008F275A">
        <w:rPr>
          <w:rFonts w:ascii="Arial" w:hAnsi="Arial" w:cs="Arial"/>
          <w:lang w:val="mk-MK"/>
        </w:rPr>
        <w:t>entity</w:t>
      </w:r>
      <w:proofErr w:type="spellEnd"/>
      <w:r w:rsidRPr="008F275A">
        <w:rPr>
          <w:rFonts w:ascii="Arial" w:hAnsi="Arial" w:cs="Arial"/>
          <w:lang w:val="mk-MK"/>
        </w:rPr>
        <w:t xml:space="preserve"> </w:t>
      </w:r>
      <w:proofErr w:type="spellStart"/>
      <w:r w:rsidRPr="008F275A">
        <w:rPr>
          <w:rFonts w:ascii="Arial" w:hAnsi="Arial" w:cs="Arial"/>
          <w:lang w:val="mk-MK"/>
        </w:rPr>
        <w:t>controls</w:t>
      </w:r>
      <w:proofErr w:type="spellEnd"/>
      <w:r w:rsidRPr="008F275A">
        <w:rPr>
          <w:rFonts w:ascii="Arial" w:hAnsi="Arial" w:cs="Arial"/>
          <w:lang w:val="mk-MK"/>
        </w:rPr>
        <w:t xml:space="preserve"> </w:t>
      </w:r>
      <w:proofErr w:type="spellStart"/>
      <w:r w:rsidRPr="008F275A">
        <w:rPr>
          <w:rFonts w:ascii="Arial" w:hAnsi="Arial" w:cs="Arial"/>
          <w:lang w:val="mk-MK"/>
        </w:rPr>
        <w:t>the</w:t>
      </w:r>
      <w:proofErr w:type="spellEnd"/>
      <w:r w:rsidRPr="008F275A">
        <w:rPr>
          <w:rFonts w:ascii="Arial" w:hAnsi="Arial" w:cs="Arial"/>
          <w:lang w:val="mk-MK"/>
        </w:rPr>
        <w:t xml:space="preserve"> </w:t>
      </w:r>
      <w:proofErr w:type="spellStart"/>
      <w:r w:rsidRPr="008F275A">
        <w:rPr>
          <w:rFonts w:ascii="Arial" w:hAnsi="Arial" w:cs="Arial"/>
          <w:lang w:val="mk-MK"/>
        </w:rPr>
        <w:t>other</w:t>
      </w:r>
      <w:proofErr w:type="spellEnd"/>
      <w:r w:rsidRPr="008F275A">
        <w:rPr>
          <w:rFonts w:ascii="Arial" w:hAnsi="Arial" w:cs="Arial"/>
          <w:lang w:val="mk-MK"/>
        </w:rPr>
        <w:t xml:space="preserve"> </w:t>
      </w:r>
      <w:proofErr w:type="spellStart"/>
      <w:r w:rsidRPr="008F275A">
        <w:rPr>
          <w:rFonts w:ascii="Arial" w:hAnsi="Arial" w:cs="Arial"/>
          <w:lang w:val="mk-MK"/>
        </w:rPr>
        <w:t>or</w:t>
      </w:r>
      <w:proofErr w:type="spellEnd"/>
      <w:r w:rsidRPr="008F275A">
        <w:rPr>
          <w:rFonts w:ascii="Arial" w:hAnsi="Arial" w:cs="Arial"/>
          <w:lang w:val="mk-MK"/>
        </w:rPr>
        <w:t xml:space="preserve"> </w:t>
      </w:r>
      <w:proofErr w:type="spellStart"/>
      <w:r w:rsidRPr="008F275A">
        <w:rPr>
          <w:rFonts w:ascii="Arial" w:hAnsi="Arial" w:cs="Arial"/>
          <w:lang w:val="mk-MK"/>
        </w:rPr>
        <w:t>has</w:t>
      </w:r>
      <w:proofErr w:type="spellEnd"/>
      <w:r w:rsidRPr="008F275A">
        <w:rPr>
          <w:rFonts w:ascii="Arial" w:hAnsi="Arial" w:cs="Arial"/>
          <w:lang w:val="mk-MK"/>
        </w:rPr>
        <w:t xml:space="preserve"> </w:t>
      </w:r>
      <w:proofErr w:type="spellStart"/>
      <w:r w:rsidRPr="008F275A">
        <w:rPr>
          <w:rFonts w:ascii="Arial" w:hAnsi="Arial" w:cs="Arial"/>
          <w:lang w:val="mk-MK"/>
        </w:rPr>
        <w:t>significant</w:t>
      </w:r>
      <w:proofErr w:type="spellEnd"/>
      <w:r w:rsidRPr="008F275A">
        <w:rPr>
          <w:rFonts w:ascii="Arial" w:hAnsi="Arial" w:cs="Arial"/>
          <w:lang w:val="mk-MK"/>
        </w:rPr>
        <w:t xml:space="preserve"> </w:t>
      </w:r>
      <w:proofErr w:type="spellStart"/>
      <w:r w:rsidRPr="008F275A">
        <w:rPr>
          <w:rFonts w:ascii="Arial" w:hAnsi="Arial" w:cs="Arial"/>
          <w:lang w:val="mk-MK"/>
        </w:rPr>
        <w:t>influence</w:t>
      </w:r>
      <w:proofErr w:type="spellEnd"/>
      <w:r w:rsidRPr="008F275A">
        <w:rPr>
          <w:rFonts w:ascii="Arial" w:hAnsi="Arial" w:cs="Arial"/>
          <w:lang w:val="mk-MK"/>
        </w:rPr>
        <w:t xml:space="preserve"> </w:t>
      </w:r>
      <w:proofErr w:type="spellStart"/>
      <w:r w:rsidRPr="008F275A">
        <w:rPr>
          <w:rFonts w:ascii="Arial" w:hAnsi="Arial" w:cs="Arial"/>
          <w:lang w:val="mk-MK"/>
        </w:rPr>
        <w:t>in</w:t>
      </w:r>
      <w:proofErr w:type="spellEnd"/>
      <w:r w:rsidRPr="008F275A">
        <w:rPr>
          <w:rFonts w:ascii="Arial" w:hAnsi="Arial" w:cs="Arial"/>
          <w:lang w:val="mk-MK"/>
        </w:rPr>
        <w:t xml:space="preserve"> </w:t>
      </w:r>
      <w:proofErr w:type="spellStart"/>
      <w:r w:rsidRPr="008F275A">
        <w:rPr>
          <w:rFonts w:ascii="Arial" w:hAnsi="Arial" w:cs="Arial"/>
          <w:lang w:val="mk-MK"/>
        </w:rPr>
        <w:t>making</w:t>
      </w:r>
      <w:proofErr w:type="spellEnd"/>
      <w:r w:rsidRPr="008F275A">
        <w:rPr>
          <w:rFonts w:ascii="Arial" w:hAnsi="Arial" w:cs="Arial"/>
          <w:lang w:val="mk-MK"/>
        </w:rPr>
        <w:t xml:space="preserve"> </w:t>
      </w:r>
      <w:proofErr w:type="spellStart"/>
      <w:r w:rsidRPr="008F275A">
        <w:rPr>
          <w:rFonts w:ascii="Arial" w:hAnsi="Arial" w:cs="Arial"/>
          <w:lang w:val="mk-MK"/>
        </w:rPr>
        <w:t>financial</w:t>
      </w:r>
      <w:proofErr w:type="spellEnd"/>
      <w:r w:rsidRPr="008F275A">
        <w:rPr>
          <w:rFonts w:ascii="Arial" w:hAnsi="Arial" w:cs="Arial"/>
          <w:lang w:val="mk-MK"/>
        </w:rPr>
        <w:t xml:space="preserve"> </w:t>
      </w:r>
      <w:proofErr w:type="spellStart"/>
      <w:r w:rsidRPr="008F275A">
        <w:rPr>
          <w:rFonts w:ascii="Arial" w:hAnsi="Arial" w:cs="Arial"/>
          <w:lang w:val="mk-MK"/>
        </w:rPr>
        <w:t>and</w:t>
      </w:r>
      <w:proofErr w:type="spellEnd"/>
      <w:r w:rsidRPr="008F275A">
        <w:rPr>
          <w:rFonts w:ascii="Arial" w:hAnsi="Arial" w:cs="Arial"/>
          <w:lang w:val="mk-MK"/>
        </w:rPr>
        <w:t xml:space="preserve"> </w:t>
      </w:r>
      <w:proofErr w:type="spellStart"/>
      <w:r w:rsidRPr="008F275A">
        <w:rPr>
          <w:rFonts w:ascii="Arial" w:hAnsi="Arial" w:cs="Arial"/>
          <w:lang w:val="mk-MK"/>
        </w:rPr>
        <w:t>operating</w:t>
      </w:r>
      <w:proofErr w:type="spellEnd"/>
      <w:r w:rsidRPr="008F275A">
        <w:rPr>
          <w:rFonts w:ascii="Arial" w:hAnsi="Arial" w:cs="Arial"/>
          <w:lang w:val="mk-MK"/>
        </w:rPr>
        <w:t xml:space="preserve"> </w:t>
      </w:r>
      <w:proofErr w:type="spellStart"/>
      <w:r w:rsidRPr="008F275A">
        <w:rPr>
          <w:rFonts w:ascii="Arial" w:hAnsi="Arial" w:cs="Arial"/>
          <w:lang w:val="mk-MK"/>
        </w:rPr>
        <w:t>decisions</w:t>
      </w:r>
      <w:proofErr w:type="spellEnd"/>
      <w:r w:rsidRPr="008F275A">
        <w:rPr>
          <w:rFonts w:ascii="Arial" w:hAnsi="Arial" w:cs="Arial"/>
          <w:lang w:val="mk-MK"/>
        </w:rPr>
        <w:t xml:space="preserve"> </w:t>
      </w:r>
      <w:proofErr w:type="spellStart"/>
      <w:r w:rsidRPr="008F275A">
        <w:rPr>
          <w:rFonts w:ascii="Arial" w:hAnsi="Arial" w:cs="Arial"/>
          <w:lang w:val="mk-MK"/>
        </w:rPr>
        <w:t>of</w:t>
      </w:r>
      <w:proofErr w:type="spellEnd"/>
      <w:r w:rsidRPr="008F275A">
        <w:rPr>
          <w:rFonts w:ascii="Arial" w:hAnsi="Arial" w:cs="Arial"/>
          <w:lang w:val="mk-MK"/>
        </w:rPr>
        <w:t xml:space="preserve"> </w:t>
      </w:r>
      <w:proofErr w:type="spellStart"/>
      <w:r w:rsidRPr="008F275A">
        <w:rPr>
          <w:rFonts w:ascii="Arial" w:hAnsi="Arial" w:cs="Arial"/>
          <w:lang w:val="mk-MK"/>
        </w:rPr>
        <w:t>the</w:t>
      </w:r>
      <w:proofErr w:type="spellEnd"/>
      <w:r w:rsidRPr="008F275A">
        <w:rPr>
          <w:rFonts w:ascii="Arial" w:hAnsi="Arial" w:cs="Arial"/>
          <w:lang w:val="mk-MK"/>
        </w:rPr>
        <w:t xml:space="preserve"> </w:t>
      </w:r>
      <w:proofErr w:type="spellStart"/>
      <w:r w:rsidRPr="008F275A">
        <w:rPr>
          <w:rFonts w:ascii="Arial" w:hAnsi="Arial" w:cs="Arial"/>
          <w:lang w:val="mk-MK"/>
        </w:rPr>
        <w:t>other</w:t>
      </w:r>
      <w:proofErr w:type="spellEnd"/>
      <w:r w:rsidRPr="008F275A">
        <w:rPr>
          <w:rFonts w:ascii="Arial" w:hAnsi="Arial" w:cs="Arial"/>
          <w:lang w:val="mk-MK"/>
        </w:rPr>
        <w:t xml:space="preserve"> </w:t>
      </w:r>
      <w:proofErr w:type="spellStart"/>
      <w:r w:rsidRPr="008F275A">
        <w:rPr>
          <w:rFonts w:ascii="Arial" w:hAnsi="Arial" w:cs="Arial"/>
          <w:lang w:val="mk-MK"/>
        </w:rPr>
        <w:t>entity</w:t>
      </w:r>
      <w:proofErr w:type="spellEnd"/>
      <w:r w:rsidRPr="008F275A">
        <w:rPr>
          <w:rFonts w:ascii="Arial" w:hAnsi="Arial" w:cs="Arial"/>
          <w:lang w:val="mk-MK"/>
        </w:rPr>
        <w:t xml:space="preserve">. </w:t>
      </w:r>
      <w:proofErr w:type="spellStart"/>
      <w:r w:rsidRPr="008F275A">
        <w:rPr>
          <w:rFonts w:ascii="Arial" w:hAnsi="Arial" w:cs="Arial"/>
          <w:lang w:val="mk-MK"/>
        </w:rPr>
        <w:t>These</w:t>
      </w:r>
      <w:proofErr w:type="spellEnd"/>
      <w:r w:rsidRPr="008F275A">
        <w:rPr>
          <w:rFonts w:ascii="Arial" w:hAnsi="Arial" w:cs="Arial"/>
          <w:lang w:val="mk-MK"/>
        </w:rPr>
        <w:t xml:space="preserve"> </w:t>
      </w:r>
      <w:proofErr w:type="spellStart"/>
      <w:r w:rsidRPr="008F275A">
        <w:rPr>
          <w:rFonts w:ascii="Arial" w:hAnsi="Arial" w:cs="Arial"/>
          <w:lang w:val="mk-MK"/>
        </w:rPr>
        <w:t>transactions</w:t>
      </w:r>
      <w:proofErr w:type="spellEnd"/>
      <w:r w:rsidRPr="008F275A">
        <w:rPr>
          <w:rFonts w:ascii="Arial" w:hAnsi="Arial" w:cs="Arial"/>
          <w:lang w:val="mk-MK"/>
        </w:rPr>
        <w:t xml:space="preserve"> </w:t>
      </w:r>
      <w:proofErr w:type="spellStart"/>
      <w:r w:rsidRPr="008F275A">
        <w:rPr>
          <w:rFonts w:ascii="Arial" w:hAnsi="Arial" w:cs="Arial"/>
          <w:lang w:val="mk-MK"/>
        </w:rPr>
        <w:t>are</w:t>
      </w:r>
      <w:proofErr w:type="spellEnd"/>
      <w:r w:rsidRPr="008F275A">
        <w:rPr>
          <w:rFonts w:ascii="Arial" w:hAnsi="Arial" w:cs="Arial"/>
          <w:lang w:val="mk-MK"/>
        </w:rPr>
        <w:t xml:space="preserve"> </w:t>
      </w:r>
      <w:proofErr w:type="spellStart"/>
      <w:r w:rsidRPr="008F275A">
        <w:rPr>
          <w:rFonts w:ascii="Arial" w:hAnsi="Arial" w:cs="Arial"/>
          <w:lang w:val="mk-MK"/>
        </w:rPr>
        <w:t>carried</w:t>
      </w:r>
      <w:proofErr w:type="spellEnd"/>
      <w:r w:rsidRPr="008F275A">
        <w:rPr>
          <w:rFonts w:ascii="Arial" w:hAnsi="Arial" w:cs="Arial"/>
          <w:lang w:val="mk-MK"/>
        </w:rPr>
        <w:t xml:space="preserve"> </w:t>
      </w:r>
      <w:proofErr w:type="spellStart"/>
      <w:r w:rsidRPr="008F275A">
        <w:rPr>
          <w:rFonts w:ascii="Arial" w:hAnsi="Arial" w:cs="Arial"/>
          <w:lang w:val="mk-MK"/>
        </w:rPr>
        <w:t>out</w:t>
      </w:r>
      <w:proofErr w:type="spellEnd"/>
      <w:r w:rsidRPr="008F275A">
        <w:rPr>
          <w:rFonts w:ascii="Arial" w:hAnsi="Arial" w:cs="Arial"/>
          <w:lang w:val="mk-MK"/>
        </w:rPr>
        <w:t xml:space="preserve"> </w:t>
      </w:r>
      <w:proofErr w:type="spellStart"/>
      <w:r w:rsidRPr="008F275A">
        <w:rPr>
          <w:rFonts w:ascii="Arial" w:hAnsi="Arial" w:cs="Arial"/>
          <w:lang w:val="mk-MK"/>
        </w:rPr>
        <w:t>during</w:t>
      </w:r>
      <w:proofErr w:type="spellEnd"/>
      <w:r w:rsidRPr="008F275A">
        <w:rPr>
          <w:rFonts w:ascii="Arial" w:hAnsi="Arial" w:cs="Arial"/>
          <w:lang w:val="mk-MK"/>
        </w:rPr>
        <w:t xml:space="preserve"> </w:t>
      </w:r>
      <w:proofErr w:type="spellStart"/>
      <w:r w:rsidRPr="008F275A">
        <w:rPr>
          <w:rFonts w:ascii="Arial" w:hAnsi="Arial" w:cs="Arial"/>
          <w:lang w:val="mk-MK"/>
        </w:rPr>
        <w:t>the</w:t>
      </w:r>
      <w:proofErr w:type="spellEnd"/>
      <w:r w:rsidRPr="008F275A">
        <w:rPr>
          <w:rFonts w:ascii="Arial" w:hAnsi="Arial" w:cs="Arial"/>
          <w:lang w:val="mk-MK"/>
        </w:rPr>
        <w:t xml:space="preserve"> </w:t>
      </w:r>
      <w:proofErr w:type="spellStart"/>
      <w:r w:rsidRPr="008F275A">
        <w:rPr>
          <w:rFonts w:ascii="Arial" w:hAnsi="Arial" w:cs="Arial"/>
          <w:lang w:val="mk-MK"/>
        </w:rPr>
        <w:t>regular</w:t>
      </w:r>
      <w:proofErr w:type="spellEnd"/>
      <w:r w:rsidRPr="008F275A">
        <w:rPr>
          <w:rFonts w:ascii="Arial" w:hAnsi="Arial" w:cs="Arial"/>
          <w:lang w:val="mk-MK"/>
        </w:rPr>
        <w:t xml:space="preserve"> </w:t>
      </w:r>
      <w:proofErr w:type="spellStart"/>
      <w:r w:rsidRPr="008F275A">
        <w:rPr>
          <w:rFonts w:ascii="Arial" w:hAnsi="Arial" w:cs="Arial"/>
          <w:lang w:val="mk-MK"/>
        </w:rPr>
        <w:t>course</w:t>
      </w:r>
      <w:proofErr w:type="spellEnd"/>
      <w:r w:rsidRPr="008F275A">
        <w:rPr>
          <w:rFonts w:ascii="Arial" w:hAnsi="Arial" w:cs="Arial"/>
          <w:lang w:val="mk-MK"/>
        </w:rPr>
        <w:t xml:space="preserve"> </w:t>
      </w:r>
      <w:proofErr w:type="spellStart"/>
      <w:r w:rsidRPr="008F275A">
        <w:rPr>
          <w:rFonts w:ascii="Arial" w:hAnsi="Arial" w:cs="Arial"/>
          <w:lang w:val="mk-MK"/>
        </w:rPr>
        <w:t>of</w:t>
      </w:r>
      <w:proofErr w:type="spellEnd"/>
      <w:r w:rsidRPr="008F275A">
        <w:rPr>
          <w:rFonts w:ascii="Arial" w:hAnsi="Arial" w:cs="Arial"/>
          <w:lang w:val="mk-MK"/>
        </w:rPr>
        <w:t xml:space="preserve"> </w:t>
      </w:r>
      <w:proofErr w:type="spellStart"/>
      <w:r w:rsidRPr="008F275A">
        <w:rPr>
          <w:rFonts w:ascii="Arial" w:hAnsi="Arial" w:cs="Arial"/>
          <w:lang w:val="mk-MK"/>
        </w:rPr>
        <w:t>business</w:t>
      </w:r>
      <w:proofErr w:type="spellEnd"/>
      <w:r w:rsidRPr="008F275A">
        <w:rPr>
          <w:rFonts w:ascii="Arial" w:hAnsi="Arial" w:cs="Arial"/>
          <w:lang w:val="mk-MK"/>
        </w:rPr>
        <w:t xml:space="preserve"> </w:t>
      </w:r>
      <w:proofErr w:type="spellStart"/>
      <w:r w:rsidRPr="008F275A">
        <w:rPr>
          <w:rFonts w:ascii="Arial" w:hAnsi="Arial" w:cs="Arial"/>
          <w:lang w:val="mk-MK"/>
        </w:rPr>
        <w:t>activities</w:t>
      </w:r>
      <w:proofErr w:type="spellEnd"/>
      <w:r w:rsidRPr="008F275A">
        <w:rPr>
          <w:rFonts w:ascii="Arial" w:hAnsi="Arial" w:cs="Arial"/>
          <w:lang w:val="mk-MK"/>
        </w:rPr>
        <w:t>.</w:t>
      </w:r>
    </w:p>
    <w:p w14:paraId="00A81053" w14:textId="77777777" w:rsidR="008F275A" w:rsidRPr="00CE3053" w:rsidRDefault="008F275A" w:rsidP="00815E65">
      <w:pPr>
        <w:pStyle w:val="BodyText"/>
        <w:jc w:val="both"/>
        <w:rPr>
          <w:rFonts w:ascii="Arial" w:hAnsi="Arial" w:cs="Arial"/>
          <w:lang w:val="mk-MK"/>
        </w:rPr>
      </w:pPr>
    </w:p>
    <w:p w14:paraId="30357C3F" w14:textId="7AC80FC9" w:rsidR="00815E65" w:rsidRPr="00CE3053" w:rsidRDefault="007547EB" w:rsidP="0061511C">
      <w:pPr>
        <w:pStyle w:val="NumberedHeading1"/>
        <w:numPr>
          <w:ilvl w:val="1"/>
          <w:numId w:val="22"/>
        </w:numPr>
        <w:tabs>
          <w:tab w:val="clear" w:pos="360"/>
          <w:tab w:val="num" w:pos="720"/>
        </w:tabs>
        <w:spacing w:before="0" w:after="0" w:line="240" w:lineRule="auto"/>
        <w:jc w:val="both"/>
        <w:rPr>
          <w:rFonts w:ascii="Arial" w:hAnsi="Arial" w:cs="Arial"/>
          <w:b/>
          <w:color w:val="4F2D7F"/>
          <w:sz w:val="18"/>
          <w:lang w:val="mk-MK"/>
        </w:rPr>
      </w:pPr>
      <w:r w:rsidRPr="001E6526">
        <w:rPr>
          <w:rFonts w:ascii="Arial" w:hAnsi="Arial" w:cs="Arial"/>
          <w:b/>
          <w:color w:val="4F2D7F"/>
          <w:sz w:val="18"/>
          <w:lang w:val="mk-MK"/>
        </w:rPr>
        <w:t xml:space="preserve"> </w:t>
      </w:r>
      <w:r w:rsidR="008F275A">
        <w:rPr>
          <w:rFonts w:ascii="Arial" w:hAnsi="Arial" w:cs="Arial"/>
          <w:b/>
          <w:color w:val="4F2D7F"/>
          <w:sz w:val="18"/>
          <w:lang w:val="en-US"/>
        </w:rPr>
        <w:t>Events after the reporting date</w:t>
      </w:r>
    </w:p>
    <w:p w14:paraId="1DBD596C" w14:textId="77349753" w:rsidR="00815E65" w:rsidRDefault="008F275A" w:rsidP="00815E65">
      <w:pPr>
        <w:pStyle w:val="BodyText"/>
        <w:jc w:val="both"/>
        <w:rPr>
          <w:rFonts w:ascii="Arial" w:hAnsi="Arial" w:cs="Arial"/>
          <w:lang w:val="mk-MK"/>
        </w:rPr>
      </w:pPr>
      <w:proofErr w:type="spellStart"/>
      <w:r w:rsidRPr="008F275A">
        <w:rPr>
          <w:rFonts w:ascii="Arial" w:hAnsi="Arial" w:cs="Arial"/>
          <w:lang w:val="mk-MK"/>
        </w:rPr>
        <w:t>Events</w:t>
      </w:r>
      <w:proofErr w:type="spellEnd"/>
      <w:r w:rsidRPr="008F275A">
        <w:rPr>
          <w:rFonts w:ascii="Arial" w:hAnsi="Arial" w:cs="Arial"/>
          <w:lang w:val="mk-MK"/>
        </w:rPr>
        <w:t xml:space="preserve"> </w:t>
      </w:r>
      <w:proofErr w:type="spellStart"/>
      <w:r w:rsidRPr="008F275A">
        <w:rPr>
          <w:rFonts w:ascii="Arial" w:hAnsi="Arial" w:cs="Arial"/>
          <w:lang w:val="mk-MK"/>
        </w:rPr>
        <w:t>after</w:t>
      </w:r>
      <w:proofErr w:type="spellEnd"/>
      <w:r w:rsidRPr="008F275A">
        <w:rPr>
          <w:rFonts w:ascii="Arial" w:hAnsi="Arial" w:cs="Arial"/>
          <w:lang w:val="mk-MK"/>
        </w:rPr>
        <w:t xml:space="preserve"> </w:t>
      </w:r>
      <w:proofErr w:type="spellStart"/>
      <w:r w:rsidRPr="008F275A">
        <w:rPr>
          <w:rFonts w:ascii="Arial" w:hAnsi="Arial" w:cs="Arial"/>
          <w:lang w:val="mk-MK"/>
        </w:rPr>
        <w:t>the</w:t>
      </w:r>
      <w:proofErr w:type="spellEnd"/>
      <w:r w:rsidRPr="008F275A">
        <w:rPr>
          <w:rFonts w:ascii="Arial" w:hAnsi="Arial" w:cs="Arial"/>
          <w:lang w:val="mk-MK"/>
        </w:rPr>
        <w:t xml:space="preserve"> </w:t>
      </w:r>
      <w:proofErr w:type="spellStart"/>
      <w:r w:rsidRPr="008F275A">
        <w:rPr>
          <w:rFonts w:ascii="Arial" w:hAnsi="Arial" w:cs="Arial"/>
          <w:lang w:val="mk-MK"/>
        </w:rPr>
        <w:t>reporting</w:t>
      </w:r>
      <w:proofErr w:type="spellEnd"/>
      <w:r w:rsidRPr="008F275A">
        <w:rPr>
          <w:rFonts w:ascii="Arial" w:hAnsi="Arial" w:cs="Arial"/>
          <w:lang w:val="mk-MK"/>
        </w:rPr>
        <w:t xml:space="preserve"> </w:t>
      </w:r>
      <w:proofErr w:type="spellStart"/>
      <w:r w:rsidRPr="008F275A">
        <w:rPr>
          <w:rFonts w:ascii="Arial" w:hAnsi="Arial" w:cs="Arial"/>
          <w:lang w:val="mk-MK"/>
        </w:rPr>
        <w:t>date</w:t>
      </w:r>
      <w:proofErr w:type="spellEnd"/>
      <w:r w:rsidRPr="008F275A">
        <w:rPr>
          <w:rFonts w:ascii="Arial" w:hAnsi="Arial" w:cs="Arial"/>
          <w:lang w:val="mk-MK"/>
        </w:rPr>
        <w:t xml:space="preserve"> </w:t>
      </w:r>
      <w:proofErr w:type="spellStart"/>
      <w:r w:rsidRPr="008F275A">
        <w:rPr>
          <w:rFonts w:ascii="Arial" w:hAnsi="Arial" w:cs="Arial"/>
          <w:lang w:val="mk-MK"/>
        </w:rPr>
        <w:t>that</w:t>
      </w:r>
      <w:proofErr w:type="spellEnd"/>
      <w:r w:rsidRPr="008F275A">
        <w:rPr>
          <w:rFonts w:ascii="Arial" w:hAnsi="Arial" w:cs="Arial"/>
          <w:lang w:val="mk-MK"/>
        </w:rPr>
        <w:t xml:space="preserve"> </w:t>
      </w:r>
      <w:proofErr w:type="spellStart"/>
      <w:r w:rsidRPr="008F275A">
        <w:rPr>
          <w:rFonts w:ascii="Arial" w:hAnsi="Arial" w:cs="Arial"/>
          <w:lang w:val="mk-MK"/>
        </w:rPr>
        <w:t>provide</w:t>
      </w:r>
      <w:proofErr w:type="spellEnd"/>
      <w:r w:rsidRPr="008F275A">
        <w:rPr>
          <w:rFonts w:ascii="Arial" w:hAnsi="Arial" w:cs="Arial"/>
          <w:lang w:val="mk-MK"/>
        </w:rPr>
        <w:t xml:space="preserve"> </w:t>
      </w:r>
      <w:proofErr w:type="spellStart"/>
      <w:r w:rsidRPr="008F275A">
        <w:rPr>
          <w:rFonts w:ascii="Arial" w:hAnsi="Arial" w:cs="Arial"/>
          <w:lang w:val="mk-MK"/>
        </w:rPr>
        <w:t>additional</w:t>
      </w:r>
      <w:proofErr w:type="spellEnd"/>
      <w:r w:rsidRPr="008F275A">
        <w:rPr>
          <w:rFonts w:ascii="Arial" w:hAnsi="Arial" w:cs="Arial"/>
          <w:lang w:val="mk-MK"/>
        </w:rPr>
        <w:t xml:space="preserve"> </w:t>
      </w:r>
      <w:proofErr w:type="spellStart"/>
      <w:r w:rsidRPr="008F275A">
        <w:rPr>
          <w:rFonts w:ascii="Arial" w:hAnsi="Arial" w:cs="Arial"/>
          <w:lang w:val="mk-MK"/>
        </w:rPr>
        <w:t>information</w:t>
      </w:r>
      <w:proofErr w:type="spellEnd"/>
      <w:r w:rsidRPr="008F275A">
        <w:rPr>
          <w:rFonts w:ascii="Arial" w:hAnsi="Arial" w:cs="Arial"/>
          <w:lang w:val="mk-MK"/>
        </w:rPr>
        <w:t xml:space="preserve"> </w:t>
      </w:r>
      <w:proofErr w:type="spellStart"/>
      <w:r w:rsidRPr="008F275A">
        <w:rPr>
          <w:rFonts w:ascii="Arial" w:hAnsi="Arial" w:cs="Arial"/>
          <w:lang w:val="mk-MK"/>
        </w:rPr>
        <w:t>about</w:t>
      </w:r>
      <w:proofErr w:type="spellEnd"/>
      <w:r w:rsidRPr="008F275A">
        <w:rPr>
          <w:rFonts w:ascii="Arial" w:hAnsi="Arial" w:cs="Arial"/>
          <w:lang w:val="mk-MK"/>
        </w:rPr>
        <w:t xml:space="preserve"> </w:t>
      </w:r>
      <w:proofErr w:type="spellStart"/>
      <w:r w:rsidRPr="008F275A">
        <w:rPr>
          <w:rFonts w:ascii="Arial" w:hAnsi="Arial" w:cs="Arial"/>
          <w:lang w:val="mk-MK"/>
        </w:rPr>
        <w:t>the</w:t>
      </w:r>
      <w:proofErr w:type="spellEnd"/>
      <w:r w:rsidRPr="008F275A">
        <w:rPr>
          <w:rFonts w:ascii="Arial" w:hAnsi="Arial" w:cs="Arial"/>
          <w:lang w:val="mk-MK"/>
        </w:rPr>
        <w:t xml:space="preserve"> </w:t>
      </w:r>
      <w:proofErr w:type="spellStart"/>
      <w:r w:rsidRPr="008F275A">
        <w:rPr>
          <w:rFonts w:ascii="Arial" w:hAnsi="Arial" w:cs="Arial"/>
          <w:lang w:val="mk-MK"/>
        </w:rPr>
        <w:t>Fund’s</w:t>
      </w:r>
      <w:proofErr w:type="spellEnd"/>
      <w:r w:rsidRPr="008F275A">
        <w:rPr>
          <w:rFonts w:ascii="Arial" w:hAnsi="Arial" w:cs="Arial"/>
          <w:lang w:val="mk-MK"/>
        </w:rPr>
        <w:t xml:space="preserve"> </w:t>
      </w:r>
      <w:proofErr w:type="spellStart"/>
      <w:r w:rsidRPr="008F275A">
        <w:rPr>
          <w:rFonts w:ascii="Arial" w:hAnsi="Arial" w:cs="Arial"/>
          <w:lang w:val="mk-MK"/>
        </w:rPr>
        <w:t>position</w:t>
      </w:r>
      <w:proofErr w:type="spellEnd"/>
      <w:r w:rsidRPr="008F275A">
        <w:rPr>
          <w:rFonts w:ascii="Arial" w:hAnsi="Arial" w:cs="Arial"/>
          <w:lang w:val="mk-MK"/>
        </w:rPr>
        <w:t xml:space="preserve"> </w:t>
      </w:r>
      <w:proofErr w:type="spellStart"/>
      <w:r w:rsidRPr="008F275A">
        <w:rPr>
          <w:rFonts w:ascii="Arial" w:hAnsi="Arial" w:cs="Arial"/>
          <w:lang w:val="mk-MK"/>
        </w:rPr>
        <w:t>on</w:t>
      </w:r>
      <w:proofErr w:type="spellEnd"/>
      <w:r w:rsidRPr="008F275A">
        <w:rPr>
          <w:rFonts w:ascii="Arial" w:hAnsi="Arial" w:cs="Arial"/>
          <w:lang w:val="mk-MK"/>
        </w:rPr>
        <w:t xml:space="preserve"> </w:t>
      </w:r>
      <w:proofErr w:type="spellStart"/>
      <w:r w:rsidRPr="008F275A">
        <w:rPr>
          <w:rFonts w:ascii="Arial" w:hAnsi="Arial" w:cs="Arial"/>
          <w:lang w:val="mk-MK"/>
        </w:rPr>
        <w:t>the</w:t>
      </w:r>
      <w:proofErr w:type="spellEnd"/>
      <w:r w:rsidRPr="008F275A">
        <w:rPr>
          <w:rFonts w:ascii="Arial" w:hAnsi="Arial" w:cs="Arial"/>
          <w:lang w:val="mk-MK"/>
        </w:rPr>
        <w:t xml:space="preserve"> </w:t>
      </w:r>
      <w:proofErr w:type="spellStart"/>
      <w:r w:rsidRPr="008F275A">
        <w:rPr>
          <w:rFonts w:ascii="Arial" w:hAnsi="Arial" w:cs="Arial"/>
          <w:lang w:val="mk-MK"/>
        </w:rPr>
        <w:t>reporting</w:t>
      </w:r>
      <w:proofErr w:type="spellEnd"/>
      <w:r w:rsidRPr="008F275A">
        <w:rPr>
          <w:rFonts w:ascii="Arial" w:hAnsi="Arial" w:cs="Arial"/>
          <w:lang w:val="mk-MK"/>
        </w:rPr>
        <w:t xml:space="preserve"> </w:t>
      </w:r>
      <w:proofErr w:type="spellStart"/>
      <w:r w:rsidRPr="008F275A">
        <w:rPr>
          <w:rFonts w:ascii="Arial" w:hAnsi="Arial" w:cs="Arial"/>
          <w:lang w:val="mk-MK"/>
        </w:rPr>
        <w:t>date</w:t>
      </w:r>
      <w:proofErr w:type="spellEnd"/>
      <w:r w:rsidRPr="008F275A">
        <w:rPr>
          <w:rFonts w:ascii="Arial" w:hAnsi="Arial" w:cs="Arial"/>
          <w:lang w:val="mk-MK"/>
        </w:rPr>
        <w:t xml:space="preserve"> (</w:t>
      </w:r>
      <w:proofErr w:type="spellStart"/>
      <w:r w:rsidRPr="008F275A">
        <w:rPr>
          <w:rFonts w:ascii="Arial" w:hAnsi="Arial" w:cs="Arial"/>
          <w:lang w:val="mk-MK"/>
        </w:rPr>
        <w:t>adjusting</w:t>
      </w:r>
      <w:proofErr w:type="spellEnd"/>
      <w:r w:rsidRPr="008F275A">
        <w:rPr>
          <w:rFonts w:ascii="Arial" w:hAnsi="Arial" w:cs="Arial"/>
          <w:lang w:val="mk-MK"/>
        </w:rPr>
        <w:t xml:space="preserve"> </w:t>
      </w:r>
      <w:proofErr w:type="spellStart"/>
      <w:r w:rsidRPr="008F275A">
        <w:rPr>
          <w:rFonts w:ascii="Arial" w:hAnsi="Arial" w:cs="Arial"/>
          <w:lang w:val="mk-MK"/>
        </w:rPr>
        <w:t>events</w:t>
      </w:r>
      <w:proofErr w:type="spellEnd"/>
      <w:r w:rsidRPr="008F275A">
        <w:rPr>
          <w:rFonts w:ascii="Arial" w:hAnsi="Arial" w:cs="Arial"/>
          <w:lang w:val="mk-MK"/>
        </w:rPr>
        <w:t xml:space="preserve">) </w:t>
      </w:r>
      <w:proofErr w:type="spellStart"/>
      <w:r w:rsidRPr="008F275A">
        <w:rPr>
          <w:rFonts w:ascii="Arial" w:hAnsi="Arial" w:cs="Arial"/>
          <w:lang w:val="mk-MK"/>
        </w:rPr>
        <w:t>are</w:t>
      </w:r>
      <w:proofErr w:type="spellEnd"/>
      <w:r w:rsidRPr="008F275A">
        <w:rPr>
          <w:rFonts w:ascii="Arial" w:hAnsi="Arial" w:cs="Arial"/>
          <w:lang w:val="mk-MK"/>
        </w:rPr>
        <w:t xml:space="preserve"> </w:t>
      </w:r>
      <w:proofErr w:type="spellStart"/>
      <w:r w:rsidRPr="008F275A">
        <w:rPr>
          <w:rFonts w:ascii="Arial" w:hAnsi="Arial" w:cs="Arial"/>
          <w:lang w:val="mk-MK"/>
        </w:rPr>
        <w:t>reflected</w:t>
      </w:r>
      <w:proofErr w:type="spellEnd"/>
      <w:r w:rsidRPr="008F275A">
        <w:rPr>
          <w:rFonts w:ascii="Arial" w:hAnsi="Arial" w:cs="Arial"/>
          <w:lang w:val="mk-MK"/>
        </w:rPr>
        <w:t xml:space="preserve"> </w:t>
      </w:r>
      <w:proofErr w:type="spellStart"/>
      <w:r w:rsidRPr="008F275A">
        <w:rPr>
          <w:rFonts w:ascii="Arial" w:hAnsi="Arial" w:cs="Arial"/>
          <w:lang w:val="mk-MK"/>
        </w:rPr>
        <w:t>in</w:t>
      </w:r>
      <w:proofErr w:type="spellEnd"/>
      <w:r w:rsidRPr="008F275A">
        <w:rPr>
          <w:rFonts w:ascii="Arial" w:hAnsi="Arial" w:cs="Arial"/>
          <w:lang w:val="mk-MK"/>
        </w:rPr>
        <w:t xml:space="preserve"> </w:t>
      </w:r>
      <w:proofErr w:type="spellStart"/>
      <w:r w:rsidRPr="008F275A">
        <w:rPr>
          <w:rFonts w:ascii="Arial" w:hAnsi="Arial" w:cs="Arial"/>
          <w:lang w:val="mk-MK"/>
        </w:rPr>
        <w:t>the</w:t>
      </w:r>
      <w:proofErr w:type="spellEnd"/>
      <w:r w:rsidRPr="008F275A">
        <w:rPr>
          <w:rFonts w:ascii="Arial" w:hAnsi="Arial" w:cs="Arial"/>
          <w:lang w:val="mk-MK"/>
        </w:rPr>
        <w:t xml:space="preserve"> </w:t>
      </w:r>
      <w:proofErr w:type="spellStart"/>
      <w:r w:rsidRPr="008F275A">
        <w:rPr>
          <w:rFonts w:ascii="Arial" w:hAnsi="Arial" w:cs="Arial"/>
          <w:lang w:val="mk-MK"/>
        </w:rPr>
        <w:t>financial</w:t>
      </w:r>
      <w:proofErr w:type="spellEnd"/>
      <w:r w:rsidRPr="008F275A">
        <w:rPr>
          <w:rFonts w:ascii="Arial" w:hAnsi="Arial" w:cs="Arial"/>
          <w:lang w:val="mk-MK"/>
        </w:rPr>
        <w:t xml:space="preserve"> </w:t>
      </w:r>
      <w:proofErr w:type="spellStart"/>
      <w:r w:rsidRPr="008F275A">
        <w:rPr>
          <w:rFonts w:ascii="Arial" w:hAnsi="Arial" w:cs="Arial"/>
          <w:lang w:val="mk-MK"/>
        </w:rPr>
        <w:t>statements</w:t>
      </w:r>
      <w:proofErr w:type="spellEnd"/>
      <w:r w:rsidRPr="008F275A">
        <w:rPr>
          <w:rFonts w:ascii="Arial" w:hAnsi="Arial" w:cs="Arial"/>
          <w:lang w:val="mk-MK"/>
        </w:rPr>
        <w:t xml:space="preserve">. </w:t>
      </w:r>
      <w:proofErr w:type="spellStart"/>
      <w:r w:rsidRPr="008F275A">
        <w:rPr>
          <w:rFonts w:ascii="Arial" w:hAnsi="Arial" w:cs="Arial"/>
          <w:lang w:val="mk-MK"/>
        </w:rPr>
        <w:t>Those</w:t>
      </w:r>
      <w:proofErr w:type="spellEnd"/>
      <w:r w:rsidRPr="008F275A">
        <w:rPr>
          <w:rFonts w:ascii="Arial" w:hAnsi="Arial" w:cs="Arial"/>
          <w:lang w:val="mk-MK"/>
        </w:rPr>
        <w:t xml:space="preserve"> </w:t>
      </w:r>
      <w:proofErr w:type="spellStart"/>
      <w:r w:rsidRPr="008F275A">
        <w:rPr>
          <w:rFonts w:ascii="Arial" w:hAnsi="Arial" w:cs="Arial"/>
          <w:lang w:val="mk-MK"/>
        </w:rPr>
        <w:t>events</w:t>
      </w:r>
      <w:proofErr w:type="spellEnd"/>
      <w:r w:rsidRPr="008F275A">
        <w:rPr>
          <w:rFonts w:ascii="Arial" w:hAnsi="Arial" w:cs="Arial"/>
          <w:lang w:val="mk-MK"/>
        </w:rPr>
        <w:t xml:space="preserve"> </w:t>
      </w:r>
      <w:proofErr w:type="spellStart"/>
      <w:r w:rsidRPr="008F275A">
        <w:rPr>
          <w:rFonts w:ascii="Arial" w:hAnsi="Arial" w:cs="Arial"/>
          <w:lang w:val="mk-MK"/>
        </w:rPr>
        <w:t>after</w:t>
      </w:r>
      <w:proofErr w:type="spellEnd"/>
      <w:r w:rsidRPr="008F275A">
        <w:rPr>
          <w:rFonts w:ascii="Arial" w:hAnsi="Arial" w:cs="Arial"/>
          <w:lang w:val="mk-MK"/>
        </w:rPr>
        <w:t xml:space="preserve"> </w:t>
      </w:r>
      <w:proofErr w:type="spellStart"/>
      <w:r w:rsidRPr="008F275A">
        <w:rPr>
          <w:rFonts w:ascii="Arial" w:hAnsi="Arial" w:cs="Arial"/>
          <w:lang w:val="mk-MK"/>
        </w:rPr>
        <w:t>the</w:t>
      </w:r>
      <w:proofErr w:type="spellEnd"/>
      <w:r w:rsidRPr="008F275A">
        <w:rPr>
          <w:rFonts w:ascii="Arial" w:hAnsi="Arial" w:cs="Arial"/>
          <w:lang w:val="mk-MK"/>
        </w:rPr>
        <w:t xml:space="preserve"> </w:t>
      </w:r>
      <w:proofErr w:type="spellStart"/>
      <w:r w:rsidRPr="008F275A">
        <w:rPr>
          <w:rFonts w:ascii="Arial" w:hAnsi="Arial" w:cs="Arial"/>
          <w:lang w:val="mk-MK"/>
        </w:rPr>
        <w:t>reporting</w:t>
      </w:r>
      <w:proofErr w:type="spellEnd"/>
      <w:r w:rsidRPr="008F275A">
        <w:rPr>
          <w:rFonts w:ascii="Arial" w:hAnsi="Arial" w:cs="Arial"/>
          <w:lang w:val="mk-MK"/>
        </w:rPr>
        <w:t xml:space="preserve"> </w:t>
      </w:r>
      <w:proofErr w:type="spellStart"/>
      <w:r w:rsidRPr="008F275A">
        <w:rPr>
          <w:rFonts w:ascii="Arial" w:hAnsi="Arial" w:cs="Arial"/>
          <w:lang w:val="mk-MK"/>
        </w:rPr>
        <w:t>date</w:t>
      </w:r>
      <w:proofErr w:type="spellEnd"/>
      <w:r w:rsidRPr="008F275A">
        <w:rPr>
          <w:rFonts w:ascii="Arial" w:hAnsi="Arial" w:cs="Arial"/>
          <w:lang w:val="mk-MK"/>
        </w:rPr>
        <w:t xml:space="preserve"> </w:t>
      </w:r>
      <w:proofErr w:type="spellStart"/>
      <w:r w:rsidRPr="008F275A">
        <w:rPr>
          <w:rFonts w:ascii="Arial" w:hAnsi="Arial" w:cs="Arial"/>
          <w:lang w:val="mk-MK"/>
        </w:rPr>
        <w:t>that</w:t>
      </w:r>
      <w:proofErr w:type="spellEnd"/>
      <w:r w:rsidRPr="008F275A">
        <w:rPr>
          <w:rFonts w:ascii="Arial" w:hAnsi="Arial" w:cs="Arial"/>
          <w:lang w:val="mk-MK"/>
        </w:rPr>
        <w:t xml:space="preserve"> </w:t>
      </w:r>
      <w:proofErr w:type="spellStart"/>
      <w:r w:rsidRPr="008F275A">
        <w:rPr>
          <w:rFonts w:ascii="Arial" w:hAnsi="Arial" w:cs="Arial"/>
          <w:lang w:val="mk-MK"/>
        </w:rPr>
        <w:t>are</w:t>
      </w:r>
      <w:proofErr w:type="spellEnd"/>
      <w:r w:rsidRPr="008F275A">
        <w:rPr>
          <w:rFonts w:ascii="Arial" w:hAnsi="Arial" w:cs="Arial"/>
          <w:lang w:val="mk-MK"/>
        </w:rPr>
        <w:t xml:space="preserve"> </w:t>
      </w:r>
      <w:proofErr w:type="spellStart"/>
      <w:r w:rsidRPr="008F275A">
        <w:rPr>
          <w:rFonts w:ascii="Arial" w:hAnsi="Arial" w:cs="Arial"/>
          <w:lang w:val="mk-MK"/>
        </w:rPr>
        <w:t>not</w:t>
      </w:r>
      <w:proofErr w:type="spellEnd"/>
      <w:r w:rsidRPr="008F275A">
        <w:rPr>
          <w:rFonts w:ascii="Arial" w:hAnsi="Arial" w:cs="Arial"/>
          <w:lang w:val="mk-MK"/>
        </w:rPr>
        <w:t xml:space="preserve"> </w:t>
      </w:r>
      <w:proofErr w:type="spellStart"/>
      <w:r w:rsidRPr="008F275A">
        <w:rPr>
          <w:rFonts w:ascii="Arial" w:hAnsi="Arial" w:cs="Arial"/>
          <w:lang w:val="mk-MK"/>
        </w:rPr>
        <w:t>adjusting</w:t>
      </w:r>
      <w:proofErr w:type="spellEnd"/>
      <w:r w:rsidRPr="008F275A">
        <w:rPr>
          <w:rFonts w:ascii="Arial" w:hAnsi="Arial" w:cs="Arial"/>
          <w:lang w:val="mk-MK"/>
        </w:rPr>
        <w:t xml:space="preserve"> </w:t>
      </w:r>
      <w:proofErr w:type="spellStart"/>
      <w:r w:rsidRPr="008F275A">
        <w:rPr>
          <w:rFonts w:ascii="Arial" w:hAnsi="Arial" w:cs="Arial"/>
          <w:lang w:val="mk-MK"/>
        </w:rPr>
        <w:t>events</w:t>
      </w:r>
      <w:proofErr w:type="spellEnd"/>
      <w:r w:rsidRPr="008F275A">
        <w:rPr>
          <w:rFonts w:ascii="Arial" w:hAnsi="Arial" w:cs="Arial"/>
          <w:lang w:val="mk-MK"/>
        </w:rPr>
        <w:t xml:space="preserve"> </w:t>
      </w:r>
      <w:proofErr w:type="spellStart"/>
      <w:r w:rsidRPr="008F275A">
        <w:rPr>
          <w:rFonts w:ascii="Arial" w:hAnsi="Arial" w:cs="Arial"/>
          <w:lang w:val="mk-MK"/>
        </w:rPr>
        <w:t>are</w:t>
      </w:r>
      <w:proofErr w:type="spellEnd"/>
      <w:r w:rsidRPr="008F275A">
        <w:rPr>
          <w:rFonts w:ascii="Arial" w:hAnsi="Arial" w:cs="Arial"/>
          <w:lang w:val="mk-MK"/>
        </w:rPr>
        <w:t xml:space="preserve"> </w:t>
      </w:r>
      <w:proofErr w:type="spellStart"/>
      <w:r w:rsidRPr="008F275A">
        <w:rPr>
          <w:rFonts w:ascii="Arial" w:hAnsi="Arial" w:cs="Arial"/>
          <w:lang w:val="mk-MK"/>
        </w:rPr>
        <w:t>disclosed</w:t>
      </w:r>
      <w:proofErr w:type="spellEnd"/>
      <w:r w:rsidRPr="008F275A">
        <w:rPr>
          <w:rFonts w:ascii="Arial" w:hAnsi="Arial" w:cs="Arial"/>
          <w:lang w:val="mk-MK"/>
        </w:rPr>
        <w:t xml:space="preserve"> </w:t>
      </w:r>
      <w:proofErr w:type="spellStart"/>
      <w:r w:rsidRPr="008F275A">
        <w:rPr>
          <w:rFonts w:ascii="Arial" w:hAnsi="Arial" w:cs="Arial"/>
          <w:lang w:val="mk-MK"/>
        </w:rPr>
        <w:t>in</w:t>
      </w:r>
      <w:proofErr w:type="spellEnd"/>
      <w:r w:rsidRPr="008F275A">
        <w:rPr>
          <w:rFonts w:ascii="Arial" w:hAnsi="Arial" w:cs="Arial"/>
          <w:lang w:val="mk-MK"/>
        </w:rPr>
        <w:t xml:space="preserve"> </w:t>
      </w:r>
      <w:proofErr w:type="spellStart"/>
      <w:r w:rsidRPr="008F275A">
        <w:rPr>
          <w:rFonts w:ascii="Arial" w:hAnsi="Arial" w:cs="Arial"/>
          <w:lang w:val="mk-MK"/>
        </w:rPr>
        <w:t>the</w:t>
      </w:r>
      <w:proofErr w:type="spellEnd"/>
      <w:r w:rsidRPr="008F275A">
        <w:rPr>
          <w:rFonts w:ascii="Arial" w:hAnsi="Arial" w:cs="Arial"/>
          <w:lang w:val="mk-MK"/>
        </w:rPr>
        <w:t xml:space="preserve"> </w:t>
      </w:r>
      <w:proofErr w:type="spellStart"/>
      <w:r w:rsidRPr="008F275A">
        <w:rPr>
          <w:rFonts w:ascii="Arial" w:hAnsi="Arial" w:cs="Arial"/>
          <w:lang w:val="mk-MK"/>
        </w:rPr>
        <w:t>notes</w:t>
      </w:r>
      <w:proofErr w:type="spellEnd"/>
      <w:r w:rsidRPr="008F275A">
        <w:rPr>
          <w:rFonts w:ascii="Arial" w:hAnsi="Arial" w:cs="Arial"/>
          <w:lang w:val="mk-MK"/>
        </w:rPr>
        <w:t xml:space="preserve"> </w:t>
      </w:r>
      <w:proofErr w:type="spellStart"/>
      <w:r w:rsidRPr="008F275A">
        <w:rPr>
          <w:rFonts w:ascii="Arial" w:hAnsi="Arial" w:cs="Arial"/>
          <w:lang w:val="mk-MK"/>
        </w:rPr>
        <w:t>if</w:t>
      </w:r>
      <w:proofErr w:type="spellEnd"/>
      <w:r w:rsidRPr="008F275A">
        <w:rPr>
          <w:rFonts w:ascii="Arial" w:hAnsi="Arial" w:cs="Arial"/>
          <w:lang w:val="mk-MK"/>
        </w:rPr>
        <w:t xml:space="preserve"> </w:t>
      </w:r>
      <w:proofErr w:type="spellStart"/>
      <w:r w:rsidRPr="008F275A">
        <w:rPr>
          <w:rFonts w:ascii="Arial" w:hAnsi="Arial" w:cs="Arial"/>
          <w:lang w:val="mk-MK"/>
        </w:rPr>
        <w:t>they</w:t>
      </w:r>
      <w:proofErr w:type="spellEnd"/>
      <w:r w:rsidRPr="008F275A">
        <w:rPr>
          <w:rFonts w:ascii="Arial" w:hAnsi="Arial" w:cs="Arial"/>
          <w:lang w:val="mk-MK"/>
        </w:rPr>
        <w:t xml:space="preserve"> </w:t>
      </w:r>
      <w:proofErr w:type="spellStart"/>
      <w:r w:rsidRPr="008F275A">
        <w:rPr>
          <w:rFonts w:ascii="Arial" w:hAnsi="Arial" w:cs="Arial"/>
          <w:lang w:val="mk-MK"/>
        </w:rPr>
        <w:t>are</w:t>
      </w:r>
      <w:proofErr w:type="spellEnd"/>
      <w:r w:rsidRPr="008F275A">
        <w:rPr>
          <w:rFonts w:ascii="Arial" w:hAnsi="Arial" w:cs="Arial"/>
          <w:lang w:val="mk-MK"/>
        </w:rPr>
        <w:t xml:space="preserve"> </w:t>
      </w:r>
      <w:proofErr w:type="spellStart"/>
      <w:r w:rsidRPr="008F275A">
        <w:rPr>
          <w:rFonts w:ascii="Arial" w:hAnsi="Arial" w:cs="Arial"/>
          <w:lang w:val="mk-MK"/>
        </w:rPr>
        <w:t>material</w:t>
      </w:r>
      <w:proofErr w:type="spellEnd"/>
      <w:r w:rsidRPr="008F275A">
        <w:rPr>
          <w:rFonts w:ascii="Arial" w:hAnsi="Arial" w:cs="Arial"/>
          <w:lang w:val="mk-MK"/>
        </w:rPr>
        <w:t xml:space="preserve">. </w:t>
      </w:r>
      <w:r w:rsidR="00815E65" w:rsidRPr="001E6526">
        <w:rPr>
          <w:rFonts w:ascii="Arial" w:hAnsi="Arial" w:cs="Arial"/>
          <w:lang w:val="mk-MK"/>
        </w:rPr>
        <w:t xml:space="preserve"> </w:t>
      </w:r>
    </w:p>
    <w:p w14:paraId="379E4104" w14:textId="77777777" w:rsidR="00DD738F" w:rsidRDefault="00DD738F" w:rsidP="00815E65">
      <w:pPr>
        <w:pStyle w:val="BodyText"/>
        <w:jc w:val="both"/>
        <w:rPr>
          <w:rFonts w:ascii="Arial" w:hAnsi="Arial" w:cs="Arial"/>
          <w:lang w:val="mk-MK"/>
        </w:rPr>
      </w:pPr>
    </w:p>
    <w:p w14:paraId="041C39F6" w14:textId="77777777" w:rsidR="000F121C" w:rsidRPr="00CE3053" w:rsidRDefault="000F121C" w:rsidP="000F121C">
      <w:pPr>
        <w:pStyle w:val="NumberedHeading1"/>
        <w:numPr>
          <w:ilvl w:val="0"/>
          <w:numId w:val="22"/>
        </w:numPr>
        <w:spacing w:before="0" w:after="0" w:line="260" w:lineRule="atLeast"/>
        <w:jc w:val="both"/>
        <w:rPr>
          <w:rFonts w:ascii="Arial" w:hAnsi="Arial" w:cs="Arial"/>
          <w:b/>
          <w:color w:val="4F2D7F"/>
          <w:sz w:val="18"/>
          <w:lang w:val="mk-MK"/>
        </w:rPr>
      </w:pPr>
      <w:r>
        <w:rPr>
          <w:rFonts w:ascii="Arial" w:hAnsi="Arial" w:cs="Arial"/>
          <w:b/>
          <w:color w:val="4F2D7F"/>
          <w:sz w:val="18"/>
          <w:lang w:val="en-US"/>
        </w:rPr>
        <w:t>Financial risk management</w:t>
      </w:r>
    </w:p>
    <w:p w14:paraId="49E84EE9" w14:textId="77777777" w:rsidR="000F121C" w:rsidRDefault="000F121C" w:rsidP="000F121C">
      <w:pPr>
        <w:pStyle w:val="BodyText"/>
        <w:jc w:val="both"/>
        <w:rPr>
          <w:rFonts w:ascii="Arial" w:hAnsi="Arial" w:cs="Arial"/>
          <w:lang w:val="mk-MK"/>
        </w:rPr>
      </w:pPr>
      <w:proofErr w:type="spellStart"/>
      <w:r w:rsidRPr="008F275A">
        <w:rPr>
          <w:rFonts w:ascii="Arial" w:hAnsi="Arial" w:cs="Arial"/>
          <w:lang w:val="mk-MK"/>
        </w:rPr>
        <w:t>The</w:t>
      </w:r>
      <w:proofErr w:type="spellEnd"/>
      <w:r w:rsidRPr="008F275A">
        <w:rPr>
          <w:rFonts w:ascii="Arial" w:hAnsi="Arial" w:cs="Arial"/>
          <w:lang w:val="mk-MK"/>
        </w:rPr>
        <w:t xml:space="preserve"> </w:t>
      </w:r>
      <w:proofErr w:type="spellStart"/>
      <w:r w:rsidRPr="008F275A">
        <w:rPr>
          <w:rFonts w:ascii="Arial" w:hAnsi="Arial" w:cs="Arial"/>
          <w:lang w:val="mk-MK"/>
        </w:rPr>
        <w:t>Fund’s</w:t>
      </w:r>
      <w:proofErr w:type="spellEnd"/>
      <w:r w:rsidRPr="008F275A">
        <w:rPr>
          <w:rFonts w:ascii="Arial" w:hAnsi="Arial" w:cs="Arial"/>
          <w:lang w:val="mk-MK"/>
        </w:rPr>
        <w:t xml:space="preserve"> </w:t>
      </w:r>
      <w:proofErr w:type="spellStart"/>
      <w:r w:rsidRPr="008F275A">
        <w:rPr>
          <w:rFonts w:ascii="Arial" w:hAnsi="Arial" w:cs="Arial"/>
          <w:lang w:val="mk-MK"/>
        </w:rPr>
        <w:t>activities</w:t>
      </w:r>
      <w:proofErr w:type="spellEnd"/>
      <w:r w:rsidRPr="008F275A">
        <w:rPr>
          <w:rFonts w:ascii="Arial" w:hAnsi="Arial" w:cs="Arial"/>
          <w:lang w:val="mk-MK"/>
        </w:rPr>
        <w:t xml:space="preserve"> </w:t>
      </w:r>
      <w:proofErr w:type="spellStart"/>
      <w:r w:rsidRPr="008F275A">
        <w:rPr>
          <w:rFonts w:ascii="Arial" w:hAnsi="Arial" w:cs="Arial"/>
          <w:lang w:val="mk-MK"/>
        </w:rPr>
        <w:t>are</w:t>
      </w:r>
      <w:proofErr w:type="spellEnd"/>
      <w:r w:rsidRPr="008F275A">
        <w:rPr>
          <w:rFonts w:ascii="Arial" w:hAnsi="Arial" w:cs="Arial"/>
          <w:lang w:val="mk-MK"/>
        </w:rPr>
        <w:t xml:space="preserve"> </w:t>
      </w:r>
      <w:proofErr w:type="spellStart"/>
      <w:r w:rsidRPr="008F275A">
        <w:rPr>
          <w:rFonts w:ascii="Arial" w:hAnsi="Arial" w:cs="Arial"/>
          <w:lang w:val="mk-MK"/>
        </w:rPr>
        <w:t>exposed</w:t>
      </w:r>
      <w:proofErr w:type="spellEnd"/>
      <w:r w:rsidRPr="008F275A">
        <w:rPr>
          <w:rFonts w:ascii="Arial" w:hAnsi="Arial" w:cs="Arial"/>
          <w:lang w:val="mk-MK"/>
        </w:rPr>
        <w:t xml:space="preserve"> </w:t>
      </w:r>
      <w:proofErr w:type="spellStart"/>
      <w:r w:rsidRPr="008F275A">
        <w:rPr>
          <w:rFonts w:ascii="Arial" w:hAnsi="Arial" w:cs="Arial"/>
          <w:lang w:val="mk-MK"/>
        </w:rPr>
        <w:t>to</w:t>
      </w:r>
      <w:proofErr w:type="spellEnd"/>
      <w:r w:rsidRPr="008F275A">
        <w:rPr>
          <w:rFonts w:ascii="Arial" w:hAnsi="Arial" w:cs="Arial"/>
          <w:lang w:val="mk-MK"/>
        </w:rPr>
        <w:t xml:space="preserve"> a </w:t>
      </w:r>
      <w:proofErr w:type="spellStart"/>
      <w:r w:rsidRPr="008F275A">
        <w:rPr>
          <w:rFonts w:ascii="Arial" w:hAnsi="Arial" w:cs="Arial"/>
          <w:lang w:val="mk-MK"/>
        </w:rPr>
        <w:t>variety</w:t>
      </w:r>
      <w:proofErr w:type="spellEnd"/>
      <w:r w:rsidRPr="008F275A">
        <w:rPr>
          <w:rFonts w:ascii="Arial" w:hAnsi="Arial" w:cs="Arial"/>
          <w:lang w:val="mk-MK"/>
        </w:rPr>
        <w:t xml:space="preserve"> </w:t>
      </w:r>
      <w:proofErr w:type="spellStart"/>
      <w:r w:rsidRPr="008F275A">
        <w:rPr>
          <w:rFonts w:ascii="Arial" w:hAnsi="Arial" w:cs="Arial"/>
          <w:lang w:val="mk-MK"/>
        </w:rPr>
        <w:t>of</w:t>
      </w:r>
      <w:proofErr w:type="spellEnd"/>
      <w:r w:rsidRPr="008F275A">
        <w:rPr>
          <w:rFonts w:ascii="Arial" w:hAnsi="Arial" w:cs="Arial"/>
          <w:lang w:val="mk-MK"/>
        </w:rPr>
        <w:t xml:space="preserve"> </w:t>
      </w:r>
      <w:proofErr w:type="spellStart"/>
      <w:r w:rsidRPr="008F275A">
        <w:rPr>
          <w:rFonts w:ascii="Arial" w:hAnsi="Arial" w:cs="Arial"/>
          <w:lang w:val="mk-MK"/>
        </w:rPr>
        <w:t>financial</w:t>
      </w:r>
      <w:proofErr w:type="spellEnd"/>
      <w:r w:rsidRPr="008F275A">
        <w:rPr>
          <w:rFonts w:ascii="Arial" w:hAnsi="Arial" w:cs="Arial"/>
          <w:lang w:val="mk-MK"/>
        </w:rPr>
        <w:t xml:space="preserve"> </w:t>
      </w:r>
      <w:proofErr w:type="spellStart"/>
      <w:r w:rsidRPr="008F275A">
        <w:rPr>
          <w:rFonts w:ascii="Arial" w:hAnsi="Arial" w:cs="Arial"/>
          <w:lang w:val="mk-MK"/>
        </w:rPr>
        <w:t>risks</w:t>
      </w:r>
      <w:proofErr w:type="spellEnd"/>
      <w:r w:rsidRPr="008F275A">
        <w:rPr>
          <w:rFonts w:ascii="Arial" w:hAnsi="Arial" w:cs="Arial"/>
          <w:lang w:val="mk-MK"/>
        </w:rPr>
        <w:t xml:space="preserve"> </w:t>
      </w:r>
      <w:proofErr w:type="spellStart"/>
      <w:r w:rsidRPr="008F275A">
        <w:rPr>
          <w:rFonts w:ascii="Arial" w:hAnsi="Arial" w:cs="Arial"/>
          <w:lang w:val="mk-MK"/>
        </w:rPr>
        <w:t>and</w:t>
      </w:r>
      <w:proofErr w:type="spellEnd"/>
      <w:r w:rsidRPr="008F275A">
        <w:rPr>
          <w:rFonts w:ascii="Arial" w:hAnsi="Arial" w:cs="Arial"/>
          <w:lang w:val="mk-MK"/>
        </w:rPr>
        <w:t xml:space="preserve"> </w:t>
      </w:r>
      <w:proofErr w:type="spellStart"/>
      <w:r w:rsidRPr="008F275A">
        <w:rPr>
          <w:rFonts w:ascii="Arial" w:hAnsi="Arial" w:cs="Arial"/>
          <w:lang w:val="mk-MK"/>
        </w:rPr>
        <w:t>those</w:t>
      </w:r>
      <w:proofErr w:type="spellEnd"/>
      <w:r w:rsidRPr="008F275A">
        <w:rPr>
          <w:rFonts w:ascii="Arial" w:hAnsi="Arial" w:cs="Arial"/>
          <w:lang w:val="mk-MK"/>
        </w:rPr>
        <w:t xml:space="preserve"> </w:t>
      </w:r>
      <w:proofErr w:type="spellStart"/>
      <w:r w:rsidRPr="008F275A">
        <w:rPr>
          <w:rFonts w:ascii="Arial" w:hAnsi="Arial" w:cs="Arial"/>
          <w:lang w:val="mk-MK"/>
        </w:rPr>
        <w:t>activities</w:t>
      </w:r>
      <w:proofErr w:type="spellEnd"/>
      <w:r w:rsidRPr="008F275A">
        <w:rPr>
          <w:rFonts w:ascii="Arial" w:hAnsi="Arial" w:cs="Arial"/>
          <w:lang w:val="mk-MK"/>
        </w:rPr>
        <w:t xml:space="preserve"> </w:t>
      </w:r>
      <w:proofErr w:type="spellStart"/>
      <w:r w:rsidRPr="008F275A">
        <w:rPr>
          <w:rFonts w:ascii="Arial" w:hAnsi="Arial" w:cs="Arial"/>
          <w:lang w:val="mk-MK"/>
        </w:rPr>
        <w:t>involve</w:t>
      </w:r>
      <w:proofErr w:type="spellEnd"/>
      <w:r w:rsidRPr="008F275A">
        <w:rPr>
          <w:rFonts w:ascii="Arial" w:hAnsi="Arial" w:cs="Arial"/>
          <w:lang w:val="mk-MK"/>
        </w:rPr>
        <w:t xml:space="preserve"> </w:t>
      </w:r>
      <w:proofErr w:type="spellStart"/>
      <w:r w:rsidRPr="008F275A">
        <w:rPr>
          <w:rFonts w:ascii="Arial" w:hAnsi="Arial" w:cs="Arial"/>
          <w:lang w:val="mk-MK"/>
        </w:rPr>
        <w:t>the</w:t>
      </w:r>
      <w:proofErr w:type="spellEnd"/>
      <w:r w:rsidRPr="008F275A">
        <w:rPr>
          <w:rFonts w:ascii="Arial" w:hAnsi="Arial" w:cs="Arial"/>
          <w:lang w:val="mk-MK"/>
        </w:rPr>
        <w:t xml:space="preserve"> </w:t>
      </w:r>
      <w:proofErr w:type="spellStart"/>
      <w:r w:rsidRPr="008F275A">
        <w:rPr>
          <w:rFonts w:ascii="Arial" w:hAnsi="Arial" w:cs="Arial"/>
          <w:lang w:val="mk-MK"/>
        </w:rPr>
        <w:t>analysis</w:t>
      </w:r>
      <w:proofErr w:type="spellEnd"/>
      <w:r w:rsidRPr="008F275A">
        <w:rPr>
          <w:rFonts w:ascii="Arial" w:hAnsi="Arial" w:cs="Arial"/>
          <w:lang w:val="mk-MK"/>
        </w:rPr>
        <w:t xml:space="preserve">, </w:t>
      </w:r>
      <w:proofErr w:type="spellStart"/>
      <w:r w:rsidRPr="008F275A">
        <w:rPr>
          <w:rFonts w:ascii="Arial" w:hAnsi="Arial" w:cs="Arial"/>
          <w:lang w:val="mk-MK"/>
        </w:rPr>
        <w:t>evaluation</w:t>
      </w:r>
      <w:proofErr w:type="spellEnd"/>
      <w:r w:rsidRPr="008F275A">
        <w:rPr>
          <w:rFonts w:ascii="Arial" w:hAnsi="Arial" w:cs="Arial"/>
          <w:lang w:val="mk-MK"/>
        </w:rPr>
        <w:t xml:space="preserve">, </w:t>
      </w:r>
      <w:proofErr w:type="spellStart"/>
      <w:r w:rsidRPr="008F275A">
        <w:rPr>
          <w:rFonts w:ascii="Arial" w:hAnsi="Arial" w:cs="Arial"/>
          <w:lang w:val="mk-MK"/>
        </w:rPr>
        <w:t>acceptance</w:t>
      </w:r>
      <w:proofErr w:type="spellEnd"/>
      <w:r w:rsidRPr="008F275A">
        <w:rPr>
          <w:rFonts w:ascii="Arial" w:hAnsi="Arial" w:cs="Arial"/>
          <w:lang w:val="mk-MK"/>
        </w:rPr>
        <w:t xml:space="preserve"> </w:t>
      </w:r>
      <w:proofErr w:type="spellStart"/>
      <w:r w:rsidRPr="008F275A">
        <w:rPr>
          <w:rFonts w:ascii="Arial" w:hAnsi="Arial" w:cs="Arial"/>
          <w:lang w:val="mk-MK"/>
        </w:rPr>
        <w:t>and</w:t>
      </w:r>
      <w:proofErr w:type="spellEnd"/>
      <w:r w:rsidRPr="008F275A">
        <w:rPr>
          <w:rFonts w:ascii="Arial" w:hAnsi="Arial" w:cs="Arial"/>
          <w:lang w:val="mk-MK"/>
        </w:rPr>
        <w:t xml:space="preserve"> </w:t>
      </w:r>
      <w:proofErr w:type="spellStart"/>
      <w:r w:rsidRPr="008F275A">
        <w:rPr>
          <w:rFonts w:ascii="Arial" w:hAnsi="Arial" w:cs="Arial"/>
          <w:lang w:val="mk-MK"/>
        </w:rPr>
        <w:t>management</w:t>
      </w:r>
      <w:proofErr w:type="spellEnd"/>
      <w:r w:rsidRPr="008F275A">
        <w:rPr>
          <w:rFonts w:ascii="Arial" w:hAnsi="Arial" w:cs="Arial"/>
          <w:lang w:val="mk-MK"/>
        </w:rPr>
        <w:t xml:space="preserve"> </w:t>
      </w:r>
      <w:proofErr w:type="spellStart"/>
      <w:r w:rsidRPr="008F275A">
        <w:rPr>
          <w:rFonts w:ascii="Arial" w:hAnsi="Arial" w:cs="Arial"/>
          <w:lang w:val="mk-MK"/>
        </w:rPr>
        <w:t>of</w:t>
      </w:r>
      <w:proofErr w:type="spellEnd"/>
      <w:r w:rsidRPr="008F275A">
        <w:rPr>
          <w:rFonts w:ascii="Arial" w:hAnsi="Arial" w:cs="Arial"/>
          <w:lang w:val="mk-MK"/>
        </w:rPr>
        <w:t xml:space="preserve"> </w:t>
      </w:r>
      <w:proofErr w:type="spellStart"/>
      <w:r w:rsidRPr="008F275A">
        <w:rPr>
          <w:rFonts w:ascii="Arial" w:hAnsi="Arial" w:cs="Arial"/>
          <w:lang w:val="mk-MK"/>
        </w:rPr>
        <w:t>risks</w:t>
      </w:r>
      <w:proofErr w:type="spellEnd"/>
      <w:r w:rsidRPr="008F275A">
        <w:rPr>
          <w:rFonts w:ascii="Arial" w:hAnsi="Arial" w:cs="Arial"/>
          <w:lang w:val="mk-MK"/>
        </w:rPr>
        <w:t xml:space="preserve">. </w:t>
      </w:r>
      <w:proofErr w:type="spellStart"/>
      <w:r w:rsidRPr="008F275A">
        <w:rPr>
          <w:rFonts w:ascii="Arial" w:hAnsi="Arial" w:cs="Arial"/>
          <w:lang w:val="mk-MK"/>
        </w:rPr>
        <w:t>The</w:t>
      </w:r>
      <w:proofErr w:type="spellEnd"/>
      <w:r w:rsidRPr="008F275A">
        <w:rPr>
          <w:rFonts w:ascii="Arial" w:hAnsi="Arial" w:cs="Arial"/>
          <w:lang w:val="mk-MK"/>
        </w:rPr>
        <w:t xml:space="preserve"> </w:t>
      </w:r>
      <w:proofErr w:type="spellStart"/>
      <w:r w:rsidRPr="008F275A">
        <w:rPr>
          <w:rFonts w:ascii="Arial" w:hAnsi="Arial" w:cs="Arial"/>
          <w:lang w:val="mk-MK"/>
        </w:rPr>
        <w:t>Fund’s</w:t>
      </w:r>
      <w:proofErr w:type="spellEnd"/>
      <w:r w:rsidRPr="008F275A">
        <w:rPr>
          <w:rFonts w:ascii="Arial" w:hAnsi="Arial" w:cs="Arial"/>
          <w:lang w:val="mk-MK"/>
        </w:rPr>
        <w:t xml:space="preserve"> </w:t>
      </w:r>
      <w:proofErr w:type="spellStart"/>
      <w:r w:rsidRPr="008F275A">
        <w:rPr>
          <w:rFonts w:ascii="Arial" w:hAnsi="Arial" w:cs="Arial"/>
          <w:lang w:val="mk-MK"/>
        </w:rPr>
        <w:t>aim</w:t>
      </w:r>
      <w:proofErr w:type="spellEnd"/>
      <w:r w:rsidRPr="008F275A">
        <w:rPr>
          <w:rFonts w:ascii="Arial" w:hAnsi="Arial" w:cs="Arial"/>
          <w:lang w:val="mk-MK"/>
        </w:rPr>
        <w:t xml:space="preserve"> </w:t>
      </w:r>
      <w:proofErr w:type="spellStart"/>
      <w:r w:rsidRPr="008F275A">
        <w:rPr>
          <w:rFonts w:ascii="Arial" w:hAnsi="Arial" w:cs="Arial"/>
          <w:lang w:val="mk-MK"/>
        </w:rPr>
        <w:t>is</w:t>
      </w:r>
      <w:proofErr w:type="spellEnd"/>
      <w:r w:rsidRPr="008F275A">
        <w:rPr>
          <w:rFonts w:ascii="Arial" w:hAnsi="Arial" w:cs="Arial"/>
          <w:lang w:val="mk-MK"/>
        </w:rPr>
        <w:t xml:space="preserve"> </w:t>
      </w:r>
      <w:proofErr w:type="spellStart"/>
      <w:r w:rsidRPr="008F275A">
        <w:rPr>
          <w:rFonts w:ascii="Arial" w:hAnsi="Arial" w:cs="Arial"/>
          <w:lang w:val="mk-MK"/>
        </w:rPr>
        <w:t>to</w:t>
      </w:r>
      <w:proofErr w:type="spellEnd"/>
      <w:r w:rsidRPr="008F275A">
        <w:rPr>
          <w:rFonts w:ascii="Arial" w:hAnsi="Arial" w:cs="Arial"/>
          <w:lang w:val="mk-MK"/>
        </w:rPr>
        <w:t xml:space="preserve"> </w:t>
      </w:r>
      <w:proofErr w:type="spellStart"/>
      <w:r w:rsidRPr="008F275A">
        <w:rPr>
          <w:rFonts w:ascii="Arial" w:hAnsi="Arial" w:cs="Arial"/>
          <w:lang w:val="mk-MK"/>
        </w:rPr>
        <w:t>achieve</w:t>
      </w:r>
      <w:proofErr w:type="spellEnd"/>
      <w:r w:rsidRPr="008F275A">
        <w:rPr>
          <w:rFonts w:ascii="Arial" w:hAnsi="Arial" w:cs="Arial"/>
          <w:lang w:val="mk-MK"/>
        </w:rPr>
        <w:t xml:space="preserve"> </w:t>
      </w:r>
      <w:proofErr w:type="spellStart"/>
      <w:r w:rsidRPr="008F275A">
        <w:rPr>
          <w:rFonts w:ascii="Arial" w:hAnsi="Arial" w:cs="Arial"/>
          <w:lang w:val="mk-MK"/>
        </w:rPr>
        <w:t>an</w:t>
      </w:r>
      <w:proofErr w:type="spellEnd"/>
      <w:r w:rsidRPr="008F275A">
        <w:rPr>
          <w:rFonts w:ascii="Arial" w:hAnsi="Arial" w:cs="Arial"/>
          <w:lang w:val="mk-MK"/>
        </w:rPr>
        <w:t xml:space="preserve"> </w:t>
      </w:r>
      <w:proofErr w:type="spellStart"/>
      <w:r w:rsidRPr="008F275A">
        <w:rPr>
          <w:rFonts w:ascii="Arial" w:hAnsi="Arial" w:cs="Arial"/>
          <w:lang w:val="mk-MK"/>
        </w:rPr>
        <w:t>appropriate</w:t>
      </w:r>
      <w:proofErr w:type="spellEnd"/>
      <w:r w:rsidRPr="008F275A">
        <w:rPr>
          <w:rFonts w:ascii="Arial" w:hAnsi="Arial" w:cs="Arial"/>
          <w:lang w:val="mk-MK"/>
        </w:rPr>
        <w:t xml:space="preserve"> </w:t>
      </w:r>
      <w:proofErr w:type="spellStart"/>
      <w:r w:rsidRPr="008F275A">
        <w:rPr>
          <w:rFonts w:ascii="Arial" w:hAnsi="Arial" w:cs="Arial"/>
          <w:lang w:val="mk-MK"/>
        </w:rPr>
        <w:t>balance</w:t>
      </w:r>
      <w:proofErr w:type="spellEnd"/>
      <w:r w:rsidRPr="008F275A">
        <w:rPr>
          <w:rFonts w:ascii="Arial" w:hAnsi="Arial" w:cs="Arial"/>
          <w:lang w:val="mk-MK"/>
        </w:rPr>
        <w:t xml:space="preserve"> </w:t>
      </w:r>
      <w:proofErr w:type="spellStart"/>
      <w:r w:rsidRPr="008F275A">
        <w:rPr>
          <w:rFonts w:ascii="Arial" w:hAnsi="Arial" w:cs="Arial"/>
          <w:lang w:val="mk-MK"/>
        </w:rPr>
        <w:t>between</w:t>
      </w:r>
      <w:proofErr w:type="spellEnd"/>
      <w:r w:rsidRPr="008F275A">
        <w:rPr>
          <w:rFonts w:ascii="Arial" w:hAnsi="Arial" w:cs="Arial"/>
          <w:lang w:val="mk-MK"/>
        </w:rPr>
        <w:t xml:space="preserve"> </w:t>
      </w:r>
      <w:proofErr w:type="spellStart"/>
      <w:r w:rsidRPr="008F275A">
        <w:rPr>
          <w:rFonts w:ascii="Arial" w:hAnsi="Arial" w:cs="Arial"/>
          <w:lang w:val="mk-MK"/>
        </w:rPr>
        <w:t>risk</w:t>
      </w:r>
      <w:proofErr w:type="spellEnd"/>
      <w:r w:rsidRPr="008F275A">
        <w:rPr>
          <w:rFonts w:ascii="Arial" w:hAnsi="Arial" w:cs="Arial"/>
          <w:lang w:val="mk-MK"/>
        </w:rPr>
        <w:t xml:space="preserve"> </w:t>
      </w:r>
      <w:proofErr w:type="spellStart"/>
      <w:r w:rsidRPr="008F275A">
        <w:rPr>
          <w:rFonts w:ascii="Arial" w:hAnsi="Arial" w:cs="Arial"/>
          <w:lang w:val="mk-MK"/>
        </w:rPr>
        <w:t>and</w:t>
      </w:r>
      <w:proofErr w:type="spellEnd"/>
      <w:r w:rsidRPr="008F275A">
        <w:rPr>
          <w:rFonts w:ascii="Arial" w:hAnsi="Arial" w:cs="Arial"/>
          <w:lang w:val="mk-MK"/>
        </w:rPr>
        <w:t xml:space="preserve"> </w:t>
      </w:r>
      <w:proofErr w:type="spellStart"/>
      <w:r w:rsidRPr="008F275A">
        <w:rPr>
          <w:rFonts w:ascii="Arial" w:hAnsi="Arial" w:cs="Arial"/>
          <w:lang w:val="mk-MK"/>
        </w:rPr>
        <w:t>return</w:t>
      </w:r>
      <w:proofErr w:type="spellEnd"/>
      <w:r w:rsidRPr="008F275A">
        <w:rPr>
          <w:rFonts w:ascii="Arial" w:hAnsi="Arial" w:cs="Arial"/>
          <w:lang w:val="mk-MK"/>
        </w:rPr>
        <w:t xml:space="preserve"> </w:t>
      </w:r>
      <w:proofErr w:type="spellStart"/>
      <w:r w:rsidRPr="008F275A">
        <w:rPr>
          <w:rFonts w:ascii="Arial" w:hAnsi="Arial" w:cs="Arial"/>
          <w:lang w:val="mk-MK"/>
        </w:rPr>
        <w:t>and</w:t>
      </w:r>
      <w:proofErr w:type="spellEnd"/>
      <w:r w:rsidRPr="008F275A">
        <w:rPr>
          <w:rFonts w:ascii="Arial" w:hAnsi="Arial" w:cs="Arial"/>
          <w:lang w:val="mk-MK"/>
        </w:rPr>
        <w:t xml:space="preserve"> </w:t>
      </w:r>
      <w:proofErr w:type="spellStart"/>
      <w:r w:rsidRPr="008F275A">
        <w:rPr>
          <w:rFonts w:ascii="Arial" w:hAnsi="Arial" w:cs="Arial"/>
          <w:lang w:val="mk-MK"/>
        </w:rPr>
        <w:t>minimize</w:t>
      </w:r>
      <w:proofErr w:type="spellEnd"/>
      <w:r w:rsidRPr="008F275A">
        <w:rPr>
          <w:rFonts w:ascii="Arial" w:hAnsi="Arial" w:cs="Arial"/>
          <w:lang w:val="mk-MK"/>
        </w:rPr>
        <w:t xml:space="preserve"> </w:t>
      </w:r>
      <w:proofErr w:type="spellStart"/>
      <w:r w:rsidRPr="008F275A">
        <w:rPr>
          <w:rFonts w:ascii="Arial" w:hAnsi="Arial" w:cs="Arial"/>
          <w:lang w:val="mk-MK"/>
        </w:rPr>
        <w:t>potential</w:t>
      </w:r>
      <w:proofErr w:type="spellEnd"/>
      <w:r w:rsidRPr="008F275A">
        <w:rPr>
          <w:rFonts w:ascii="Arial" w:hAnsi="Arial" w:cs="Arial"/>
          <w:lang w:val="mk-MK"/>
        </w:rPr>
        <w:t xml:space="preserve"> </w:t>
      </w:r>
      <w:proofErr w:type="spellStart"/>
      <w:r w:rsidRPr="008F275A">
        <w:rPr>
          <w:rFonts w:ascii="Arial" w:hAnsi="Arial" w:cs="Arial"/>
          <w:lang w:val="mk-MK"/>
        </w:rPr>
        <w:t>adverse</w:t>
      </w:r>
      <w:proofErr w:type="spellEnd"/>
      <w:r w:rsidRPr="008F275A">
        <w:rPr>
          <w:rFonts w:ascii="Arial" w:hAnsi="Arial" w:cs="Arial"/>
          <w:lang w:val="mk-MK"/>
        </w:rPr>
        <w:t xml:space="preserve"> </w:t>
      </w:r>
      <w:proofErr w:type="spellStart"/>
      <w:r w:rsidRPr="008F275A">
        <w:rPr>
          <w:rFonts w:ascii="Arial" w:hAnsi="Arial" w:cs="Arial"/>
          <w:lang w:val="mk-MK"/>
        </w:rPr>
        <w:t>effects</w:t>
      </w:r>
      <w:proofErr w:type="spellEnd"/>
      <w:r w:rsidRPr="008F275A">
        <w:rPr>
          <w:rFonts w:ascii="Arial" w:hAnsi="Arial" w:cs="Arial"/>
          <w:lang w:val="mk-MK"/>
        </w:rPr>
        <w:t xml:space="preserve"> </w:t>
      </w:r>
      <w:proofErr w:type="spellStart"/>
      <w:r w:rsidRPr="008F275A">
        <w:rPr>
          <w:rFonts w:ascii="Arial" w:hAnsi="Arial" w:cs="Arial"/>
          <w:lang w:val="mk-MK"/>
        </w:rPr>
        <w:t>to</w:t>
      </w:r>
      <w:proofErr w:type="spellEnd"/>
      <w:r w:rsidRPr="008F275A">
        <w:rPr>
          <w:rFonts w:ascii="Arial" w:hAnsi="Arial" w:cs="Arial"/>
          <w:lang w:val="mk-MK"/>
        </w:rPr>
        <w:t xml:space="preserve"> </w:t>
      </w:r>
      <w:proofErr w:type="spellStart"/>
      <w:r w:rsidRPr="008F275A">
        <w:rPr>
          <w:rFonts w:ascii="Arial" w:hAnsi="Arial" w:cs="Arial"/>
          <w:lang w:val="mk-MK"/>
        </w:rPr>
        <w:t>the</w:t>
      </w:r>
      <w:proofErr w:type="spellEnd"/>
      <w:r w:rsidRPr="008F275A">
        <w:rPr>
          <w:rFonts w:ascii="Arial" w:hAnsi="Arial" w:cs="Arial"/>
          <w:lang w:val="mk-MK"/>
        </w:rPr>
        <w:t xml:space="preserve"> </w:t>
      </w:r>
      <w:proofErr w:type="spellStart"/>
      <w:r w:rsidRPr="008F275A">
        <w:rPr>
          <w:rFonts w:ascii="Arial" w:hAnsi="Arial" w:cs="Arial"/>
          <w:lang w:val="mk-MK"/>
        </w:rPr>
        <w:t>Fund’s</w:t>
      </w:r>
      <w:proofErr w:type="spellEnd"/>
      <w:r w:rsidRPr="008F275A">
        <w:rPr>
          <w:rFonts w:ascii="Arial" w:hAnsi="Arial" w:cs="Arial"/>
          <w:lang w:val="mk-MK"/>
        </w:rPr>
        <w:t xml:space="preserve"> </w:t>
      </w:r>
      <w:proofErr w:type="spellStart"/>
      <w:r w:rsidRPr="008F275A">
        <w:rPr>
          <w:rFonts w:ascii="Arial" w:hAnsi="Arial" w:cs="Arial"/>
          <w:lang w:val="mk-MK"/>
        </w:rPr>
        <w:t>financial</w:t>
      </w:r>
      <w:proofErr w:type="spellEnd"/>
      <w:r w:rsidRPr="008F275A">
        <w:rPr>
          <w:rFonts w:ascii="Arial" w:hAnsi="Arial" w:cs="Arial"/>
          <w:lang w:val="mk-MK"/>
        </w:rPr>
        <w:t xml:space="preserve"> </w:t>
      </w:r>
      <w:proofErr w:type="spellStart"/>
      <w:r w:rsidRPr="008F275A">
        <w:rPr>
          <w:rFonts w:ascii="Arial" w:hAnsi="Arial" w:cs="Arial"/>
          <w:lang w:val="mk-MK"/>
        </w:rPr>
        <w:t>performance</w:t>
      </w:r>
      <w:proofErr w:type="spellEnd"/>
      <w:r w:rsidRPr="008F275A">
        <w:rPr>
          <w:rFonts w:ascii="Arial" w:hAnsi="Arial" w:cs="Arial"/>
          <w:lang w:val="mk-MK"/>
        </w:rPr>
        <w:t>.</w:t>
      </w:r>
    </w:p>
    <w:p w14:paraId="7028117D" w14:textId="77777777" w:rsidR="000F121C" w:rsidRDefault="000F121C" w:rsidP="000F121C">
      <w:pPr>
        <w:pStyle w:val="BodyText"/>
        <w:jc w:val="both"/>
        <w:rPr>
          <w:rFonts w:ascii="Arial" w:hAnsi="Arial" w:cs="Arial"/>
          <w:lang w:val="mk-MK"/>
        </w:rPr>
      </w:pPr>
      <w:proofErr w:type="spellStart"/>
      <w:r w:rsidRPr="00B76194">
        <w:rPr>
          <w:rFonts w:ascii="Arial" w:hAnsi="Arial" w:cs="Arial"/>
          <w:lang w:val="mk-MK"/>
        </w:rPr>
        <w:t>The</w:t>
      </w:r>
      <w:proofErr w:type="spellEnd"/>
      <w:r w:rsidRPr="00B76194">
        <w:rPr>
          <w:rFonts w:ascii="Arial" w:hAnsi="Arial" w:cs="Arial"/>
          <w:lang w:val="mk-MK"/>
        </w:rPr>
        <w:t xml:space="preserve"> </w:t>
      </w:r>
      <w:proofErr w:type="spellStart"/>
      <w:r w:rsidRPr="00B76194">
        <w:rPr>
          <w:rFonts w:ascii="Arial" w:hAnsi="Arial" w:cs="Arial"/>
          <w:lang w:val="mk-MK"/>
        </w:rPr>
        <w:t>Fund’s</w:t>
      </w:r>
      <w:proofErr w:type="spellEnd"/>
      <w:r w:rsidRPr="00B76194">
        <w:rPr>
          <w:rFonts w:ascii="Arial" w:hAnsi="Arial" w:cs="Arial"/>
          <w:lang w:val="mk-MK"/>
        </w:rPr>
        <w:t xml:space="preserve"> </w:t>
      </w:r>
      <w:proofErr w:type="spellStart"/>
      <w:r w:rsidRPr="00B76194">
        <w:rPr>
          <w:rFonts w:ascii="Arial" w:hAnsi="Arial" w:cs="Arial"/>
          <w:lang w:val="mk-MK"/>
        </w:rPr>
        <w:t>risk</w:t>
      </w:r>
      <w:proofErr w:type="spellEnd"/>
      <w:r w:rsidRPr="00B76194">
        <w:rPr>
          <w:rFonts w:ascii="Arial" w:hAnsi="Arial" w:cs="Arial"/>
          <w:lang w:val="mk-MK"/>
        </w:rPr>
        <w:t xml:space="preserve"> </w:t>
      </w:r>
      <w:proofErr w:type="spellStart"/>
      <w:r w:rsidRPr="00B76194">
        <w:rPr>
          <w:rFonts w:ascii="Arial" w:hAnsi="Arial" w:cs="Arial"/>
          <w:lang w:val="mk-MK"/>
        </w:rPr>
        <w:t>management</w:t>
      </w:r>
      <w:proofErr w:type="spellEnd"/>
      <w:r w:rsidRPr="00B76194">
        <w:rPr>
          <w:rFonts w:ascii="Arial" w:hAnsi="Arial" w:cs="Arial"/>
          <w:lang w:val="mk-MK"/>
        </w:rPr>
        <w:t xml:space="preserve"> </w:t>
      </w:r>
      <w:proofErr w:type="spellStart"/>
      <w:r w:rsidRPr="00B76194">
        <w:rPr>
          <w:rFonts w:ascii="Arial" w:hAnsi="Arial" w:cs="Arial"/>
          <w:lang w:val="mk-MK"/>
        </w:rPr>
        <w:t>policies</w:t>
      </w:r>
      <w:proofErr w:type="spellEnd"/>
      <w:r w:rsidRPr="00B76194">
        <w:rPr>
          <w:rFonts w:ascii="Arial" w:hAnsi="Arial" w:cs="Arial"/>
          <w:lang w:val="mk-MK"/>
        </w:rPr>
        <w:t xml:space="preserve"> </w:t>
      </w:r>
      <w:proofErr w:type="spellStart"/>
      <w:r w:rsidRPr="00B76194">
        <w:rPr>
          <w:rFonts w:ascii="Arial" w:hAnsi="Arial" w:cs="Arial"/>
          <w:lang w:val="mk-MK"/>
        </w:rPr>
        <w:t>are</w:t>
      </w:r>
      <w:proofErr w:type="spellEnd"/>
      <w:r w:rsidRPr="00B76194">
        <w:rPr>
          <w:rFonts w:ascii="Arial" w:hAnsi="Arial" w:cs="Arial"/>
          <w:lang w:val="mk-MK"/>
        </w:rPr>
        <w:t xml:space="preserve"> </w:t>
      </w:r>
      <w:proofErr w:type="spellStart"/>
      <w:r w:rsidRPr="00B76194">
        <w:rPr>
          <w:rFonts w:ascii="Arial" w:hAnsi="Arial" w:cs="Arial"/>
          <w:lang w:val="mk-MK"/>
        </w:rPr>
        <w:t>designed</w:t>
      </w:r>
      <w:proofErr w:type="spellEnd"/>
      <w:r w:rsidRPr="00B76194">
        <w:rPr>
          <w:rFonts w:ascii="Arial" w:hAnsi="Arial" w:cs="Arial"/>
          <w:lang w:val="mk-MK"/>
        </w:rPr>
        <w:t xml:space="preserve"> </w:t>
      </w:r>
      <w:proofErr w:type="spellStart"/>
      <w:r w:rsidRPr="00B76194">
        <w:rPr>
          <w:rFonts w:ascii="Arial" w:hAnsi="Arial" w:cs="Arial"/>
          <w:lang w:val="mk-MK"/>
        </w:rPr>
        <w:t>to</w:t>
      </w:r>
      <w:proofErr w:type="spellEnd"/>
      <w:r w:rsidRPr="00B76194">
        <w:rPr>
          <w:rFonts w:ascii="Arial" w:hAnsi="Arial" w:cs="Arial"/>
          <w:lang w:val="mk-MK"/>
        </w:rPr>
        <w:t xml:space="preserve"> </w:t>
      </w:r>
      <w:proofErr w:type="spellStart"/>
      <w:r w:rsidRPr="00B76194">
        <w:rPr>
          <w:rFonts w:ascii="Arial" w:hAnsi="Arial" w:cs="Arial"/>
          <w:lang w:val="mk-MK"/>
        </w:rPr>
        <w:t>identify</w:t>
      </w:r>
      <w:proofErr w:type="spellEnd"/>
      <w:r w:rsidRPr="00B76194">
        <w:rPr>
          <w:rFonts w:ascii="Arial" w:hAnsi="Arial" w:cs="Arial"/>
          <w:lang w:val="mk-MK"/>
        </w:rPr>
        <w:t xml:space="preserve"> </w:t>
      </w:r>
      <w:proofErr w:type="spellStart"/>
      <w:r w:rsidRPr="00B76194">
        <w:rPr>
          <w:rFonts w:ascii="Arial" w:hAnsi="Arial" w:cs="Arial"/>
          <w:lang w:val="mk-MK"/>
        </w:rPr>
        <w:t>and</w:t>
      </w:r>
      <w:proofErr w:type="spellEnd"/>
      <w:r w:rsidRPr="00B76194">
        <w:rPr>
          <w:rFonts w:ascii="Arial" w:hAnsi="Arial" w:cs="Arial"/>
          <w:lang w:val="mk-MK"/>
        </w:rPr>
        <w:t xml:space="preserve"> </w:t>
      </w:r>
      <w:proofErr w:type="spellStart"/>
      <w:r w:rsidRPr="00B76194">
        <w:rPr>
          <w:rFonts w:ascii="Arial" w:hAnsi="Arial" w:cs="Arial"/>
          <w:lang w:val="mk-MK"/>
        </w:rPr>
        <w:t>analyse</w:t>
      </w:r>
      <w:proofErr w:type="spellEnd"/>
      <w:r w:rsidRPr="00B76194">
        <w:rPr>
          <w:rFonts w:ascii="Arial" w:hAnsi="Arial" w:cs="Arial"/>
          <w:lang w:val="mk-MK"/>
        </w:rPr>
        <w:t xml:space="preserve"> </w:t>
      </w:r>
      <w:proofErr w:type="spellStart"/>
      <w:r w:rsidRPr="00B76194">
        <w:rPr>
          <w:rFonts w:ascii="Arial" w:hAnsi="Arial" w:cs="Arial"/>
          <w:lang w:val="mk-MK"/>
        </w:rPr>
        <w:t>these</w:t>
      </w:r>
      <w:proofErr w:type="spellEnd"/>
      <w:r w:rsidRPr="00B76194">
        <w:rPr>
          <w:rFonts w:ascii="Arial" w:hAnsi="Arial" w:cs="Arial"/>
          <w:lang w:val="mk-MK"/>
        </w:rPr>
        <w:t xml:space="preserve"> </w:t>
      </w:r>
      <w:proofErr w:type="spellStart"/>
      <w:r w:rsidRPr="00B76194">
        <w:rPr>
          <w:rFonts w:ascii="Arial" w:hAnsi="Arial" w:cs="Arial"/>
          <w:lang w:val="mk-MK"/>
        </w:rPr>
        <w:t>risks</w:t>
      </w:r>
      <w:proofErr w:type="spellEnd"/>
      <w:r w:rsidRPr="00B76194">
        <w:rPr>
          <w:rFonts w:ascii="Arial" w:hAnsi="Arial" w:cs="Arial"/>
          <w:lang w:val="mk-MK"/>
        </w:rPr>
        <w:t xml:space="preserve">, </w:t>
      </w:r>
      <w:proofErr w:type="spellStart"/>
      <w:r w:rsidRPr="00B76194">
        <w:rPr>
          <w:rFonts w:ascii="Arial" w:hAnsi="Arial" w:cs="Arial"/>
          <w:lang w:val="mk-MK"/>
        </w:rPr>
        <w:t>to</w:t>
      </w:r>
      <w:proofErr w:type="spellEnd"/>
      <w:r w:rsidRPr="00B76194">
        <w:rPr>
          <w:rFonts w:ascii="Arial" w:hAnsi="Arial" w:cs="Arial"/>
          <w:lang w:val="mk-MK"/>
        </w:rPr>
        <w:t xml:space="preserve"> </w:t>
      </w:r>
      <w:proofErr w:type="spellStart"/>
      <w:r w:rsidRPr="00B76194">
        <w:rPr>
          <w:rFonts w:ascii="Arial" w:hAnsi="Arial" w:cs="Arial"/>
          <w:lang w:val="mk-MK"/>
        </w:rPr>
        <w:t>set</w:t>
      </w:r>
      <w:proofErr w:type="spellEnd"/>
      <w:r w:rsidRPr="00B76194">
        <w:rPr>
          <w:rFonts w:ascii="Arial" w:hAnsi="Arial" w:cs="Arial"/>
          <w:lang w:val="mk-MK"/>
        </w:rPr>
        <w:t xml:space="preserve"> </w:t>
      </w:r>
      <w:proofErr w:type="spellStart"/>
      <w:r w:rsidRPr="00B76194">
        <w:rPr>
          <w:rFonts w:ascii="Arial" w:hAnsi="Arial" w:cs="Arial"/>
          <w:lang w:val="mk-MK"/>
        </w:rPr>
        <w:t>appropriate</w:t>
      </w:r>
      <w:proofErr w:type="spellEnd"/>
      <w:r w:rsidRPr="00B76194">
        <w:rPr>
          <w:rFonts w:ascii="Arial" w:hAnsi="Arial" w:cs="Arial"/>
          <w:lang w:val="mk-MK"/>
        </w:rPr>
        <w:t xml:space="preserve"> </w:t>
      </w:r>
      <w:proofErr w:type="spellStart"/>
      <w:r w:rsidRPr="00B76194">
        <w:rPr>
          <w:rFonts w:ascii="Arial" w:hAnsi="Arial" w:cs="Arial"/>
          <w:lang w:val="mk-MK"/>
        </w:rPr>
        <w:t>risk</w:t>
      </w:r>
      <w:proofErr w:type="spellEnd"/>
      <w:r w:rsidRPr="00B76194">
        <w:rPr>
          <w:rFonts w:ascii="Arial" w:hAnsi="Arial" w:cs="Arial"/>
          <w:lang w:val="mk-MK"/>
        </w:rPr>
        <w:t xml:space="preserve"> </w:t>
      </w:r>
      <w:proofErr w:type="spellStart"/>
      <w:r w:rsidRPr="00B76194">
        <w:rPr>
          <w:rFonts w:ascii="Arial" w:hAnsi="Arial" w:cs="Arial"/>
          <w:lang w:val="mk-MK"/>
        </w:rPr>
        <w:t>limits</w:t>
      </w:r>
      <w:proofErr w:type="spellEnd"/>
      <w:r w:rsidRPr="00B76194">
        <w:rPr>
          <w:rFonts w:ascii="Arial" w:hAnsi="Arial" w:cs="Arial"/>
          <w:lang w:val="mk-MK"/>
        </w:rPr>
        <w:t xml:space="preserve"> </w:t>
      </w:r>
      <w:proofErr w:type="spellStart"/>
      <w:r w:rsidRPr="00B76194">
        <w:rPr>
          <w:rFonts w:ascii="Arial" w:hAnsi="Arial" w:cs="Arial"/>
          <w:lang w:val="mk-MK"/>
        </w:rPr>
        <w:t>and</w:t>
      </w:r>
      <w:proofErr w:type="spellEnd"/>
      <w:r w:rsidRPr="00B76194">
        <w:rPr>
          <w:rFonts w:ascii="Arial" w:hAnsi="Arial" w:cs="Arial"/>
          <w:lang w:val="mk-MK"/>
        </w:rPr>
        <w:t xml:space="preserve"> </w:t>
      </w:r>
      <w:proofErr w:type="spellStart"/>
      <w:r w:rsidRPr="00B76194">
        <w:rPr>
          <w:rFonts w:ascii="Arial" w:hAnsi="Arial" w:cs="Arial"/>
          <w:lang w:val="mk-MK"/>
        </w:rPr>
        <w:t>controls</w:t>
      </w:r>
      <w:proofErr w:type="spellEnd"/>
      <w:r w:rsidRPr="00B76194">
        <w:rPr>
          <w:rFonts w:ascii="Arial" w:hAnsi="Arial" w:cs="Arial"/>
          <w:lang w:val="mk-MK"/>
        </w:rPr>
        <w:t xml:space="preserve">, </w:t>
      </w:r>
      <w:proofErr w:type="spellStart"/>
      <w:r w:rsidRPr="00B76194">
        <w:rPr>
          <w:rFonts w:ascii="Arial" w:hAnsi="Arial" w:cs="Arial"/>
          <w:lang w:val="mk-MK"/>
        </w:rPr>
        <w:t>and</w:t>
      </w:r>
      <w:proofErr w:type="spellEnd"/>
      <w:r w:rsidRPr="00B76194">
        <w:rPr>
          <w:rFonts w:ascii="Arial" w:hAnsi="Arial" w:cs="Arial"/>
          <w:lang w:val="mk-MK"/>
        </w:rPr>
        <w:t xml:space="preserve"> </w:t>
      </w:r>
      <w:proofErr w:type="spellStart"/>
      <w:r w:rsidRPr="00B76194">
        <w:rPr>
          <w:rFonts w:ascii="Arial" w:hAnsi="Arial" w:cs="Arial"/>
          <w:lang w:val="mk-MK"/>
        </w:rPr>
        <w:t>to</w:t>
      </w:r>
      <w:proofErr w:type="spellEnd"/>
      <w:r w:rsidRPr="00B76194">
        <w:rPr>
          <w:rFonts w:ascii="Arial" w:hAnsi="Arial" w:cs="Arial"/>
          <w:lang w:val="mk-MK"/>
        </w:rPr>
        <w:t xml:space="preserve"> </w:t>
      </w:r>
      <w:proofErr w:type="spellStart"/>
      <w:r w:rsidRPr="00B76194">
        <w:rPr>
          <w:rFonts w:ascii="Arial" w:hAnsi="Arial" w:cs="Arial"/>
          <w:lang w:val="mk-MK"/>
        </w:rPr>
        <w:t>monitor</w:t>
      </w:r>
      <w:proofErr w:type="spellEnd"/>
      <w:r w:rsidRPr="00B76194">
        <w:rPr>
          <w:rFonts w:ascii="Arial" w:hAnsi="Arial" w:cs="Arial"/>
          <w:lang w:val="mk-MK"/>
        </w:rPr>
        <w:t xml:space="preserve"> </w:t>
      </w:r>
      <w:proofErr w:type="spellStart"/>
      <w:r w:rsidRPr="00B76194">
        <w:rPr>
          <w:rFonts w:ascii="Arial" w:hAnsi="Arial" w:cs="Arial"/>
          <w:lang w:val="mk-MK"/>
        </w:rPr>
        <w:t>the</w:t>
      </w:r>
      <w:proofErr w:type="spellEnd"/>
      <w:r w:rsidRPr="00B76194">
        <w:rPr>
          <w:rFonts w:ascii="Arial" w:hAnsi="Arial" w:cs="Arial"/>
          <w:lang w:val="mk-MK"/>
        </w:rPr>
        <w:t xml:space="preserve"> </w:t>
      </w:r>
      <w:proofErr w:type="spellStart"/>
      <w:r w:rsidRPr="00B76194">
        <w:rPr>
          <w:rFonts w:ascii="Arial" w:hAnsi="Arial" w:cs="Arial"/>
          <w:lang w:val="mk-MK"/>
        </w:rPr>
        <w:t>risks</w:t>
      </w:r>
      <w:proofErr w:type="spellEnd"/>
      <w:r w:rsidRPr="00B76194">
        <w:rPr>
          <w:rFonts w:ascii="Arial" w:hAnsi="Arial" w:cs="Arial"/>
          <w:lang w:val="mk-MK"/>
        </w:rPr>
        <w:t xml:space="preserve"> </w:t>
      </w:r>
      <w:proofErr w:type="spellStart"/>
      <w:r w:rsidRPr="00B76194">
        <w:rPr>
          <w:rFonts w:ascii="Arial" w:hAnsi="Arial" w:cs="Arial"/>
          <w:lang w:val="mk-MK"/>
        </w:rPr>
        <w:t>and</w:t>
      </w:r>
      <w:proofErr w:type="spellEnd"/>
      <w:r w:rsidRPr="00B76194">
        <w:rPr>
          <w:rFonts w:ascii="Arial" w:hAnsi="Arial" w:cs="Arial"/>
          <w:lang w:val="mk-MK"/>
        </w:rPr>
        <w:t xml:space="preserve"> </w:t>
      </w:r>
      <w:proofErr w:type="spellStart"/>
      <w:r w:rsidRPr="00B76194">
        <w:rPr>
          <w:rFonts w:ascii="Arial" w:hAnsi="Arial" w:cs="Arial"/>
          <w:lang w:val="mk-MK"/>
        </w:rPr>
        <w:t>the</w:t>
      </w:r>
      <w:proofErr w:type="spellEnd"/>
      <w:r w:rsidRPr="00B76194">
        <w:rPr>
          <w:rFonts w:ascii="Arial" w:hAnsi="Arial" w:cs="Arial"/>
          <w:lang w:val="mk-MK"/>
        </w:rPr>
        <w:t xml:space="preserve"> </w:t>
      </w:r>
      <w:proofErr w:type="spellStart"/>
      <w:r w:rsidRPr="00B76194">
        <w:rPr>
          <w:rFonts w:ascii="Arial" w:hAnsi="Arial" w:cs="Arial"/>
          <w:lang w:val="mk-MK"/>
        </w:rPr>
        <w:t>adherence</w:t>
      </w:r>
      <w:proofErr w:type="spellEnd"/>
      <w:r w:rsidRPr="00B76194">
        <w:rPr>
          <w:rFonts w:ascii="Arial" w:hAnsi="Arial" w:cs="Arial"/>
          <w:lang w:val="mk-MK"/>
        </w:rPr>
        <w:t xml:space="preserve"> </w:t>
      </w:r>
      <w:proofErr w:type="spellStart"/>
      <w:r w:rsidRPr="00B76194">
        <w:rPr>
          <w:rFonts w:ascii="Arial" w:hAnsi="Arial" w:cs="Arial"/>
          <w:lang w:val="mk-MK"/>
        </w:rPr>
        <w:t>to</w:t>
      </w:r>
      <w:proofErr w:type="spellEnd"/>
      <w:r w:rsidRPr="00B76194">
        <w:rPr>
          <w:rFonts w:ascii="Arial" w:hAnsi="Arial" w:cs="Arial"/>
          <w:lang w:val="mk-MK"/>
        </w:rPr>
        <w:t xml:space="preserve"> </w:t>
      </w:r>
      <w:proofErr w:type="spellStart"/>
      <w:r w:rsidRPr="00B76194">
        <w:rPr>
          <w:rFonts w:ascii="Arial" w:hAnsi="Arial" w:cs="Arial"/>
          <w:lang w:val="mk-MK"/>
        </w:rPr>
        <w:t>limits</w:t>
      </w:r>
      <w:proofErr w:type="spellEnd"/>
      <w:r w:rsidRPr="00B76194">
        <w:rPr>
          <w:rFonts w:ascii="Arial" w:hAnsi="Arial" w:cs="Arial"/>
          <w:lang w:val="mk-MK"/>
        </w:rPr>
        <w:t xml:space="preserve"> </w:t>
      </w:r>
      <w:proofErr w:type="spellStart"/>
      <w:r w:rsidRPr="00B76194">
        <w:rPr>
          <w:rFonts w:ascii="Arial" w:hAnsi="Arial" w:cs="Arial"/>
          <w:lang w:val="mk-MK"/>
        </w:rPr>
        <w:t>through</w:t>
      </w:r>
      <w:proofErr w:type="spellEnd"/>
      <w:r w:rsidRPr="00B76194">
        <w:rPr>
          <w:rFonts w:ascii="Arial" w:hAnsi="Arial" w:cs="Arial"/>
          <w:lang w:val="mk-MK"/>
        </w:rPr>
        <w:t xml:space="preserve"> </w:t>
      </w:r>
      <w:proofErr w:type="spellStart"/>
      <w:r w:rsidRPr="00B76194">
        <w:rPr>
          <w:rFonts w:ascii="Arial" w:hAnsi="Arial" w:cs="Arial"/>
          <w:lang w:val="mk-MK"/>
        </w:rPr>
        <w:t>reliable</w:t>
      </w:r>
      <w:proofErr w:type="spellEnd"/>
      <w:r w:rsidRPr="00B76194">
        <w:rPr>
          <w:rFonts w:ascii="Arial" w:hAnsi="Arial" w:cs="Arial"/>
          <w:lang w:val="mk-MK"/>
        </w:rPr>
        <w:t xml:space="preserve"> </w:t>
      </w:r>
      <w:proofErr w:type="spellStart"/>
      <w:r w:rsidRPr="00B76194">
        <w:rPr>
          <w:rFonts w:ascii="Arial" w:hAnsi="Arial" w:cs="Arial"/>
          <w:lang w:val="mk-MK"/>
        </w:rPr>
        <w:t>and</w:t>
      </w:r>
      <w:proofErr w:type="spellEnd"/>
      <w:r w:rsidRPr="00B76194">
        <w:rPr>
          <w:rFonts w:ascii="Arial" w:hAnsi="Arial" w:cs="Arial"/>
          <w:lang w:val="mk-MK"/>
        </w:rPr>
        <w:t xml:space="preserve"> </w:t>
      </w:r>
      <w:proofErr w:type="spellStart"/>
      <w:r w:rsidRPr="00B76194">
        <w:rPr>
          <w:rFonts w:ascii="Arial" w:hAnsi="Arial" w:cs="Arial"/>
          <w:lang w:val="mk-MK"/>
        </w:rPr>
        <w:t>up</w:t>
      </w:r>
      <w:proofErr w:type="spellEnd"/>
      <w:r w:rsidRPr="00B76194">
        <w:rPr>
          <w:rFonts w:ascii="Arial" w:hAnsi="Arial" w:cs="Arial"/>
          <w:lang w:val="mk-MK"/>
        </w:rPr>
        <w:t xml:space="preserve"> – </w:t>
      </w:r>
      <w:proofErr w:type="spellStart"/>
      <w:r w:rsidRPr="00B76194">
        <w:rPr>
          <w:rFonts w:ascii="Arial" w:hAnsi="Arial" w:cs="Arial"/>
          <w:lang w:val="mk-MK"/>
        </w:rPr>
        <w:t>to</w:t>
      </w:r>
      <w:proofErr w:type="spellEnd"/>
      <w:r w:rsidRPr="00B76194">
        <w:rPr>
          <w:rFonts w:ascii="Arial" w:hAnsi="Arial" w:cs="Arial"/>
          <w:lang w:val="mk-MK"/>
        </w:rPr>
        <w:t xml:space="preserve"> – </w:t>
      </w:r>
      <w:proofErr w:type="spellStart"/>
      <w:r w:rsidRPr="00B76194">
        <w:rPr>
          <w:rFonts w:ascii="Arial" w:hAnsi="Arial" w:cs="Arial"/>
          <w:lang w:val="mk-MK"/>
        </w:rPr>
        <w:t>date</w:t>
      </w:r>
      <w:proofErr w:type="spellEnd"/>
      <w:r w:rsidRPr="00B76194">
        <w:rPr>
          <w:rFonts w:ascii="Arial" w:hAnsi="Arial" w:cs="Arial"/>
          <w:lang w:val="mk-MK"/>
        </w:rPr>
        <w:t xml:space="preserve"> </w:t>
      </w:r>
      <w:proofErr w:type="spellStart"/>
      <w:r w:rsidRPr="00B76194">
        <w:rPr>
          <w:rFonts w:ascii="Arial" w:hAnsi="Arial" w:cs="Arial"/>
          <w:lang w:val="mk-MK"/>
        </w:rPr>
        <w:t>information</w:t>
      </w:r>
      <w:proofErr w:type="spellEnd"/>
      <w:r w:rsidRPr="00B76194">
        <w:rPr>
          <w:rFonts w:ascii="Arial" w:hAnsi="Arial" w:cs="Arial"/>
          <w:lang w:val="mk-MK"/>
        </w:rPr>
        <w:t xml:space="preserve"> </w:t>
      </w:r>
      <w:proofErr w:type="spellStart"/>
      <w:r w:rsidRPr="00B76194">
        <w:rPr>
          <w:rFonts w:ascii="Arial" w:hAnsi="Arial" w:cs="Arial"/>
          <w:lang w:val="mk-MK"/>
        </w:rPr>
        <w:t>systems</w:t>
      </w:r>
      <w:proofErr w:type="spellEnd"/>
      <w:r w:rsidRPr="00B76194">
        <w:rPr>
          <w:rFonts w:ascii="Arial" w:hAnsi="Arial" w:cs="Arial"/>
          <w:lang w:val="mk-MK"/>
        </w:rPr>
        <w:t xml:space="preserve">. </w:t>
      </w:r>
      <w:proofErr w:type="spellStart"/>
      <w:r w:rsidRPr="00B76194">
        <w:rPr>
          <w:rFonts w:ascii="Arial" w:hAnsi="Arial" w:cs="Arial"/>
          <w:lang w:val="mk-MK"/>
        </w:rPr>
        <w:t>The</w:t>
      </w:r>
      <w:proofErr w:type="spellEnd"/>
      <w:r w:rsidRPr="00B76194">
        <w:rPr>
          <w:rFonts w:ascii="Arial" w:hAnsi="Arial" w:cs="Arial"/>
          <w:lang w:val="mk-MK"/>
        </w:rPr>
        <w:t xml:space="preserve"> </w:t>
      </w:r>
      <w:proofErr w:type="spellStart"/>
      <w:r w:rsidRPr="00B76194">
        <w:rPr>
          <w:rFonts w:ascii="Arial" w:hAnsi="Arial" w:cs="Arial"/>
          <w:lang w:val="mk-MK"/>
        </w:rPr>
        <w:t>Fund</w:t>
      </w:r>
      <w:proofErr w:type="spellEnd"/>
      <w:r w:rsidRPr="00B76194">
        <w:rPr>
          <w:rFonts w:ascii="Arial" w:hAnsi="Arial" w:cs="Arial"/>
          <w:lang w:val="mk-MK"/>
        </w:rPr>
        <w:t xml:space="preserve"> </w:t>
      </w:r>
      <w:proofErr w:type="spellStart"/>
      <w:r w:rsidRPr="00B76194">
        <w:rPr>
          <w:rFonts w:ascii="Arial" w:hAnsi="Arial" w:cs="Arial"/>
          <w:lang w:val="mk-MK"/>
        </w:rPr>
        <w:t>regularly</w:t>
      </w:r>
      <w:proofErr w:type="spellEnd"/>
      <w:r w:rsidRPr="00B76194">
        <w:rPr>
          <w:rFonts w:ascii="Arial" w:hAnsi="Arial" w:cs="Arial"/>
          <w:lang w:val="mk-MK"/>
        </w:rPr>
        <w:t xml:space="preserve"> </w:t>
      </w:r>
      <w:proofErr w:type="spellStart"/>
      <w:r w:rsidRPr="00B76194">
        <w:rPr>
          <w:rFonts w:ascii="Arial" w:hAnsi="Arial" w:cs="Arial"/>
          <w:lang w:val="mk-MK"/>
        </w:rPr>
        <w:t>reviews</w:t>
      </w:r>
      <w:proofErr w:type="spellEnd"/>
      <w:r w:rsidRPr="00B76194">
        <w:rPr>
          <w:rFonts w:ascii="Arial" w:hAnsi="Arial" w:cs="Arial"/>
          <w:lang w:val="mk-MK"/>
        </w:rPr>
        <w:t xml:space="preserve"> </w:t>
      </w:r>
      <w:proofErr w:type="spellStart"/>
      <w:r w:rsidRPr="00B76194">
        <w:rPr>
          <w:rFonts w:ascii="Arial" w:hAnsi="Arial" w:cs="Arial"/>
          <w:lang w:val="mk-MK"/>
        </w:rPr>
        <w:t>its</w:t>
      </w:r>
      <w:proofErr w:type="spellEnd"/>
      <w:r w:rsidRPr="00B76194">
        <w:rPr>
          <w:rFonts w:ascii="Arial" w:hAnsi="Arial" w:cs="Arial"/>
          <w:lang w:val="mk-MK"/>
        </w:rPr>
        <w:t xml:space="preserve"> </w:t>
      </w:r>
      <w:proofErr w:type="spellStart"/>
      <w:r w:rsidRPr="00B76194">
        <w:rPr>
          <w:rFonts w:ascii="Arial" w:hAnsi="Arial" w:cs="Arial"/>
          <w:lang w:val="mk-MK"/>
        </w:rPr>
        <w:t>risk</w:t>
      </w:r>
      <w:proofErr w:type="spellEnd"/>
      <w:r w:rsidRPr="00B76194">
        <w:rPr>
          <w:rFonts w:ascii="Arial" w:hAnsi="Arial" w:cs="Arial"/>
          <w:lang w:val="mk-MK"/>
        </w:rPr>
        <w:t xml:space="preserve"> </w:t>
      </w:r>
      <w:proofErr w:type="spellStart"/>
      <w:r w:rsidRPr="00B76194">
        <w:rPr>
          <w:rFonts w:ascii="Arial" w:hAnsi="Arial" w:cs="Arial"/>
          <w:lang w:val="mk-MK"/>
        </w:rPr>
        <w:t>management</w:t>
      </w:r>
      <w:proofErr w:type="spellEnd"/>
      <w:r w:rsidRPr="00B76194">
        <w:rPr>
          <w:rFonts w:ascii="Arial" w:hAnsi="Arial" w:cs="Arial"/>
          <w:lang w:val="mk-MK"/>
        </w:rPr>
        <w:t xml:space="preserve"> </w:t>
      </w:r>
      <w:proofErr w:type="spellStart"/>
      <w:r w:rsidRPr="00B76194">
        <w:rPr>
          <w:rFonts w:ascii="Arial" w:hAnsi="Arial" w:cs="Arial"/>
          <w:lang w:val="mk-MK"/>
        </w:rPr>
        <w:t>policies</w:t>
      </w:r>
      <w:proofErr w:type="spellEnd"/>
      <w:r w:rsidRPr="00B76194">
        <w:rPr>
          <w:rFonts w:ascii="Arial" w:hAnsi="Arial" w:cs="Arial"/>
          <w:lang w:val="mk-MK"/>
        </w:rPr>
        <w:t xml:space="preserve"> </w:t>
      </w:r>
      <w:proofErr w:type="spellStart"/>
      <w:r w:rsidRPr="00B76194">
        <w:rPr>
          <w:rFonts w:ascii="Arial" w:hAnsi="Arial" w:cs="Arial"/>
          <w:lang w:val="mk-MK"/>
        </w:rPr>
        <w:t>and</w:t>
      </w:r>
      <w:proofErr w:type="spellEnd"/>
      <w:r w:rsidRPr="00B76194">
        <w:rPr>
          <w:rFonts w:ascii="Arial" w:hAnsi="Arial" w:cs="Arial"/>
          <w:lang w:val="mk-MK"/>
        </w:rPr>
        <w:t xml:space="preserve"> </w:t>
      </w:r>
      <w:proofErr w:type="spellStart"/>
      <w:r w:rsidRPr="00B76194">
        <w:rPr>
          <w:rFonts w:ascii="Arial" w:hAnsi="Arial" w:cs="Arial"/>
          <w:lang w:val="mk-MK"/>
        </w:rPr>
        <w:t>systems</w:t>
      </w:r>
      <w:proofErr w:type="spellEnd"/>
      <w:r w:rsidRPr="00B76194">
        <w:rPr>
          <w:rFonts w:ascii="Arial" w:hAnsi="Arial" w:cs="Arial"/>
          <w:lang w:val="mk-MK"/>
        </w:rPr>
        <w:t xml:space="preserve"> </w:t>
      </w:r>
      <w:proofErr w:type="spellStart"/>
      <w:r w:rsidRPr="00B76194">
        <w:rPr>
          <w:rFonts w:ascii="Arial" w:hAnsi="Arial" w:cs="Arial"/>
          <w:lang w:val="mk-MK"/>
        </w:rPr>
        <w:t>to</w:t>
      </w:r>
      <w:proofErr w:type="spellEnd"/>
      <w:r w:rsidRPr="00B76194">
        <w:rPr>
          <w:rFonts w:ascii="Arial" w:hAnsi="Arial" w:cs="Arial"/>
          <w:lang w:val="mk-MK"/>
        </w:rPr>
        <w:t xml:space="preserve"> </w:t>
      </w:r>
      <w:proofErr w:type="spellStart"/>
      <w:r w:rsidRPr="00B76194">
        <w:rPr>
          <w:rFonts w:ascii="Arial" w:hAnsi="Arial" w:cs="Arial"/>
          <w:lang w:val="mk-MK"/>
        </w:rPr>
        <w:t>reflect</w:t>
      </w:r>
      <w:proofErr w:type="spellEnd"/>
      <w:r w:rsidRPr="00B76194">
        <w:rPr>
          <w:rFonts w:ascii="Arial" w:hAnsi="Arial" w:cs="Arial"/>
          <w:lang w:val="mk-MK"/>
        </w:rPr>
        <w:t xml:space="preserve"> </w:t>
      </w:r>
      <w:proofErr w:type="spellStart"/>
      <w:r w:rsidRPr="00B76194">
        <w:rPr>
          <w:rFonts w:ascii="Arial" w:hAnsi="Arial" w:cs="Arial"/>
          <w:lang w:val="mk-MK"/>
        </w:rPr>
        <w:t>changes</w:t>
      </w:r>
      <w:proofErr w:type="spellEnd"/>
      <w:r w:rsidRPr="00B76194">
        <w:rPr>
          <w:rFonts w:ascii="Arial" w:hAnsi="Arial" w:cs="Arial"/>
          <w:lang w:val="mk-MK"/>
        </w:rPr>
        <w:t xml:space="preserve"> </w:t>
      </w:r>
      <w:proofErr w:type="spellStart"/>
      <w:r w:rsidRPr="00B76194">
        <w:rPr>
          <w:rFonts w:ascii="Arial" w:hAnsi="Arial" w:cs="Arial"/>
          <w:lang w:val="mk-MK"/>
        </w:rPr>
        <w:t>in</w:t>
      </w:r>
      <w:proofErr w:type="spellEnd"/>
      <w:r w:rsidRPr="00B76194">
        <w:rPr>
          <w:rFonts w:ascii="Arial" w:hAnsi="Arial" w:cs="Arial"/>
          <w:lang w:val="mk-MK"/>
        </w:rPr>
        <w:t xml:space="preserve"> </w:t>
      </w:r>
      <w:proofErr w:type="spellStart"/>
      <w:r w:rsidRPr="00B76194">
        <w:rPr>
          <w:rFonts w:ascii="Arial" w:hAnsi="Arial" w:cs="Arial"/>
          <w:lang w:val="mk-MK"/>
        </w:rPr>
        <w:t>markets</w:t>
      </w:r>
      <w:proofErr w:type="spellEnd"/>
      <w:r w:rsidRPr="00B76194">
        <w:rPr>
          <w:rFonts w:ascii="Arial" w:hAnsi="Arial" w:cs="Arial"/>
          <w:lang w:val="mk-MK"/>
        </w:rPr>
        <w:t xml:space="preserve">, </w:t>
      </w:r>
      <w:proofErr w:type="spellStart"/>
      <w:r w:rsidRPr="00B76194">
        <w:rPr>
          <w:rFonts w:ascii="Arial" w:hAnsi="Arial" w:cs="Arial"/>
          <w:lang w:val="mk-MK"/>
        </w:rPr>
        <w:t>products</w:t>
      </w:r>
      <w:proofErr w:type="spellEnd"/>
      <w:r w:rsidRPr="00B76194">
        <w:rPr>
          <w:rFonts w:ascii="Arial" w:hAnsi="Arial" w:cs="Arial"/>
          <w:lang w:val="mk-MK"/>
        </w:rPr>
        <w:t xml:space="preserve"> </w:t>
      </w:r>
      <w:proofErr w:type="spellStart"/>
      <w:r w:rsidRPr="00B76194">
        <w:rPr>
          <w:rFonts w:ascii="Arial" w:hAnsi="Arial" w:cs="Arial"/>
          <w:lang w:val="mk-MK"/>
        </w:rPr>
        <w:t>and</w:t>
      </w:r>
      <w:proofErr w:type="spellEnd"/>
      <w:r w:rsidRPr="00B76194">
        <w:rPr>
          <w:rFonts w:ascii="Arial" w:hAnsi="Arial" w:cs="Arial"/>
          <w:lang w:val="mk-MK"/>
        </w:rPr>
        <w:t xml:space="preserve"> </w:t>
      </w:r>
      <w:proofErr w:type="spellStart"/>
      <w:r w:rsidRPr="00B76194">
        <w:rPr>
          <w:rFonts w:ascii="Arial" w:hAnsi="Arial" w:cs="Arial"/>
          <w:lang w:val="mk-MK"/>
        </w:rPr>
        <w:t>emerging</w:t>
      </w:r>
      <w:proofErr w:type="spellEnd"/>
      <w:r w:rsidRPr="00B76194">
        <w:rPr>
          <w:rFonts w:ascii="Arial" w:hAnsi="Arial" w:cs="Arial"/>
          <w:lang w:val="mk-MK"/>
        </w:rPr>
        <w:t xml:space="preserve"> </w:t>
      </w:r>
      <w:proofErr w:type="spellStart"/>
      <w:r w:rsidRPr="00B76194">
        <w:rPr>
          <w:rFonts w:ascii="Arial" w:hAnsi="Arial" w:cs="Arial"/>
          <w:lang w:val="mk-MK"/>
        </w:rPr>
        <w:t>best</w:t>
      </w:r>
      <w:proofErr w:type="spellEnd"/>
      <w:r w:rsidRPr="00B76194">
        <w:rPr>
          <w:rFonts w:ascii="Arial" w:hAnsi="Arial" w:cs="Arial"/>
          <w:lang w:val="mk-MK"/>
        </w:rPr>
        <w:t xml:space="preserve"> </w:t>
      </w:r>
      <w:proofErr w:type="spellStart"/>
      <w:r w:rsidRPr="00B76194">
        <w:rPr>
          <w:rFonts w:ascii="Arial" w:hAnsi="Arial" w:cs="Arial"/>
          <w:lang w:val="mk-MK"/>
        </w:rPr>
        <w:t>practice</w:t>
      </w:r>
      <w:proofErr w:type="spellEnd"/>
      <w:r w:rsidRPr="00B76194">
        <w:rPr>
          <w:rFonts w:ascii="Arial" w:hAnsi="Arial" w:cs="Arial"/>
          <w:lang w:val="mk-MK"/>
        </w:rPr>
        <w:t>.</w:t>
      </w:r>
    </w:p>
    <w:p w14:paraId="4C33E83D" w14:textId="77777777" w:rsidR="000F121C" w:rsidRDefault="000F121C" w:rsidP="000F121C">
      <w:pPr>
        <w:pStyle w:val="BodyText"/>
        <w:jc w:val="both"/>
        <w:rPr>
          <w:rFonts w:ascii="Arial" w:hAnsi="Arial" w:cs="Arial"/>
          <w:lang w:val="mk-MK"/>
        </w:rPr>
      </w:pPr>
    </w:p>
    <w:p w14:paraId="7E614180" w14:textId="77777777" w:rsidR="000F121C" w:rsidRPr="00CE3053" w:rsidRDefault="000F121C" w:rsidP="000F121C">
      <w:pPr>
        <w:pStyle w:val="NumberedHeading2"/>
        <w:numPr>
          <w:ilvl w:val="1"/>
          <w:numId w:val="22"/>
        </w:numPr>
        <w:spacing w:before="0" w:after="0" w:line="260" w:lineRule="atLeast"/>
        <w:jc w:val="both"/>
        <w:rPr>
          <w:rFonts w:ascii="Arial" w:hAnsi="Arial" w:cs="Arial"/>
          <w:b/>
          <w:color w:val="4F2D7F"/>
          <w:sz w:val="18"/>
          <w:szCs w:val="18"/>
          <w:lang w:val="mk-MK"/>
        </w:rPr>
      </w:pPr>
      <w:r>
        <w:rPr>
          <w:rFonts w:ascii="Arial" w:hAnsi="Arial" w:cs="Arial"/>
          <w:b/>
          <w:color w:val="4F2D7F"/>
          <w:sz w:val="18"/>
          <w:szCs w:val="18"/>
          <w:lang w:val="en-US"/>
        </w:rPr>
        <w:t>Capital risk management</w:t>
      </w:r>
    </w:p>
    <w:p w14:paraId="741AC76E" w14:textId="77777777" w:rsidR="000F121C" w:rsidRDefault="000F121C" w:rsidP="000F121C">
      <w:pPr>
        <w:pStyle w:val="BodyText"/>
        <w:jc w:val="both"/>
        <w:rPr>
          <w:rFonts w:ascii="Arial" w:hAnsi="Arial" w:cs="Arial"/>
          <w:lang w:val="mk-MK"/>
        </w:rPr>
      </w:pPr>
      <w:proofErr w:type="spellStart"/>
      <w:r w:rsidRPr="00B76194">
        <w:rPr>
          <w:rFonts w:ascii="Arial" w:hAnsi="Arial" w:cs="Arial"/>
          <w:lang w:val="mk-MK"/>
        </w:rPr>
        <w:t>The</w:t>
      </w:r>
      <w:proofErr w:type="spellEnd"/>
      <w:r w:rsidRPr="00B76194">
        <w:rPr>
          <w:rFonts w:ascii="Arial" w:hAnsi="Arial" w:cs="Arial"/>
          <w:lang w:val="mk-MK"/>
        </w:rPr>
        <w:t xml:space="preserve"> </w:t>
      </w:r>
      <w:proofErr w:type="spellStart"/>
      <w:r w:rsidRPr="00B76194">
        <w:rPr>
          <w:rFonts w:ascii="Arial" w:hAnsi="Arial" w:cs="Arial"/>
          <w:lang w:val="mk-MK"/>
        </w:rPr>
        <w:t>Fund</w:t>
      </w:r>
      <w:proofErr w:type="spellEnd"/>
      <w:r w:rsidRPr="00B76194">
        <w:rPr>
          <w:rFonts w:ascii="Arial" w:hAnsi="Arial" w:cs="Arial"/>
          <w:lang w:val="mk-MK"/>
        </w:rPr>
        <w:t xml:space="preserve"> </w:t>
      </w:r>
      <w:proofErr w:type="spellStart"/>
      <w:r w:rsidRPr="00B76194">
        <w:rPr>
          <w:rFonts w:ascii="Arial" w:hAnsi="Arial" w:cs="Arial"/>
          <w:lang w:val="mk-MK"/>
        </w:rPr>
        <w:t>manages</w:t>
      </w:r>
      <w:proofErr w:type="spellEnd"/>
      <w:r w:rsidRPr="00B76194">
        <w:rPr>
          <w:rFonts w:ascii="Arial" w:hAnsi="Arial" w:cs="Arial"/>
          <w:lang w:val="mk-MK"/>
        </w:rPr>
        <w:t xml:space="preserve"> </w:t>
      </w:r>
      <w:proofErr w:type="spellStart"/>
      <w:r w:rsidRPr="00B76194">
        <w:rPr>
          <w:rFonts w:ascii="Arial" w:hAnsi="Arial" w:cs="Arial"/>
          <w:lang w:val="mk-MK"/>
        </w:rPr>
        <w:t>its</w:t>
      </w:r>
      <w:proofErr w:type="spellEnd"/>
      <w:r w:rsidRPr="00B76194">
        <w:rPr>
          <w:rFonts w:ascii="Arial" w:hAnsi="Arial" w:cs="Arial"/>
          <w:lang w:val="mk-MK"/>
        </w:rPr>
        <w:t xml:space="preserve"> </w:t>
      </w:r>
      <w:proofErr w:type="spellStart"/>
      <w:r w:rsidRPr="00B76194">
        <w:rPr>
          <w:rFonts w:ascii="Arial" w:hAnsi="Arial" w:cs="Arial"/>
          <w:lang w:val="mk-MK"/>
        </w:rPr>
        <w:t>own</w:t>
      </w:r>
      <w:proofErr w:type="spellEnd"/>
      <w:r w:rsidRPr="00B76194">
        <w:rPr>
          <w:rFonts w:ascii="Arial" w:hAnsi="Arial" w:cs="Arial"/>
          <w:lang w:val="mk-MK"/>
        </w:rPr>
        <w:t xml:space="preserve"> </w:t>
      </w:r>
      <w:proofErr w:type="spellStart"/>
      <w:r w:rsidRPr="00B76194">
        <w:rPr>
          <w:rFonts w:ascii="Arial" w:hAnsi="Arial" w:cs="Arial"/>
          <w:lang w:val="mk-MK"/>
        </w:rPr>
        <w:t>capital</w:t>
      </w:r>
      <w:proofErr w:type="spellEnd"/>
      <w:r w:rsidRPr="00B76194">
        <w:rPr>
          <w:rFonts w:ascii="Arial" w:hAnsi="Arial" w:cs="Arial"/>
          <w:lang w:val="mk-MK"/>
        </w:rPr>
        <w:t xml:space="preserve"> </w:t>
      </w:r>
      <w:proofErr w:type="spellStart"/>
      <w:r w:rsidRPr="00B76194">
        <w:rPr>
          <w:rFonts w:ascii="Arial" w:hAnsi="Arial" w:cs="Arial"/>
          <w:lang w:val="mk-MK"/>
        </w:rPr>
        <w:t>in</w:t>
      </w:r>
      <w:proofErr w:type="spellEnd"/>
      <w:r w:rsidRPr="00B76194">
        <w:rPr>
          <w:rFonts w:ascii="Arial" w:hAnsi="Arial" w:cs="Arial"/>
          <w:lang w:val="mk-MK"/>
        </w:rPr>
        <w:t xml:space="preserve"> </w:t>
      </w:r>
      <w:proofErr w:type="spellStart"/>
      <w:r w:rsidRPr="00B76194">
        <w:rPr>
          <w:rFonts w:ascii="Arial" w:hAnsi="Arial" w:cs="Arial"/>
          <w:lang w:val="mk-MK"/>
        </w:rPr>
        <w:t>order</w:t>
      </w:r>
      <w:proofErr w:type="spellEnd"/>
      <w:r w:rsidRPr="00B76194">
        <w:rPr>
          <w:rFonts w:ascii="Arial" w:hAnsi="Arial" w:cs="Arial"/>
          <w:lang w:val="mk-MK"/>
        </w:rPr>
        <w:t xml:space="preserve"> </w:t>
      </w:r>
      <w:proofErr w:type="spellStart"/>
      <w:r w:rsidRPr="00B76194">
        <w:rPr>
          <w:rFonts w:ascii="Arial" w:hAnsi="Arial" w:cs="Arial"/>
          <w:lang w:val="mk-MK"/>
        </w:rPr>
        <w:t>to</w:t>
      </w:r>
      <w:proofErr w:type="spellEnd"/>
      <w:r w:rsidRPr="00B76194">
        <w:rPr>
          <w:rFonts w:ascii="Arial" w:hAnsi="Arial" w:cs="Arial"/>
          <w:lang w:val="mk-MK"/>
        </w:rPr>
        <w:t xml:space="preserve"> </w:t>
      </w:r>
      <w:proofErr w:type="spellStart"/>
      <w:r w:rsidRPr="00B76194">
        <w:rPr>
          <w:rFonts w:ascii="Arial" w:hAnsi="Arial" w:cs="Arial"/>
          <w:lang w:val="mk-MK"/>
        </w:rPr>
        <w:t>ensure</w:t>
      </w:r>
      <w:proofErr w:type="spellEnd"/>
      <w:r w:rsidRPr="00B76194">
        <w:rPr>
          <w:rFonts w:ascii="Arial" w:hAnsi="Arial" w:cs="Arial"/>
          <w:lang w:val="mk-MK"/>
        </w:rPr>
        <w:t xml:space="preserve"> </w:t>
      </w:r>
      <w:proofErr w:type="spellStart"/>
      <w:r w:rsidRPr="00B76194">
        <w:rPr>
          <w:rFonts w:ascii="Arial" w:hAnsi="Arial" w:cs="Arial"/>
          <w:lang w:val="mk-MK"/>
        </w:rPr>
        <w:t>future</w:t>
      </w:r>
      <w:proofErr w:type="spellEnd"/>
      <w:r w:rsidRPr="00B76194">
        <w:rPr>
          <w:rFonts w:ascii="Arial" w:hAnsi="Arial" w:cs="Arial"/>
          <w:lang w:val="mk-MK"/>
        </w:rPr>
        <w:t xml:space="preserve"> </w:t>
      </w:r>
      <w:proofErr w:type="spellStart"/>
      <w:r w:rsidRPr="00B76194">
        <w:rPr>
          <w:rFonts w:ascii="Arial" w:hAnsi="Arial" w:cs="Arial"/>
          <w:lang w:val="mk-MK"/>
        </w:rPr>
        <w:t>operations</w:t>
      </w:r>
      <w:proofErr w:type="spellEnd"/>
      <w:r w:rsidRPr="00B76194">
        <w:rPr>
          <w:rFonts w:ascii="Arial" w:hAnsi="Arial" w:cs="Arial"/>
          <w:lang w:val="mk-MK"/>
        </w:rPr>
        <w:t xml:space="preserve"> </w:t>
      </w:r>
      <w:proofErr w:type="spellStart"/>
      <w:r w:rsidRPr="00B76194">
        <w:rPr>
          <w:rFonts w:ascii="Arial" w:hAnsi="Arial" w:cs="Arial"/>
          <w:lang w:val="mk-MK"/>
        </w:rPr>
        <w:t>based</w:t>
      </w:r>
      <w:proofErr w:type="spellEnd"/>
      <w:r w:rsidRPr="00B76194">
        <w:rPr>
          <w:rFonts w:ascii="Arial" w:hAnsi="Arial" w:cs="Arial"/>
          <w:lang w:val="mk-MK"/>
        </w:rPr>
        <w:t xml:space="preserve"> </w:t>
      </w:r>
      <w:proofErr w:type="spellStart"/>
      <w:r w:rsidRPr="00B76194">
        <w:rPr>
          <w:rFonts w:ascii="Arial" w:hAnsi="Arial" w:cs="Arial"/>
          <w:lang w:val="mk-MK"/>
        </w:rPr>
        <w:t>on</w:t>
      </w:r>
      <w:proofErr w:type="spellEnd"/>
      <w:r w:rsidRPr="00B76194">
        <w:rPr>
          <w:rFonts w:ascii="Arial" w:hAnsi="Arial" w:cs="Arial"/>
          <w:lang w:val="mk-MK"/>
        </w:rPr>
        <w:t xml:space="preserve"> </w:t>
      </w:r>
      <w:proofErr w:type="spellStart"/>
      <w:r w:rsidRPr="00B76194">
        <w:rPr>
          <w:rFonts w:ascii="Arial" w:hAnsi="Arial" w:cs="Arial"/>
          <w:lang w:val="mk-MK"/>
        </w:rPr>
        <w:t>going</w:t>
      </w:r>
      <w:proofErr w:type="spellEnd"/>
      <w:r w:rsidRPr="00B76194">
        <w:rPr>
          <w:rFonts w:ascii="Arial" w:hAnsi="Arial" w:cs="Arial"/>
          <w:lang w:val="mk-MK"/>
        </w:rPr>
        <w:t xml:space="preserve"> </w:t>
      </w:r>
      <w:proofErr w:type="spellStart"/>
      <w:r w:rsidRPr="00B76194">
        <w:rPr>
          <w:rFonts w:ascii="Arial" w:hAnsi="Arial" w:cs="Arial"/>
          <w:lang w:val="mk-MK"/>
        </w:rPr>
        <w:t>concern</w:t>
      </w:r>
      <w:proofErr w:type="spellEnd"/>
      <w:r w:rsidRPr="00B76194">
        <w:rPr>
          <w:rFonts w:ascii="Arial" w:hAnsi="Arial" w:cs="Arial"/>
          <w:lang w:val="mk-MK"/>
        </w:rPr>
        <w:t xml:space="preserve"> </w:t>
      </w:r>
      <w:proofErr w:type="spellStart"/>
      <w:r w:rsidRPr="00B76194">
        <w:rPr>
          <w:rFonts w:ascii="Arial" w:hAnsi="Arial" w:cs="Arial"/>
          <w:lang w:val="mk-MK"/>
        </w:rPr>
        <w:t>principle</w:t>
      </w:r>
      <w:proofErr w:type="spellEnd"/>
      <w:r w:rsidRPr="00B76194">
        <w:rPr>
          <w:rFonts w:ascii="Arial" w:hAnsi="Arial" w:cs="Arial"/>
          <w:lang w:val="mk-MK"/>
        </w:rPr>
        <w:t>.</w:t>
      </w:r>
    </w:p>
    <w:p w14:paraId="4261B196" w14:textId="77777777" w:rsidR="000F121C" w:rsidRDefault="000F121C" w:rsidP="000F121C">
      <w:pPr>
        <w:pStyle w:val="BodyText"/>
        <w:jc w:val="both"/>
        <w:rPr>
          <w:rFonts w:ascii="Arial" w:hAnsi="Arial" w:cs="Arial"/>
          <w:lang w:val="mk-MK"/>
        </w:rPr>
      </w:pPr>
      <w:proofErr w:type="spellStart"/>
      <w:r w:rsidRPr="00B76194">
        <w:rPr>
          <w:rFonts w:ascii="Arial" w:hAnsi="Arial" w:cs="Arial"/>
          <w:lang w:val="mk-MK"/>
        </w:rPr>
        <w:t>The</w:t>
      </w:r>
      <w:proofErr w:type="spellEnd"/>
      <w:r w:rsidRPr="00B76194">
        <w:rPr>
          <w:rFonts w:ascii="Arial" w:hAnsi="Arial" w:cs="Arial"/>
          <w:lang w:val="mk-MK"/>
        </w:rPr>
        <w:t xml:space="preserve"> </w:t>
      </w:r>
      <w:proofErr w:type="spellStart"/>
      <w:r w:rsidRPr="00B76194">
        <w:rPr>
          <w:rFonts w:ascii="Arial" w:hAnsi="Arial" w:cs="Arial"/>
          <w:lang w:val="mk-MK"/>
        </w:rPr>
        <w:t>structure</w:t>
      </w:r>
      <w:proofErr w:type="spellEnd"/>
      <w:r w:rsidRPr="00B76194">
        <w:rPr>
          <w:rFonts w:ascii="Arial" w:hAnsi="Arial" w:cs="Arial"/>
          <w:lang w:val="mk-MK"/>
        </w:rPr>
        <w:t xml:space="preserve"> </w:t>
      </w:r>
      <w:proofErr w:type="spellStart"/>
      <w:r w:rsidRPr="00B76194">
        <w:rPr>
          <w:rFonts w:ascii="Arial" w:hAnsi="Arial" w:cs="Arial"/>
          <w:lang w:val="mk-MK"/>
        </w:rPr>
        <w:t>of</w:t>
      </w:r>
      <w:proofErr w:type="spellEnd"/>
      <w:r w:rsidRPr="00B76194">
        <w:rPr>
          <w:rFonts w:ascii="Arial" w:hAnsi="Arial" w:cs="Arial"/>
          <w:lang w:val="mk-MK"/>
        </w:rPr>
        <w:t xml:space="preserve"> </w:t>
      </w:r>
      <w:proofErr w:type="spellStart"/>
      <w:r w:rsidRPr="00B76194">
        <w:rPr>
          <w:rFonts w:ascii="Arial" w:hAnsi="Arial" w:cs="Arial"/>
          <w:lang w:val="mk-MK"/>
        </w:rPr>
        <w:t>the</w:t>
      </w:r>
      <w:proofErr w:type="spellEnd"/>
      <w:r w:rsidRPr="00B76194">
        <w:rPr>
          <w:rFonts w:ascii="Arial" w:hAnsi="Arial" w:cs="Arial"/>
          <w:lang w:val="mk-MK"/>
        </w:rPr>
        <w:t xml:space="preserve"> </w:t>
      </w:r>
      <w:proofErr w:type="spellStart"/>
      <w:r w:rsidRPr="00B76194">
        <w:rPr>
          <w:rFonts w:ascii="Arial" w:hAnsi="Arial" w:cs="Arial"/>
          <w:lang w:val="mk-MK"/>
        </w:rPr>
        <w:t>Fund’s</w:t>
      </w:r>
      <w:proofErr w:type="spellEnd"/>
      <w:r w:rsidRPr="00B76194">
        <w:rPr>
          <w:rFonts w:ascii="Arial" w:hAnsi="Arial" w:cs="Arial"/>
          <w:lang w:val="mk-MK"/>
        </w:rPr>
        <w:t xml:space="preserve"> </w:t>
      </w:r>
      <w:proofErr w:type="spellStart"/>
      <w:r w:rsidRPr="00B76194">
        <w:rPr>
          <w:rFonts w:ascii="Arial" w:hAnsi="Arial" w:cs="Arial"/>
          <w:lang w:val="mk-MK"/>
        </w:rPr>
        <w:t>equity</w:t>
      </w:r>
      <w:proofErr w:type="spellEnd"/>
      <w:r w:rsidRPr="00B76194">
        <w:rPr>
          <w:rFonts w:ascii="Arial" w:hAnsi="Arial" w:cs="Arial"/>
          <w:lang w:val="mk-MK"/>
        </w:rPr>
        <w:t xml:space="preserve"> </w:t>
      </w:r>
      <w:proofErr w:type="spellStart"/>
      <w:r w:rsidRPr="00B76194">
        <w:rPr>
          <w:rFonts w:ascii="Arial" w:hAnsi="Arial" w:cs="Arial"/>
          <w:lang w:val="mk-MK"/>
        </w:rPr>
        <w:t>is</w:t>
      </w:r>
      <w:proofErr w:type="spellEnd"/>
      <w:r w:rsidRPr="00B76194">
        <w:rPr>
          <w:rFonts w:ascii="Arial" w:hAnsi="Arial" w:cs="Arial"/>
          <w:lang w:val="mk-MK"/>
        </w:rPr>
        <w:t xml:space="preserve"> </w:t>
      </w:r>
      <w:proofErr w:type="spellStart"/>
      <w:r w:rsidRPr="00B76194">
        <w:rPr>
          <w:rFonts w:ascii="Arial" w:hAnsi="Arial" w:cs="Arial"/>
          <w:lang w:val="mk-MK"/>
        </w:rPr>
        <w:t>comprised</w:t>
      </w:r>
      <w:proofErr w:type="spellEnd"/>
      <w:r w:rsidRPr="00B76194">
        <w:rPr>
          <w:rFonts w:ascii="Arial" w:hAnsi="Arial" w:cs="Arial"/>
          <w:lang w:val="mk-MK"/>
        </w:rPr>
        <w:t xml:space="preserve"> </w:t>
      </w:r>
      <w:proofErr w:type="spellStart"/>
      <w:r w:rsidRPr="00B76194">
        <w:rPr>
          <w:rFonts w:ascii="Arial" w:hAnsi="Arial" w:cs="Arial"/>
          <w:lang w:val="mk-MK"/>
        </w:rPr>
        <w:t>of</w:t>
      </w:r>
      <w:proofErr w:type="spellEnd"/>
      <w:r w:rsidRPr="00B76194">
        <w:rPr>
          <w:rFonts w:ascii="Arial" w:hAnsi="Arial" w:cs="Arial"/>
          <w:lang w:val="mk-MK"/>
        </w:rPr>
        <w:t xml:space="preserve"> </w:t>
      </w:r>
      <w:proofErr w:type="spellStart"/>
      <w:r w:rsidRPr="00B76194">
        <w:rPr>
          <w:rFonts w:ascii="Arial" w:hAnsi="Arial" w:cs="Arial"/>
          <w:lang w:val="mk-MK"/>
        </w:rPr>
        <w:t>Founder’s</w:t>
      </w:r>
      <w:proofErr w:type="spellEnd"/>
      <w:r w:rsidRPr="00B76194">
        <w:rPr>
          <w:rFonts w:ascii="Arial" w:hAnsi="Arial" w:cs="Arial"/>
          <w:lang w:val="mk-MK"/>
        </w:rPr>
        <w:t xml:space="preserve"> </w:t>
      </w:r>
      <w:proofErr w:type="spellStart"/>
      <w:r w:rsidRPr="00B76194">
        <w:rPr>
          <w:rFonts w:ascii="Arial" w:hAnsi="Arial" w:cs="Arial"/>
          <w:lang w:val="mk-MK"/>
        </w:rPr>
        <w:t>Capital</w:t>
      </w:r>
      <w:proofErr w:type="spellEnd"/>
      <w:r w:rsidRPr="00B76194">
        <w:rPr>
          <w:rFonts w:ascii="Arial" w:hAnsi="Arial" w:cs="Arial"/>
          <w:lang w:val="mk-MK"/>
        </w:rPr>
        <w:t xml:space="preserve">, </w:t>
      </w:r>
      <w:proofErr w:type="spellStart"/>
      <w:r w:rsidRPr="00B76194">
        <w:rPr>
          <w:rFonts w:ascii="Arial" w:hAnsi="Arial" w:cs="Arial"/>
          <w:lang w:val="mk-MK"/>
        </w:rPr>
        <w:t>Insurance</w:t>
      </w:r>
      <w:proofErr w:type="spellEnd"/>
      <w:r w:rsidRPr="00B76194">
        <w:rPr>
          <w:rFonts w:ascii="Arial" w:hAnsi="Arial" w:cs="Arial"/>
          <w:lang w:val="mk-MK"/>
        </w:rPr>
        <w:t xml:space="preserve"> </w:t>
      </w:r>
      <w:proofErr w:type="spellStart"/>
      <w:r w:rsidRPr="00B76194">
        <w:rPr>
          <w:rFonts w:ascii="Arial" w:hAnsi="Arial" w:cs="Arial"/>
          <w:lang w:val="mk-MK"/>
        </w:rPr>
        <w:t>Fund</w:t>
      </w:r>
      <w:proofErr w:type="spellEnd"/>
      <w:r w:rsidRPr="00B76194">
        <w:rPr>
          <w:rFonts w:ascii="Arial" w:hAnsi="Arial" w:cs="Arial"/>
          <w:lang w:val="mk-MK"/>
        </w:rPr>
        <w:t xml:space="preserve"> </w:t>
      </w:r>
      <w:proofErr w:type="spellStart"/>
      <w:r w:rsidRPr="00B76194">
        <w:rPr>
          <w:rFonts w:ascii="Arial" w:hAnsi="Arial" w:cs="Arial"/>
          <w:lang w:val="mk-MK"/>
        </w:rPr>
        <w:t>and</w:t>
      </w:r>
      <w:proofErr w:type="spellEnd"/>
      <w:r w:rsidRPr="00B76194">
        <w:rPr>
          <w:rFonts w:ascii="Arial" w:hAnsi="Arial" w:cs="Arial"/>
          <w:lang w:val="mk-MK"/>
        </w:rPr>
        <w:t xml:space="preserve"> </w:t>
      </w:r>
      <w:proofErr w:type="spellStart"/>
      <w:r w:rsidRPr="00B76194">
        <w:rPr>
          <w:rFonts w:ascii="Arial" w:hAnsi="Arial" w:cs="Arial"/>
          <w:lang w:val="mk-MK"/>
        </w:rPr>
        <w:t>Retained</w:t>
      </w:r>
      <w:proofErr w:type="spellEnd"/>
      <w:r w:rsidRPr="00B76194">
        <w:rPr>
          <w:rFonts w:ascii="Arial" w:hAnsi="Arial" w:cs="Arial"/>
          <w:lang w:val="mk-MK"/>
        </w:rPr>
        <w:t xml:space="preserve"> </w:t>
      </w:r>
      <w:proofErr w:type="spellStart"/>
      <w:r w:rsidRPr="00B76194">
        <w:rPr>
          <w:rFonts w:ascii="Arial" w:hAnsi="Arial" w:cs="Arial"/>
          <w:lang w:val="mk-MK"/>
        </w:rPr>
        <w:t>earnings</w:t>
      </w:r>
      <w:proofErr w:type="spellEnd"/>
      <w:r w:rsidRPr="00B76194">
        <w:rPr>
          <w:rFonts w:ascii="Arial" w:hAnsi="Arial" w:cs="Arial"/>
          <w:lang w:val="mk-MK"/>
        </w:rPr>
        <w:t>.</w:t>
      </w:r>
    </w:p>
    <w:p w14:paraId="38E68D40" w14:textId="77777777" w:rsidR="000F121C" w:rsidRPr="00CE3053" w:rsidRDefault="000F121C" w:rsidP="000F121C">
      <w:pPr>
        <w:pStyle w:val="BodyText"/>
        <w:jc w:val="both"/>
        <w:rPr>
          <w:rFonts w:ascii="Arial" w:hAnsi="Arial" w:cs="Arial"/>
          <w:lang w:val="mk-MK"/>
        </w:rPr>
      </w:pPr>
    </w:p>
    <w:p w14:paraId="0EEC50E2" w14:textId="25E6AE67" w:rsidR="000F121C" w:rsidRPr="00CE3053" w:rsidRDefault="000F121C" w:rsidP="00815E65">
      <w:pPr>
        <w:pStyle w:val="BodyText"/>
        <w:jc w:val="both"/>
        <w:rPr>
          <w:rFonts w:ascii="Arial" w:hAnsi="Arial" w:cs="Arial"/>
          <w:lang w:val="mk-MK"/>
        </w:rPr>
        <w:sectPr w:rsidR="000F121C" w:rsidRPr="00CE3053" w:rsidSect="00815E65">
          <w:headerReference w:type="default" r:id="rId25"/>
          <w:pgSz w:w="11906" w:h="16838" w:code="9"/>
          <w:pgMar w:top="1620" w:right="737" w:bottom="1134" w:left="2608" w:header="709" w:footer="567" w:gutter="0"/>
          <w:cols w:space="708"/>
          <w:docGrid w:linePitch="360"/>
        </w:sectPr>
      </w:pPr>
    </w:p>
    <w:p w14:paraId="38966A8E" w14:textId="57327930" w:rsidR="00815E65" w:rsidRPr="00CE3053" w:rsidRDefault="00B76194" w:rsidP="0061511C">
      <w:pPr>
        <w:pStyle w:val="NumberedHeading2"/>
        <w:numPr>
          <w:ilvl w:val="1"/>
          <w:numId w:val="22"/>
        </w:numPr>
        <w:spacing w:before="0" w:after="0" w:line="260" w:lineRule="atLeast"/>
        <w:jc w:val="both"/>
        <w:rPr>
          <w:rFonts w:ascii="Arial" w:hAnsi="Arial" w:cs="Arial"/>
          <w:b/>
          <w:color w:val="4F2D7F"/>
          <w:sz w:val="18"/>
          <w:szCs w:val="18"/>
          <w:lang w:val="mk-MK"/>
        </w:rPr>
      </w:pPr>
      <w:r>
        <w:rPr>
          <w:rFonts w:ascii="Arial" w:hAnsi="Arial" w:cs="Arial"/>
          <w:b/>
          <w:color w:val="4F2D7F"/>
          <w:sz w:val="18"/>
          <w:szCs w:val="18"/>
          <w:lang w:val="en-US"/>
        </w:rPr>
        <w:lastRenderedPageBreak/>
        <w:t>Credit risk</w:t>
      </w:r>
    </w:p>
    <w:p w14:paraId="7D828B72" w14:textId="4AA46A96" w:rsidR="00815E65" w:rsidRPr="00C07E8D" w:rsidRDefault="00B76194" w:rsidP="00815E65">
      <w:pPr>
        <w:pStyle w:val="BodyText"/>
        <w:jc w:val="both"/>
        <w:rPr>
          <w:rFonts w:ascii="Arial" w:hAnsi="Arial" w:cs="Arial"/>
        </w:rPr>
      </w:pPr>
      <w:proofErr w:type="spellStart"/>
      <w:r w:rsidRPr="00B76194">
        <w:rPr>
          <w:rFonts w:ascii="Arial" w:hAnsi="Arial" w:cs="Arial"/>
          <w:lang w:val="mk-MK"/>
        </w:rPr>
        <w:t>The</w:t>
      </w:r>
      <w:proofErr w:type="spellEnd"/>
      <w:r w:rsidRPr="00B76194">
        <w:rPr>
          <w:rFonts w:ascii="Arial" w:hAnsi="Arial" w:cs="Arial"/>
          <w:lang w:val="mk-MK"/>
        </w:rPr>
        <w:t xml:space="preserve"> </w:t>
      </w:r>
      <w:proofErr w:type="spellStart"/>
      <w:r w:rsidRPr="00B76194">
        <w:rPr>
          <w:rFonts w:ascii="Arial" w:hAnsi="Arial" w:cs="Arial"/>
          <w:lang w:val="mk-MK"/>
        </w:rPr>
        <w:t>Fund</w:t>
      </w:r>
      <w:proofErr w:type="spellEnd"/>
      <w:r w:rsidRPr="00B76194">
        <w:rPr>
          <w:rFonts w:ascii="Arial" w:hAnsi="Arial" w:cs="Arial"/>
          <w:lang w:val="mk-MK"/>
        </w:rPr>
        <w:t xml:space="preserve"> </w:t>
      </w:r>
      <w:proofErr w:type="spellStart"/>
      <w:r w:rsidRPr="00B76194">
        <w:rPr>
          <w:rFonts w:ascii="Arial" w:hAnsi="Arial" w:cs="Arial"/>
          <w:lang w:val="mk-MK"/>
        </w:rPr>
        <w:t>is</w:t>
      </w:r>
      <w:proofErr w:type="spellEnd"/>
      <w:r w:rsidRPr="00B76194">
        <w:rPr>
          <w:rFonts w:ascii="Arial" w:hAnsi="Arial" w:cs="Arial"/>
          <w:lang w:val="mk-MK"/>
        </w:rPr>
        <w:t xml:space="preserve"> </w:t>
      </w:r>
      <w:proofErr w:type="spellStart"/>
      <w:r w:rsidRPr="00B76194">
        <w:rPr>
          <w:rFonts w:ascii="Arial" w:hAnsi="Arial" w:cs="Arial"/>
          <w:lang w:val="mk-MK"/>
        </w:rPr>
        <w:t>exposed</w:t>
      </w:r>
      <w:proofErr w:type="spellEnd"/>
      <w:r w:rsidRPr="00B76194">
        <w:rPr>
          <w:rFonts w:ascii="Arial" w:hAnsi="Arial" w:cs="Arial"/>
          <w:lang w:val="mk-MK"/>
        </w:rPr>
        <w:t xml:space="preserve"> </w:t>
      </w:r>
      <w:proofErr w:type="spellStart"/>
      <w:r w:rsidRPr="00B76194">
        <w:rPr>
          <w:rFonts w:ascii="Arial" w:hAnsi="Arial" w:cs="Arial"/>
          <w:lang w:val="mk-MK"/>
        </w:rPr>
        <w:t>to</w:t>
      </w:r>
      <w:proofErr w:type="spellEnd"/>
      <w:r w:rsidRPr="00B76194">
        <w:rPr>
          <w:rFonts w:ascii="Arial" w:hAnsi="Arial" w:cs="Arial"/>
          <w:lang w:val="mk-MK"/>
        </w:rPr>
        <w:t xml:space="preserve"> </w:t>
      </w:r>
      <w:proofErr w:type="spellStart"/>
      <w:r w:rsidRPr="00B76194">
        <w:rPr>
          <w:rFonts w:ascii="Arial" w:hAnsi="Arial" w:cs="Arial"/>
          <w:lang w:val="mk-MK"/>
        </w:rPr>
        <w:t>credit</w:t>
      </w:r>
      <w:proofErr w:type="spellEnd"/>
      <w:r w:rsidRPr="00B76194">
        <w:rPr>
          <w:rFonts w:ascii="Arial" w:hAnsi="Arial" w:cs="Arial"/>
          <w:lang w:val="mk-MK"/>
        </w:rPr>
        <w:t xml:space="preserve"> </w:t>
      </w:r>
      <w:proofErr w:type="spellStart"/>
      <w:r w:rsidRPr="00B76194">
        <w:rPr>
          <w:rFonts w:ascii="Arial" w:hAnsi="Arial" w:cs="Arial"/>
          <w:lang w:val="mk-MK"/>
        </w:rPr>
        <w:t>risk</w:t>
      </w:r>
      <w:proofErr w:type="spellEnd"/>
      <w:r w:rsidRPr="00B76194">
        <w:rPr>
          <w:rFonts w:ascii="Arial" w:hAnsi="Arial" w:cs="Arial"/>
          <w:lang w:val="mk-MK"/>
        </w:rPr>
        <w:t xml:space="preserve">, </w:t>
      </w:r>
      <w:proofErr w:type="spellStart"/>
      <w:r w:rsidRPr="00B76194">
        <w:rPr>
          <w:rFonts w:ascii="Arial" w:hAnsi="Arial" w:cs="Arial"/>
          <w:lang w:val="mk-MK"/>
        </w:rPr>
        <w:t>which</w:t>
      </w:r>
      <w:proofErr w:type="spellEnd"/>
      <w:r w:rsidRPr="00B76194">
        <w:rPr>
          <w:rFonts w:ascii="Arial" w:hAnsi="Arial" w:cs="Arial"/>
          <w:lang w:val="mk-MK"/>
        </w:rPr>
        <w:t xml:space="preserve"> </w:t>
      </w:r>
      <w:proofErr w:type="spellStart"/>
      <w:r w:rsidRPr="00B76194">
        <w:rPr>
          <w:rFonts w:ascii="Arial" w:hAnsi="Arial" w:cs="Arial"/>
          <w:lang w:val="mk-MK"/>
        </w:rPr>
        <w:t>is</w:t>
      </w:r>
      <w:proofErr w:type="spellEnd"/>
      <w:r w:rsidRPr="00B76194">
        <w:rPr>
          <w:rFonts w:ascii="Arial" w:hAnsi="Arial" w:cs="Arial"/>
          <w:lang w:val="mk-MK"/>
        </w:rPr>
        <w:t xml:space="preserve"> </w:t>
      </w:r>
      <w:proofErr w:type="spellStart"/>
      <w:r w:rsidRPr="00B76194">
        <w:rPr>
          <w:rFonts w:ascii="Arial" w:hAnsi="Arial" w:cs="Arial"/>
          <w:lang w:val="mk-MK"/>
        </w:rPr>
        <w:t>the</w:t>
      </w:r>
      <w:proofErr w:type="spellEnd"/>
      <w:r w:rsidRPr="00B76194">
        <w:rPr>
          <w:rFonts w:ascii="Arial" w:hAnsi="Arial" w:cs="Arial"/>
          <w:lang w:val="mk-MK"/>
        </w:rPr>
        <w:t xml:space="preserve"> </w:t>
      </w:r>
      <w:proofErr w:type="spellStart"/>
      <w:r w:rsidRPr="00B76194">
        <w:rPr>
          <w:rFonts w:ascii="Arial" w:hAnsi="Arial" w:cs="Arial"/>
          <w:lang w:val="mk-MK"/>
        </w:rPr>
        <w:t>risk</w:t>
      </w:r>
      <w:proofErr w:type="spellEnd"/>
      <w:r w:rsidRPr="00B76194">
        <w:rPr>
          <w:rFonts w:ascii="Arial" w:hAnsi="Arial" w:cs="Arial"/>
          <w:lang w:val="mk-MK"/>
        </w:rPr>
        <w:t xml:space="preserve"> </w:t>
      </w:r>
      <w:proofErr w:type="spellStart"/>
      <w:r w:rsidRPr="00B76194">
        <w:rPr>
          <w:rFonts w:ascii="Arial" w:hAnsi="Arial" w:cs="Arial"/>
          <w:lang w:val="mk-MK"/>
        </w:rPr>
        <w:t>that</w:t>
      </w:r>
      <w:proofErr w:type="spellEnd"/>
      <w:r w:rsidRPr="00B76194">
        <w:rPr>
          <w:rFonts w:ascii="Arial" w:hAnsi="Arial" w:cs="Arial"/>
          <w:lang w:val="mk-MK"/>
        </w:rPr>
        <w:t xml:space="preserve"> a </w:t>
      </w:r>
      <w:proofErr w:type="spellStart"/>
      <w:r w:rsidRPr="00B76194">
        <w:rPr>
          <w:rFonts w:ascii="Arial" w:hAnsi="Arial" w:cs="Arial"/>
          <w:lang w:val="mk-MK"/>
        </w:rPr>
        <w:t>counter</w:t>
      </w:r>
      <w:proofErr w:type="spellEnd"/>
      <w:r w:rsidRPr="00B76194">
        <w:rPr>
          <w:rFonts w:ascii="Arial" w:hAnsi="Arial" w:cs="Arial"/>
          <w:lang w:val="mk-MK"/>
        </w:rPr>
        <w:t xml:space="preserve"> </w:t>
      </w:r>
      <w:proofErr w:type="spellStart"/>
      <w:r w:rsidRPr="00B76194">
        <w:rPr>
          <w:rFonts w:ascii="Arial" w:hAnsi="Arial" w:cs="Arial"/>
          <w:lang w:val="mk-MK"/>
        </w:rPr>
        <w:t>party</w:t>
      </w:r>
      <w:proofErr w:type="spellEnd"/>
      <w:r w:rsidRPr="00B76194">
        <w:rPr>
          <w:rFonts w:ascii="Arial" w:hAnsi="Arial" w:cs="Arial"/>
          <w:lang w:val="mk-MK"/>
        </w:rPr>
        <w:t xml:space="preserve"> </w:t>
      </w:r>
      <w:proofErr w:type="spellStart"/>
      <w:r w:rsidRPr="00B76194">
        <w:rPr>
          <w:rFonts w:ascii="Arial" w:hAnsi="Arial" w:cs="Arial"/>
          <w:lang w:val="mk-MK"/>
        </w:rPr>
        <w:t>will</w:t>
      </w:r>
      <w:proofErr w:type="spellEnd"/>
      <w:r w:rsidRPr="00B76194">
        <w:rPr>
          <w:rFonts w:ascii="Arial" w:hAnsi="Arial" w:cs="Arial"/>
          <w:lang w:val="mk-MK"/>
        </w:rPr>
        <w:t xml:space="preserve"> </w:t>
      </w:r>
      <w:proofErr w:type="spellStart"/>
      <w:r w:rsidRPr="00B76194">
        <w:rPr>
          <w:rFonts w:ascii="Arial" w:hAnsi="Arial" w:cs="Arial"/>
          <w:lang w:val="mk-MK"/>
        </w:rPr>
        <w:t>not</w:t>
      </w:r>
      <w:proofErr w:type="spellEnd"/>
      <w:r w:rsidRPr="00B76194">
        <w:rPr>
          <w:rFonts w:ascii="Arial" w:hAnsi="Arial" w:cs="Arial"/>
          <w:lang w:val="mk-MK"/>
        </w:rPr>
        <w:t xml:space="preserve"> </w:t>
      </w:r>
      <w:proofErr w:type="spellStart"/>
      <w:r w:rsidRPr="00B76194">
        <w:rPr>
          <w:rFonts w:ascii="Arial" w:hAnsi="Arial" w:cs="Arial"/>
          <w:lang w:val="mk-MK"/>
        </w:rPr>
        <w:t>be</w:t>
      </w:r>
      <w:proofErr w:type="spellEnd"/>
      <w:r w:rsidRPr="00B76194">
        <w:rPr>
          <w:rFonts w:ascii="Arial" w:hAnsi="Arial" w:cs="Arial"/>
          <w:lang w:val="mk-MK"/>
        </w:rPr>
        <w:t xml:space="preserve"> </w:t>
      </w:r>
      <w:proofErr w:type="spellStart"/>
      <w:r w:rsidRPr="00B76194">
        <w:rPr>
          <w:rFonts w:ascii="Arial" w:hAnsi="Arial" w:cs="Arial"/>
          <w:lang w:val="mk-MK"/>
        </w:rPr>
        <w:t>able</w:t>
      </w:r>
      <w:proofErr w:type="spellEnd"/>
      <w:r w:rsidRPr="00B76194">
        <w:rPr>
          <w:rFonts w:ascii="Arial" w:hAnsi="Arial" w:cs="Arial"/>
          <w:lang w:val="mk-MK"/>
        </w:rPr>
        <w:t xml:space="preserve"> </w:t>
      </w:r>
      <w:proofErr w:type="spellStart"/>
      <w:r w:rsidRPr="00B76194">
        <w:rPr>
          <w:rFonts w:ascii="Arial" w:hAnsi="Arial" w:cs="Arial"/>
          <w:lang w:val="mk-MK"/>
        </w:rPr>
        <w:t>to</w:t>
      </w:r>
      <w:proofErr w:type="spellEnd"/>
      <w:r w:rsidRPr="00B76194">
        <w:rPr>
          <w:rFonts w:ascii="Arial" w:hAnsi="Arial" w:cs="Arial"/>
          <w:lang w:val="mk-MK"/>
        </w:rPr>
        <w:t xml:space="preserve"> </w:t>
      </w:r>
      <w:proofErr w:type="spellStart"/>
      <w:r w:rsidRPr="00B76194">
        <w:rPr>
          <w:rFonts w:ascii="Arial" w:hAnsi="Arial" w:cs="Arial"/>
          <w:lang w:val="mk-MK"/>
        </w:rPr>
        <w:t>fulfil</w:t>
      </w:r>
      <w:proofErr w:type="spellEnd"/>
      <w:r w:rsidRPr="00B76194">
        <w:rPr>
          <w:rFonts w:ascii="Arial" w:hAnsi="Arial" w:cs="Arial"/>
          <w:lang w:val="mk-MK"/>
        </w:rPr>
        <w:t xml:space="preserve"> </w:t>
      </w:r>
      <w:proofErr w:type="spellStart"/>
      <w:r w:rsidRPr="00B76194">
        <w:rPr>
          <w:rFonts w:ascii="Arial" w:hAnsi="Arial" w:cs="Arial"/>
          <w:lang w:val="mk-MK"/>
        </w:rPr>
        <w:t>its</w:t>
      </w:r>
      <w:proofErr w:type="spellEnd"/>
      <w:r w:rsidRPr="00B76194">
        <w:rPr>
          <w:rFonts w:ascii="Arial" w:hAnsi="Arial" w:cs="Arial"/>
          <w:lang w:val="mk-MK"/>
        </w:rPr>
        <w:t xml:space="preserve"> </w:t>
      </w:r>
      <w:proofErr w:type="spellStart"/>
      <w:r w:rsidRPr="00B76194">
        <w:rPr>
          <w:rFonts w:ascii="Arial" w:hAnsi="Arial" w:cs="Arial"/>
          <w:lang w:val="mk-MK"/>
        </w:rPr>
        <w:t>liabilities</w:t>
      </w:r>
      <w:proofErr w:type="spellEnd"/>
      <w:r w:rsidRPr="00B76194">
        <w:rPr>
          <w:rFonts w:ascii="Arial" w:hAnsi="Arial" w:cs="Arial"/>
          <w:lang w:val="mk-MK"/>
        </w:rPr>
        <w:t xml:space="preserve"> </w:t>
      </w:r>
      <w:proofErr w:type="spellStart"/>
      <w:r w:rsidRPr="00B76194">
        <w:rPr>
          <w:rFonts w:ascii="Arial" w:hAnsi="Arial" w:cs="Arial"/>
          <w:lang w:val="mk-MK"/>
        </w:rPr>
        <w:t>when</w:t>
      </w:r>
      <w:proofErr w:type="spellEnd"/>
      <w:r w:rsidRPr="00B76194">
        <w:rPr>
          <w:rFonts w:ascii="Arial" w:hAnsi="Arial" w:cs="Arial"/>
          <w:lang w:val="mk-MK"/>
        </w:rPr>
        <w:t xml:space="preserve"> </w:t>
      </w:r>
      <w:proofErr w:type="spellStart"/>
      <w:r w:rsidRPr="00B76194">
        <w:rPr>
          <w:rFonts w:ascii="Arial" w:hAnsi="Arial" w:cs="Arial"/>
          <w:lang w:val="mk-MK"/>
        </w:rPr>
        <w:t>maturing</w:t>
      </w:r>
      <w:proofErr w:type="spellEnd"/>
      <w:r w:rsidRPr="00B76194">
        <w:rPr>
          <w:rFonts w:ascii="Arial" w:hAnsi="Arial" w:cs="Arial"/>
          <w:lang w:val="mk-MK"/>
        </w:rPr>
        <w:t xml:space="preserve">. </w:t>
      </w:r>
      <w:r w:rsidR="00F9547C">
        <w:rPr>
          <w:rFonts w:ascii="Arial" w:hAnsi="Arial" w:cs="Arial"/>
          <w:lang w:val="en-US"/>
        </w:rPr>
        <w:t>As of 31 December</w:t>
      </w:r>
      <w:r w:rsidR="006A2587">
        <w:rPr>
          <w:rFonts w:ascii="Arial" w:hAnsi="Arial" w:cs="Arial"/>
          <w:lang w:val="mk-MK"/>
        </w:rPr>
        <w:t xml:space="preserve">, </w:t>
      </w:r>
      <w:r w:rsidR="00815E65" w:rsidRPr="00CE3053">
        <w:rPr>
          <w:rFonts w:ascii="Arial" w:hAnsi="Arial" w:cs="Arial"/>
          <w:lang w:val="mk-MK"/>
        </w:rPr>
        <w:t>202</w:t>
      </w:r>
      <w:r w:rsidR="00D562FD" w:rsidRPr="00CE3053">
        <w:rPr>
          <w:rFonts w:ascii="Arial" w:hAnsi="Arial" w:cs="Arial"/>
          <w:lang w:val="mk-MK"/>
        </w:rPr>
        <w:t>1</w:t>
      </w:r>
      <w:r w:rsidR="00815E65" w:rsidRPr="00CE3053">
        <w:rPr>
          <w:rFonts w:ascii="Arial" w:hAnsi="Arial" w:cs="Arial"/>
          <w:lang w:val="mk-MK"/>
        </w:rPr>
        <w:t xml:space="preserve"> </w:t>
      </w:r>
      <w:r w:rsidR="00F9547C">
        <w:rPr>
          <w:rFonts w:ascii="Arial" w:hAnsi="Arial" w:cs="Arial"/>
          <w:lang w:val="en-US"/>
        </w:rPr>
        <w:t>and</w:t>
      </w:r>
      <w:r w:rsidR="00815E65" w:rsidRPr="00CE3053">
        <w:rPr>
          <w:rFonts w:ascii="Arial" w:hAnsi="Arial" w:cs="Arial"/>
          <w:lang w:val="mk-MK"/>
        </w:rPr>
        <w:t xml:space="preserve"> 20</w:t>
      </w:r>
      <w:r w:rsidR="00D562FD" w:rsidRPr="00CE3053">
        <w:rPr>
          <w:rFonts w:ascii="Arial" w:hAnsi="Arial" w:cs="Arial"/>
          <w:lang w:val="mk-MK"/>
        </w:rPr>
        <w:t>20</w:t>
      </w:r>
      <w:r w:rsidR="00815E65" w:rsidRPr="00CE3053">
        <w:rPr>
          <w:rFonts w:ascii="Arial" w:hAnsi="Arial" w:cs="Arial"/>
          <w:lang w:val="mk-MK"/>
        </w:rPr>
        <w:t xml:space="preserve">, </w:t>
      </w:r>
      <w:r w:rsidR="00F9547C" w:rsidRPr="009A0262">
        <w:rPr>
          <w:rFonts w:ascii="Arial" w:hAnsi="Arial" w:cs="Arial"/>
        </w:rPr>
        <w:t>the Fund invests its available assets in debt securities issued by the Republic of North Macedonia with maturity period of 12 months from their acquisition by the Fund.</w:t>
      </w:r>
    </w:p>
    <w:p w14:paraId="0CB87833" w14:textId="2099C7F2" w:rsidR="00F9547C" w:rsidRPr="00C07E8D" w:rsidRDefault="00F9547C" w:rsidP="00815E65">
      <w:pPr>
        <w:pStyle w:val="BodyText"/>
        <w:jc w:val="both"/>
        <w:rPr>
          <w:rFonts w:ascii="Arial" w:hAnsi="Arial" w:cs="Arial"/>
          <w:lang w:val="en-US"/>
        </w:rPr>
      </w:pPr>
      <w:proofErr w:type="spellStart"/>
      <w:r w:rsidRPr="00F9547C">
        <w:rPr>
          <w:rFonts w:ascii="Arial" w:hAnsi="Arial" w:cs="Arial"/>
          <w:lang w:val="mk-MK"/>
        </w:rPr>
        <w:t>Considering</w:t>
      </w:r>
      <w:proofErr w:type="spellEnd"/>
      <w:r w:rsidRPr="00F9547C">
        <w:rPr>
          <w:rFonts w:ascii="Arial" w:hAnsi="Arial" w:cs="Arial"/>
          <w:lang w:val="mk-MK"/>
        </w:rPr>
        <w:t xml:space="preserve"> </w:t>
      </w:r>
      <w:proofErr w:type="spellStart"/>
      <w:r w:rsidRPr="00F9547C">
        <w:rPr>
          <w:rFonts w:ascii="Arial" w:hAnsi="Arial" w:cs="Arial"/>
          <w:lang w:val="mk-MK"/>
        </w:rPr>
        <w:t>the</w:t>
      </w:r>
      <w:proofErr w:type="spellEnd"/>
      <w:r w:rsidRPr="00F9547C">
        <w:rPr>
          <w:rFonts w:ascii="Arial" w:hAnsi="Arial" w:cs="Arial"/>
          <w:lang w:val="mk-MK"/>
        </w:rPr>
        <w:t xml:space="preserve"> </w:t>
      </w:r>
      <w:proofErr w:type="spellStart"/>
      <w:r w:rsidRPr="00F9547C">
        <w:rPr>
          <w:rFonts w:ascii="Arial" w:hAnsi="Arial" w:cs="Arial"/>
          <w:lang w:val="mk-MK"/>
        </w:rPr>
        <w:t>character</w:t>
      </w:r>
      <w:proofErr w:type="spellEnd"/>
      <w:r w:rsidRPr="00F9547C">
        <w:rPr>
          <w:rFonts w:ascii="Arial" w:hAnsi="Arial" w:cs="Arial"/>
          <w:lang w:val="mk-MK"/>
        </w:rPr>
        <w:t xml:space="preserve"> </w:t>
      </w:r>
      <w:proofErr w:type="spellStart"/>
      <w:r w:rsidRPr="00F9547C">
        <w:rPr>
          <w:rFonts w:ascii="Arial" w:hAnsi="Arial" w:cs="Arial"/>
          <w:lang w:val="mk-MK"/>
        </w:rPr>
        <w:t>of</w:t>
      </w:r>
      <w:proofErr w:type="spellEnd"/>
      <w:r w:rsidRPr="00F9547C">
        <w:rPr>
          <w:rFonts w:ascii="Arial" w:hAnsi="Arial" w:cs="Arial"/>
          <w:lang w:val="mk-MK"/>
        </w:rPr>
        <w:t xml:space="preserve"> </w:t>
      </w:r>
      <w:proofErr w:type="spellStart"/>
      <w:r w:rsidRPr="00F9547C">
        <w:rPr>
          <w:rFonts w:ascii="Arial" w:hAnsi="Arial" w:cs="Arial"/>
          <w:lang w:val="mk-MK"/>
        </w:rPr>
        <w:t>these</w:t>
      </w:r>
      <w:proofErr w:type="spellEnd"/>
      <w:r w:rsidRPr="00F9547C">
        <w:rPr>
          <w:rFonts w:ascii="Arial" w:hAnsi="Arial" w:cs="Arial"/>
          <w:lang w:val="mk-MK"/>
        </w:rPr>
        <w:t xml:space="preserve"> </w:t>
      </w:r>
      <w:proofErr w:type="spellStart"/>
      <w:r w:rsidRPr="00F9547C">
        <w:rPr>
          <w:rFonts w:ascii="Arial" w:hAnsi="Arial" w:cs="Arial"/>
          <w:lang w:val="mk-MK"/>
        </w:rPr>
        <w:t>placements</w:t>
      </w:r>
      <w:proofErr w:type="spellEnd"/>
      <w:r w:rsidRPr="00F9547C">
        <w:rPr>
          <w:rFonts w:ascii="Arial" w:hAnsi="Arial" w:cs="Arial"/>
          <w:lang w:val="mk-MK"/>
        </w:rPr>
        <w:t xml:space="preserve">, </w:t>
      </w:r>
      <w:proofErr w:type="spellStart"/>
      <w:r w:rsidRPr="00F9547C">
        <w:rPr>
          <w:rFonts w:ascii="Arial" w:hAnsi="Arial" w:cs="Arial"/>
          <w:lang w:val="mk-MK"/>
        </w:rPr>
        <w:t>the</w:t>
      </w:r>
      <w:proofErr w:type="spellEnd"/>
      <w:r w:rsidRPr="00F9547C">
        <w:rPr>
          <w:rFonts w:ascii="Arial" w:hAnsi="Arial" w:cs="Arial"/>
          <w:lang w:val="mk-MK"/>
        </w:rPr>
        <w:t xml:space="preserve"> </w:t>
      </w:r>
      <w:proofErr w:type="spellStart"/>
      <w:r w:rsidRPr="00F9547C">
        <w:rPr>
          <w:rFonts w:ascii="Arial" w:hAnsi="Arial" w:cs="Arial"/>
          <w:lang w:val="mk-MK"/>
        </w:rPr>
        <w:t>Fund’s</w:t>
      </w:r>
      <w:proofErr w:type="spellEnd"/>
      <w:r w:rsidRPr="00F9547C">
        <w:rPr>
          <w:rFonts w:ascii="Arial" w:hAnsi="Arial" w:cs="Arial"/>
          <w:lang w:val="mk-MK"/>
        </w:rPr>
        <w:t xml:space="preserve"> </w:t>
      </w:r>
      <w:proofErr w:type="spellStart"/>
      <w:r w:rsidRPr="00F9547C">
        <w:rPr>
          <w:rFonts w:ascii="Arial" w:hAnsi="Arial" w:cs="Arial"/>
          <w:lang w:val="mk-MK"/>
        </w:rPr>
        <w:t>Management</w:t>
      </w:r>
      <w:proofErr w:type="spellEnd"/>
      <w:r w:rsidRPr="00F9547C">
        <w:rPr>
          <w:rFonts w:ascii="Arial" w:hAnsi="Arial" w:cs="Arial"/>
          <w:lang w:val="mk-MK"/>
        </w:rPr>
        <w:t xml:space="preserve"> </w:t>
      </w:r>
      <w:proofErr w:type="spellStart"/>
      <w:r w:rsidRPr="00F9547C">
        <w:rPr>
          <w:rFonts w:ascii="Arial" w:hAnsi="Arial" w:cs="Arial"/>
          <w:lang w:val="mk-MK"/>
        </w:rPr>
        <w:t>does</w:t>
      </w:r>
      <w:proofErr w:type="spellEnd"/>
      <w:r w:rsidRPr="00F9547C">
        <w:rPr>
          <w:rFonts w:ascii="Arial" w:hAnsi="Arial" w:cs="Arial"/>
          <w:lang w:val="mk-MK"/>
        </w:rPr>
        <w:t xml:space="preserve"> </w:t>
      </w:r>
      <w:proofErr w:type="spellStart"/>
      <w:r w:rsidRPr="00F9547C">
        <w:rPr>
          <w:rFonts w:ascii="Arial" w:hAnsi="Arial" w:cs="Arial"/>
          <w:lang w:val="mk-MK"/>
        </w:rPr>
        <w:t>not</w:t>
      </w:r>
      <w:proofErr w:type="spellEnd"/>
      <w:r w:rsidRPr="00F9547C">
        <w:rPr>
          <w:rFonts w:ascii="Arial" w:hAnsi="Arial" w:cs="Arial"/>
          <w:lang w:val="mk-MK"/>
        </w:rPr>
        <w:t xml:space="preserve"> </w:t>
      </w:r>
      <w:proofErr w:type="spellStart"/>
      <w:r w:rsidRPr="00F9547C">
        <w:rPr>
          <w:rFonts w:ascii="Arial" w:hAnsi="Arial" w:cs="Arial"/>
          <w:lang w:val="mk-MK"/>
        </w:rPr>
        <w:t>expect</w:t>
      </w:r>
      <w:proofErr w:type="spellEnd"/>
      <w:r w:rsidRPr="00F9547C">
        <w:rPr>
          <w:rFonts w:ascii="Arial" w:hAnsi="Arial" w:cs="Arial"/>
          <w:lang w:val="mk-MK"/>
        </w:rPr>
        <w:t xml:space="preserve"> </w:t>
      </w:r>
      <w:proofErr w:type="spellStart"/>
      <w:r w:rsidRPr="00F9547C">
        <w:rPr>
          <w:rFonts w:ascii="Arial" w:hAnsi="Arial" w:cs="Arial"/>
          <w:lang w:val="mk-MK"/>
        </w:rPr>
        <w:t>that</w:t>
      </w:r>
      <w:proofErr w:type="spellEnd"/>
      <w:r w:rsidRPr="00F9547C">
        <w:rPr>
          <w:rFonts w:ascii="Arial" w:hAnsi="Arial" w:cs="Arial"/>
          <w:lang w:val="mk-MK"/>
        </w:rPr>
        <w:t xml:space="preserve"> </w:t>
      </w:r>
      <w:proofErr w:type="spellStart"/>
      <w:r w:rsidRPr="00F9547C">
        <w:rPr>
          <w:rFonts w:ascii="Arial" w:hAnsi="Arial" w:cs="Arial"/>
          <w:lang w:val="mk-MK"/>
        </w:rPr>
        <w:t>any</w:t>
      </w:r>
      <w:proofErr w:type="spellEnd"/>
      <w:r w:rsidRPr="00F9547C">
        <w:rPr>
          <w:rFonts w:ascii="Arial" w:hAnsi="Arial" w:cs="Arial"/>
          <w:lang w:val="mk-MK"/>
        </w:rPr>
        <w:t xml:space="preserve"> </w:t>
      </w:r>
      <w:proofErr w:type="spellStart"/>
      <w:r w:rsidRPr="00F9547C">
        <w:rPr>
          <w:rFonts w:ascii="Arial" w:hAnsi="Arial" w:cs="Arial"/>
          <w:lang w:val="mk-MK"/>
        </w:rPr>
        <w:t>of</w:t>
      </w:r>
      <w:proofErr w:type="spellEnd"/>
      <w:r w:rsidRPr="00F9547C">
        <w:rPr>
          <w:rFonts w:ascii="Arial" w:hAnsi="Arial" w:cs="Arial"/>
          <w:lang w:val="mk-MK"/>
        </w:rPr>
        <w:t xml:space="preserve"> </w:t>
      </w:r>
      <w:proofErr w:type="spellStart"/>
      <w:r w:rsidRPr="00F9547C">
        <w:rPr>
          <w:rFonts w:ascii="Arial" w:hAnsi="Arial" w:cs="Arial"/>
          <w:lang w:val="mk-MK"/>
        </w:rPr>
        <w:t>the</w:t>
      </w:r>
      <w:proofErr w:type="spellEnd"/>
      <w:r w:rsidRPr="00F9547C">
        <w:rPr>
          <w:rFonts w:ascii="Arial" w:hAnsi="Arial" w:cs="Arial"/>
          <w:lang w:val="mk-MK"/>
        </w:rPr>
        <w:t xml:space="preserve"> </w:t>
      </w:r>
      <w:proofErr w:type="spellStart"/>
      <w:r w:rsidRPr="00F9547C">
        <w:rPr>
          <w:rFonts w:ascii="Arial" w:hAnsi="Arial" w:cs="Arial"/>
          <w:lang w:val="mk-MK"/>
        </w:rPr>
        <w:t>contractual</w:t>
      </w:r>
      <w:proofErr w:type="spellEnd"/>
      <w:r w:rsidRPr="00F9547C">
        <w:rPr>
          <w:rFonts w:ascii="Arial" w:hAnsi="Arial" w:cs="Arial"/>
          <w:lang w:val="mk-MK"/>
        </w:rPr>
        <w:t xml:space="preserve"> </w:t>
      </w:r>
      <w:proofErr w:type="spellStart"/>
      <w:r w:rsidRPr="00F9547C">
        <w:rPr>
          <w:rFonts w:ascii="Arial" w:hAnsi="Arial" w:cs="Arial"/>
          <w:lang w:val="mk-MK"/>
        </w:rPr>
        <w:t>parties</w:t>
      </w:r>
      <w:proofErr w:type="spellEnd"/>
      <w:r w:rsidRPr="00F9547C">
        <w:rPr>
          <w:rFonts w:ascii="Arial" w:hAnsi="Arial" w:cs="Arial"/>
          <w:lang w:val="mk-MK"/>
        </w:rPr>
        <w:t xml:space="preserve"> </w:t>
      </w:r>
      <w:proofErr w:type="spellStart"/>
      <w:r w:rsidRPr="00F9547C">
        <w:rPr>
          <w:rFonts w:ascii="Arial" w:hAnsi="Arial" w:cs="Arial"/>
          <w:lang w:val="mk-MK"/>
        </w:rPr>
        <w:t>will</w:t>
      </w:r>
      <w:proofErr w:type="spellEnd"/>
      <w:r w:rsidRPr="00F9547C">
        <w:rPr>
          <w:rFonts w:ascii="Arial" w:hAnsi="Arial" w:cs="Arial"/>
          <w:lang w:val="mk-MK"/>
        </w:rPr>
        <w:t xml:space="preserve"> </w:t>
      </w:r>
      <w:proofErr w:type="spellStart"/>
      <w:r w:rsidRPr="00F9547C">
        <w:rPr>
          <w:rFonts w:ascii="Arial" w:hAnsi="Arial" w:cs="Arial"/>
          <w:lang w:val="mk-MK"/>
        </w:rPr>
        <w:t>not</w:t>
      </w:r>
      <w:proofErr w:type="spellEnd"/>
      <w:r w:rsidRPr="00F9547C">
        <w:rPr>
          <w:rFonts w:ascii="Arial" w:hAnsi="Arial" w:cs="Arial"/>
          <w:lang w:val="mk-MK"/>
        </w:rPr>
        <w:t xml:space="preserve"> </w:t>
      </w:r>
      <w:proofErr w:type="spellStart"/>
      <w:r w:rsidRPr="00F9547C">
        <w:rPr>
          <w:rFonts w:ascii="Arial" w:hAnsi="Arial" w:cs="Arial"/>
          <w:lang w:val="mk-MK"/>
        </w:rPr>
        <w:t>fulfil</w:t>
      </w:r>
      <w:proofErr w:type="spellEnd"/>
      <w:r w:rsidRPr="00F9547C">
        <w:rPr>
          <w:rFonts w:ascii="Arial" w:hAnsi="Arial" w:cs="Arial"/>
          <w:lang w:val="mk-MK"/>
        </w:rPr>
        <w:t xml:space="preserve"> </w:t>
      </w:r>
      <w:proofErr w:type="spellStart"/>
      <w:r w:rsidRPr="00F9547C">
        <w:rPr>
          <w:rFonts w:ascii="Arial" w:hAnsi="Arial" w:cs="Arial"/>
          <w:lang w:val="mk-MK"/>
        </w:rPr>
        <w:t>its</w:t>
      </w:r>
      <w:proofErr w:type="spellEnd"/>
      <w:r w:rsidRPr="00F9547C">
        <w:rPr>
          <w:rFonts w:ascii="Arial" w:hAnsi="Arial" w:cs="Arial"/>
          <w:lang w:val="mk-MK"/>
        </w:rPr>
        <w:t xml:space="preserve"> </w:t>
      </w:r>
      <w:proofErr w:type="spellStart"/>
      <w:r w:rsidRPr="00F9547C">
        <w:rPr>
          <w:rFonts w:ascii="Arial" w:hAnsi="Arial" w:cs="Arial"/>
          <w:lang w:val="mk-MK"/>
        </w:rPr>
        <w:t>liabilities</w:t>
      </w:r>
      <w:proofErr w:type="spellEnd"/>
      <w:r w:rsidR="00C07E8D">
        <w:rPr>
          <w:rFonts w:ascii="Arial" w:hAnsi="Arial" w:cs="Arial"/>
          <w:lang w:val="en-US"/>
        </w:rPr>
        <w:t>.</w:t>
      </w:r>
    </w:p>
    <w:p w14:paraId="0B5CF999" w14:textId="0B4232AB" w:rsidR="00815E65" w:rsidRPr="00CE3053" w:rsidRDefault="00F9547C" w:rsidP="00815E65">
      <w:pPr>
        <w:pStyle w:val="BodyText"/>
        <w:jc w:val="both"/>
        <w:rPr>
          <w:rFonts w:ascii="Arial" w:hAnsi="Arial" w:cs="Arial"/>
          <w:lang w:val="mk-MK"/>
        </w:rPr>
      </w:pPr>
      <w:proofErr w:type="spellStart"/>
      <w:r w:rsidRPr="00F9547C">
        <w:rPr>
          <w:rFonts w:ascii="Arial" w:hAnsi="Arial" w:cs="Arial"/>
          <w:lang w:val="mk-MK"/>
        </w:rPr>
        <w:t>The</w:t>
      </w:r>
      <w:proofErr w:type="spellEnd"/>
      <w:r w:rsidRPr="00F9547C">
        <w:rPr>
          <w:rFonts w:ascii="Arial" w:hAnsi="Arial" w:cs="Arial"/>
          <w:lang w:val="mk-MK"/>
        </w:rPr>
        <w:t xml:space="preserve"> </w:t>
      </w:r>
      <w:proofErr w:type="spellStart"/>
      <w:r w:rsidRPr="00F9547C">
        <w:rPr>
          <w:rFonts w:ascii="Arial" w:hAnsi="Arial" w:cs="Arial"/>
          <w:lang w:val="mk-MK"/>
        </w:rPr>
        <w:t>maximum</w:t>
      </w:r>
      <w:proofErr w:type="spellEnd"/>
      <w:r w:rsidRPr="00F9547C">
        <w:rPr>
          <w:rFonts w:ascii="Arial" w:hAnsi="Arial" w:cs="Arial"/>
          <w:lang w:val="mk-MK"/>
        </w:rPr>
        <w:t xml:space="preserve"> </w:t>
      </w:r>
      <w:proofErr w:type="spellStart"/>
      <w:r w:rsidRPr="00F9547C">
        <w:rPr>
          <w:rFonts w:ascii="Arial" w:hAnsi="Arial" w:cs="Arial"/>
          <w:lang w:val="mk-MK"/>
        </w:rPr>
        <w:t>exposure</w:t>
      </w:r>
      <w:proofErr w:type="spellEnd"/>
      <w:r w:rsidRPr="00F9547C">
        <w:rPr>
          <w:rFonts w:ascii="Arial" w:hAnsi="Arial" w:cs="Arial"/>
          <w:lang w:val="mk-MK"/>
        </w:rPr>
        <w:t xml:space="preserve"> </w:t>
      </w:r>
      <w:proofErr w:type="spellStart"/>
      <w:r w:rsidRPr="00F9547C">
        <w:rPr>
          <w:rFonts w:ascii="Arial" w:hAnsi="Arial" w:cs="Arial"/>
          <w:lang w:val="mk-MK"/>
        </w:rPr>
        <w:t>to</w:t>
      </w:r>
      <w:proofErr w:type="spellEnd"/>
      <w:r w:rsidRPr="00F9547C">
        <w:rPr>
          <w:rFonts w:ascii="Arial" w:hAnsi="Arial" w:cs="Arial"/>
          <w:lang w:val="mk-MK"/>
        </w:rPr>
        <w:t xml:space="preserve"> </w:t>
      </w:r>
      <w:proofErr w:type="spellStart"/>
      <w:r w:rsidRPr="00F9547C">
        <w:rPr>
          <w:rFonts w:ascii="Arial" w:hAnsi="Arial" w:cs="Arial"/>
          <w:lang w:val="mk-MK"/>
        </w:rPr>
        <w:t>credit</w:t>
      </w:r>
      <w:proofErr w:type="spellEnd"/>
      <w:r w:rsidRPr="00F9547C">
        <w:rPr>
          <w:rFonts w:ascii="Arial" w:hAnsi="Arial" w:cs="Arial"/>
          <w:lang w:val="mk-MK"/>
        </w:rPr>
        <w:t xml:space="preserve"> </w:t>
      </w:r>
      <w:proofErr w:type="spellStart"/>
      <w:r w:rsidRPr="00F9547C">
        <w:rPr>
          <w:rFonts w:ascii="Arial" w:hAnsi="Arial" w:cs="Arial"/>
          <w:lang w:val="mk-MK"/>
        </w:rPr>
        <w:t>risk</w:t>
      </w:r>
      <w:proofErr w:type="spellEnd"/>
      <w:r w:rsidRPr="00F9547C">
        <w:rPr>
          <w:rFonts w:ascii="Arial" w:hAnsi="Arial" w:cs="Arial"/>
          <w:lang w:val="mk-MK"/>
        </w:rPr>
        <w:t xml:space="preserve"> </w:t>
      </w:r>
      <w:proofErr w:type="spellStart"/>
      <w:r w:rsidRPr="00F9547C">
        <w:rPr>
          <w:rFonts w:ascii="Arial" w:hAnsi="Arial" w:cs="Arial"/>
          <w:lang w:val="mk-MK"/>
        </w:rPr>
        <w:t>is</w:t>
      </w:r>
      <w:proofErr w:type="spellEnd"/>
      <w:r w:rsidRPr="00F9547C">
        <w:rPr>
          <w:rFonts w:ascii="Arial" w:hAnsi="Arial" w:cs="Arial"/>
          <w:lang w:val="mk-MK"/>
        </w:rPr>
        <w:t xml:space="preserve"> </w:t>
      </w:r>
      <w:proofErr w:type="spellStart"/>
      <w:r w:rsidRPr="00F9547C">
        <w:rPr>
          <w:rFonts w:ascii="Arial" w:hAnsi="Arial" w:cs="Arial"/>
          <w:lang w:val="mk-MK"/>
        </w:rPr>
        <w:t>represented</w:t>
      </w:r>
      <w:proofErr w:type="spellEnd"/>
      <w:r w:rsidRPr="00F9547C">
        <w:rPr>
          <w:rFonts w:ascii="Arial" w:hAnsi="Arial" w:cs="Arial"/>
          <w:lang w:val="mk-MK"/>
        </w:rPr>
        <w:t xml:space="preserve"> </w:t>
      </w:r>
      <w:proofErr w:type="spellStart"/>
      <w:r w:rsidRPr="00F9547C">
        <w:rPr>
          <w:rFonts w:ascii="Arial" w:hAnsi="Arial" w:cs="Arial"/>
          <w:lang w:val="mk-MK"/>
        </w:rPr>
        <w:t>by</w:t>
      </w:r>
      <w:proofErr w:type="spellEnd"/>
      <w:r w:rsidRPr="00F9547C">
        <w:rPr>
          <w:rFonts w:ascii="Arial" w:hAnsi="Arial" w:cs="Arial"/>
          <w:lang w:val="mk-MK"/>
        </w:rPr>
        <w:t xml:space="preserve"> </w:t>
      </w:r>
      <w:proofErr w:type="spellStart"/>
      <w:r w:rsidRPr="00F9547C">
        <w:rPr>
          <w:rFonts w:ascii="Arial" w:hAnsi="Arial" w:cs="Arial"/>
          <w:lang w:val="mk-MK"/>
        </w:rPr>
        <w:t>the</w:t>
      </w:r>
      <w:proofErr w:type="spellEnd"/>
      <w:r w:rsidRPr="00F9547C">
        <w:rPr>
          <w:rFonts w:ascii="Arial" w:hAnsi="Arial" w:cs="Arial"/>
          <w:lang w:val="mk-MK"/>
        </w:rPr>
        <w:t xml:space="preserve"> </w:t>
      </w:r>
      <w:proofErr w:type="spellStart"/>
      <w:r w:rsidRPr="00F9547C">
        <w:rPr>
          <w:rFonts w:ascii="Arial" w:hAnsi="Arial" w:cs="Arial"/>
          <w:lang w:val="mk-MK"/>
        </w:rPr>
        <w:t>carrying</w:t>
      </w:r>
      <w:proofErr w:type="spellEnd"/>
      <w:r w:rsidRPr="00F9547C">
        <w:rPr>
          <w:rFonts w:ascii="Arial" w:hAnsi="Arial" w:cs="Arial"/>
          <w:lang w:val="mk-MK"/>
        </w:rPr>
        <w:t xml:space="preserve"> </w:t>
      </w:r>
      <w:proofErr w:type="spellStart"/>
      <w:r w:rsidRPr="00F9547C">
        <w:rPr>
          <w:rFonts w:ascii="Arial" w:hAnsi="Arial" w:cs="Arial"/>
          <w:lang w:val="mk-MK"/>
        </w:rPr>
        <w:t>amount</w:t>
      </w:r>
      <w:proofErr w:type="spellEnd"/>
      <w:r w:rsidRPr="00F9547C">
        <w:rPr>
          <w:rFonts w:ascii="Arial" w:hAnsi="Arial" w:cs="Arial"/>
          <w:lang w:val="mk-MK"/>
        </w:rPr>
        <w:t xml:space="preserve"> </w:t>
      </w:r>
      <w:proofErr w:type="spellStart"/>
      <w:r w:rsidRPr="00F9547C">
        <w:rPr>
          <w:rFonts w:ascii="Arial" w:hAnsi="Arial" w:cs="Arial"/>
          <w:lang w:val="mk-MK"/>
        </w:rPr>
        <w:t>of</w:t>
      </w:r>
      <w:proofErr w:type="spellEnd"/>
      <w:r w:rsidRPr="00F9547C">
        <w:rPr>
          <w:rFonts w:ascii="Arial" w:hAnsi="Arial" w:cs="Arial"/>
          <w:lang w:val="mk-MK"/>
        </w:rPr>
        <w:t xml:space="preserve"> </w:t>
      </w:r>
      <w:proofErr w:type="spellStart"/>
      <w:r w:rsidRPr="00F9547C">
        <w:rPr>
          <w:rFonts w:ascii="Arial" w:hAnsi="Arial" w:cs="Arial"/>
          <w:lang w:val="mk-MK"/>
        </w:rPr>
        <w:t>each</w:t>
      </w:r>
      <w:proofErr w:type="spellEnd"/>
      <w:r w:rsidRPr="00F9547C">
        <w:rPr>
          <w:rFonts w:ascii="Arial" w:hAnsi="Arial" w:cs="Arial"/>
          <w:lang w:val="mk-MK"/>
        </w:rPr>
        <w:t xml:space="preserve"> </w:t>
      </w:r>
      <w:proofErr w:type="spellStart"/>
      <w:r w:rsidRPr="00F9547C">
        <w:rPr>
          <w:rFonts w:ascii="Arial" w:hAnsi="Arial" w:cs="Arial"/>
          <w:lang w:val="mk-MK"/>
        </w:rPr>
        <w:t>financial</w:t>
      </w:r>
      <w:proofErr w:type="spellEnd"/>
      <w:r w:rsidRPr="00F9547C">
        <w:rPr>
          <w:rFonts w:ascii="Arial" w:hAnsi="Arial" w:cs="Arial"/>
          <w:lang w:val="mk-MK"/>
        </w:rPr>
        <w:t xml:space="preserve"> </w:t>
      </w:r>
      <w:proofErr w:type="spellStart"/>
      <w:r w:rsidRPr="00F9547C">
        <w:rPr>
          <w:rFonts w:ascii="Arial" w:hAnsi="Arial" w:cs="Arial"/>
          <w:lang w:val="mk-MK"/>
        </w:rPr>
        <w:t>asset</w:t>
      </w:r>
      <w:proofErr w:type="spellEnd"/>
      <w:r w:rsidRPr="00F9547C">
        <w:rPr>
          <w:rFonts w:ascii="Arial" w:hAnsi="Arial" w:cs="Arial"/>
          <w:lang w:val="mk-MK"/>
        </w:rPr>
        <w:t xml:space="preserve"> </w:t>
      </w:r>
      <w:proofErr w:type="spellStart"/>
      <w:r w:rsidRPr="00F9547C">
        <w:rPr>
          <w:rFonts w:ascii="Arial" w:hAnsi="Arial" w:cs="Arial"/>
          <w:lang w:val="mk-MK"/>
        </w:rPr>
        <w:t>in</w:t>
      </w:r>
      <w:proofErr w:type="spellEnd"/>
      <w:r w:rsidRPr="00F9547C">
        <w:rPr>
          <w:rFonts w:ascii="Arial" w:hAnsi="Arial" w:cs="Arial"/>
          <w:lang w:val="mk-MK"/>
        </w:rPr>
        <w:t xml:space="preserve"> </w:t>
      </w:r>
      <w:proofErr w:type="spellStart"/>
      <w:r w:rsidRPr="00F9547C">
        <w:rPr>
          <w:rFonts w:ascii="Arial" w:hAnsi="Arial" w:cs="Arial"/>
          <w:lang w:val="mk-MK"/>
        </w:rPr>
        <w:t>the</w:t>
      </w:r>
      <w:proofErr w:type="spellEnd"/>
      <w:r w:rsidRPr="00F9547C">
        <w:rPr>
          <w:rFonts w:ascii="Arial" w:hAnsi="Arial" w:cs="Arial"/>
          <w:lang w:val="mk-MK"/>
        </w:rPr>
        <w:t xml:space="preserve"> </w:t>
      </w:r>
      <w:proofErr w:type="spellStart"/>
      <w:r w:rsidRPr="00F9547C">
        <w:rPr>
          <w:rFonts w:ascii="Arial" w:hAnsi="Arial" w:cs="Arial"/>
          <w:lang w:val="mk-MK"/>
        </w:rPr>
        <w:t>Statement</w:t>
      </w:r>
      <w:proofErr w:type="spellEnd"/>
      <w:r w:rsidRPr="00F9547C">
        <w:rPr>
          <w:rFonts w:ascii="Arial" w:hAnsi="Arial" w:cs="Arial"/>
          <w:lang w:val="mk-MK"/>
        </w:rPr>
        <w:t xml:space="preserve"> </w:t>
      </w:r>
      <w:proofErr w:type="spellStart"/>
      <w:r w:rsidRPr="00F9547C">
        <w:rPr>
          <w:rFonts w:ascii="Arial" w:hAnsi="Arial" w:cs="Arial"/>
          <w:lang w:val="mk-MK"/>
        </w:rPr>
        <w:t>of</w:t>
      </w:r>
      <w:proofErr w:type="spellEnd"/>
      <w:r w:rsidRPr="00F9547C">
        <w:rPr>
          <w:rFonts w:ascii="Arial" w:hAnsi="Arial" w:cs="Arial"/>
          <w:lang w:val="mk-MK"/>
        </w:rPr>
        <w:t xml:space="preserve"> </w:t>
      </w:r>
      <w:proofErr w:type="spellStart"/>
      <w:r w:rsidRPr="00F9547C">
        <w:rPr>
          <w:rFonts w:ascii="Arial" w:hAnsi="Arial" w:cs="Arial"/>
          <w:lang w:val="mk-MK"/>
        </w:rPr>
        <w:t>financial</w:t>
      </w:r>
      <w:proofErr w:type="spellEnd"/>
      <w:r w:rsidRPr="00F9547C">
        <w:rPr>
          <w:rFonts w:ascii="Arial" w:hAnsi="Arial" w:cs="Arial"/>
          <w:lang w:val="mk-MK"/>
        </w:rPr>
        <w:t xml:space="preserve"> </w:t>
      </w:r>
      <w:proofErr w:type="spellStart"/>
      <w:r w:rsidRPr="00F9547C">
        <w:rPr>
          <w:rFonts w:ascii="Arial" w:hAnsi="Arial" w:cs="Arial"/>
          <w:lang w:val="mk-MK"/>
        </w:rPr>
        <w:t>position</w:t>
      </w:r>
      <w:proofErr w:type="spellEnd"/>
      <w:r w:rsidRPr="00F9547C">
        <w:rPr>
          <w:rFonts w:ascii="Arial" w:hAnsi="Arial" w:cs="Arial"/>
          <w:lang w:val="mk-MK"/>
        </w:rPr>
        <w:t xml:space="preserve"> </w:t>
      </w:r>
      <w:proofErr w:type="spellStart"/>
      <w:r w:rsidRPr="00F9547C">
        <w:rPr>
          <w:rFonts w:ascii="Arial" w:hAnsi="Arial" w:cs="Arial"/>
          <w:lang w:val="mk-MK"/>
        </w:rPr>
        <w:t>as</w:t>
      </w:r>
      <w:proofErr w:type="spellEnd"/>
      <w:r w:rsidRPr="00F9547C">
        <w:rPr>
          <w:rFonts w:ascii="Arial" w:hAnsi="Arial" w:cs="Arial"/>
          <w:lang w:val="mk-MK"/>
        </w:rPr>
        <w:t xml:space="preserve"> </w:t>
      </w:r>
      <w:proofErr w:type="spellStart"/>
      <w:r w:rsidRPr="00F9547C">
        <w:rPr>
          <w:rFonts w:ascii="Arial" w:hAnsi="Arial" w:cs="Arial"/>
          <w:lang w:val="mk-MK"/>
        </w:rPr>
        <w:t>follows</w:t>
      </w:r>
      <w:proofErr w:type="spellEnd"/>
      <w:r w:rsidR="00815E65" w:rsidRPr="00CE3053">
        <w:rPr>
          <w:rFonts w:ascii="Arial" w:hAnsi="Arial" w:cs="Arial"/>
          <w:lang w:val="mk-MK"/>
        </w:rPr>
        <w:t>:</w:t>
      </w:r>
    </w:p>
    <w:tbl>
      <w:tblPr>
        <w:tblW w:w="8527" w:type="dxa"/>
        <w:tblInd w:w="86" w:type="dxa"/>
        <w:tblLayout w:type="fixed"/>
        <w:tblLook w:val="0000" w:firstRow="0" w:lastRow="0" w:firstColumn="0" w:lastColumn="0" w:noHBand="0" w:noVBand="0"/>
      </w:tblPr>
      <w:tblGrid>
        <w:gridCol w:w="5693"/>
        <w:gridCol w:w="1717"/>
        <w:gridCol w:w="1117"/>
      </w:tblGrid>
      <w:tr w:rsidR="00815E65" w:rsidRPr="001E6526" w14:paraId="09500B35" w14:textId="77777777" w:rsidTr="00815E65">
        <w:trPr>
          <w:trHeight w:val="216"/>
        </w:trPr>
        <w:tc>
          <w:tcPr>
            <w:tcW w:w="3338" w:type="pct"/>
            <w:tcBorders>
              <w:top w:val="nil"/>
              <w:left w:val="nil"/>
              <w:bottom w:val="nil"/>
              <w:right w:val="nil"/>
            </w:tcBorders>
            <w:shd w:val="clear" w:color="auto" w:fill="auto"/>
            <w:noWrap/>
            <w:vAlign w:val="bottom"/>
          </w:tcPr>
          <w:p w14:paraId="08E01397" w14:textId="77777777" w:rsidR="00815E65" w:rsidRPr="00CE3053" w:rsidRDefault="00815E65" w:rsidP="00815E65">
            <w:pPr>
              <w:jc w:val="both"/>
              <w:rPr>
                <w:rFonts w:ascii="Arial" w:hAnsi="Arial" w:cs="Arial"/>
                <w:lang w:val="mk-MK"/>
              </w:rPr>
            </w:pPr>
          </w:p>
        </w:tc>
        <w:tc>
          <w:tcPr>
            <w:tcW w:w="1007" w:type="pct"/>
            <w:tcBorders>
              <w:top w:val="nil"/>
              <w:left w:val="nil"/>
              <w:bottom w:val="nil"/>
              <w:right w:val="nil"/>
            </w:tcBorders>
            <w:shd w:val="clear" w:color="auto" w:fill="auto"/>
            <w:noWrap/>
            <w:vAlign w:val="bottom"/>
          </w:tcPr>
          <w:p w14:paraId="175C3364" w14:textId="77777777" w:rsidR="00815E65" w:rsidRPr="00CE3053" w:rsidRDefault="00815E65" w:rsidP="00815E65">
            <w:pPr>
              <w:jc w:val="both"/>
              <w:rPr>
                <w:rFonts w:ascii="Arial" w:hAnsi="Arial" w:cs="Arial"/>
                <w:lang w:val="mk-MK"/>
              </w:rPr>
            </w:pPr>
          </w:p>
        </w:tc>
        <w:tc>
          <w:tcPr>
            <w:tcW w:w="655" w:type="pct"/>
            <w:tcBorders>
              <w:top w:val="nil"/>
              <w:left w:val="nil"/>
              <w:bottom w:val="nil"/>
              <w:right w:val="nil"/>
            </w:tcBorders>
            <w:shd w:val="clear" w:color="auto" w:fill="auto"/>
            <w:noWrap/>
            <w:vAlign w:val="bottom"/>
          </w:tcPr>
          <w:p w14:paraId="472C4B42" w14:textId="637874DA" w:rsidR="00815E65" w:rsidRPr="00CE3053" w:rsidRDefault="00815E65" w:rsidP="002D1B7D">
            <w:pPr>
              <w:jc w:val="right"/>
              <w:rPr>
                <w:rFonts w:ascii="Arial" w:hAnsi="Arial" w:cs="Arial"/>
                <w:lang w:val="mk-MK"/>
              </w:rPr>
            </w:pPr>
            <w:r w:rsidRPr="00CE3053">
              <w:rPr>
                <w:rFonts w:ascii="Arial" w:hAnsi="Arial" w:cs="Arial"/>
                <w:lang w:val="mk-MK"/>
              </w:rPr>
              <w:t>(000</w:t>
            </w:r>
            <w:r w:rsidR="00D46AA1">
              <w:rPr>
                <w:rFonts w:ascii="Arial" w:hAnsi="Arial" w:cs="Arial"/>
              </w:rPr>
              <w:t xml:space="preserve">  </w:t>
            </w:r>
            <w:proofErr w:type="spellStart"/>
            <w:r w:rsidR="00D46AA1">
              <w:rPr>
                <w:rFonts w:ascii="Arial" w:hAnsi="Arial" w:cs="Arial"/>
              </w:rPr>
              <w:t>mkd</w:t>
            </w:r>
            <w:proofErr w:type="spellEnd"/>
            <w:r w:rsidRPr="00CE3053">
              <w:rPr>
                <w:rFonts w:ascii="Arial" w:hAnsi="Arial" w:cs="Arial"/>
                <w:lang w:val="mk-MK"/>
              </w:rPr>
              <w:t>)</w:t>
            </w:r>
          </w:p>
        </w:tc>
      </w:tr>
      <w:tr w:rsidR="008F2213" w:rsidRPr="001E6526" w14:paraId="7C9B532C" w14:textId="77777777" w:rsidTr="00815E65">
        <w:trPr>
          <w:trHeight w:val="216"/>
        </w:trPr>
        <w:tc>
          <w:tcPr>
            <w:tcW w:w="3338" w:type="pct"/>
            <w:tcBorders>
              <w:top w:val="nil"/>
              <w:left w:val="nil"/>
              <w:bottom w:val="nil"/>
              <w:right w:val="nil"/>
            </w:tcBorders>
            <w:shd w:val="clear" w:color="auto" w:fill="auto"/>
            <w:noWrap/>
            <w:vAlign w:val="bottom"/>
          </w:tcPr>
          <w:p w14:paraId="5ECA96C4" w14:textId="77777777" w:rsidR="008F2213" w:rsidRPr="00CE3053" w:rsidRDefault="008F2213" w:rsidP="008F2213">
            <w:pPr>
              <w:jc w:val="both"/>
              <w:rPr>
                <w:rFonts w:ascii="Arial" w:hAnsi="Arial" w:cs="Arial"/>
                <w:lang w:val="mk-MK"/>
              </w:rPr>
            </w:pPr>
          </w:p>
        </w:tc>
        <w:tc>
          <w:tcPr>
            <w:tcW w:w="1007" w:type="pct"/>
            <w:tcBorders>
              <w:top w:val="nil"/>
              <w:left w:val="nil"/>
              <w:bottom w:val="nil"/>
              <w:right w:val="nil"/>
            </w:tcBorders>
            <w:shd w:val="clear" w:color="auto" w:fill="auto"/>
            <w:noWrap/>
            <w:vAlign w:val="bottom"/>
          </w:tcPr>
          <w:p w14:paraId="1D06C4FB" w14:textId="650C6A7A" w:rsidR="008F2213" w:rsidRPr="00CE3053" w:rsidRDefault="008F2213" w:rsidP="008F2213">
            <w:pPr>
              <w:jc w:val="right"/>
              <w:rPr>
                <w:rFonts w:ascii="Arial" w:hAnsi="Arial" w:cs="Arial"/>
                <w:lang w:val="mk-MK"/>
              </w:rPr>
            </w:pPr>
            <w:r w:rsidRPr="00CE3053">
              <w:rPr>
                <w:rFonts w:ascii="Arial" w:hAnsi="Arial" w:cs="Arial"/>
                <w:lang w:val="mk-MK"/>
              </w:rPr>
              <w:t>2021</w:t>
            </w:r>
          </w:p>
        </w:tc>
        <w:tc>
          <w:tcPr>
            <w:tcW w:w="655" w:type="pct"/>
            <w:tcBorders>
              <w:top w:val="nil"/>
              <w:left w:val="nil"/>
              <w:bottom w:val="nil"/>
              <w:right w:val="nil"/>
            </w:tcBorders>
            <w:shd w:val="clear" w:color="auto" w:fill="auto"/>
            <w:noWrap/>
            <w:vAlign w:val="bottom"/>
          </w:tcPr>
          <w:p w14:paraId="27BF9A9D" w14:textId="4F4C2E13" w:rsidR="008F2213" w:rsidRPr="00CE3053" w:rsidRDefault="008F2213" w:rsidP="008F2213">
            <w:pPr>
              <w:jc w:val="right"/>
              <w:rPr>
                <w:rFonts w:ascii="Arial" w:hAnsi="Arial" w:cs="Arial"/>
                <w:lang w:val="mk-MK"/>
              </w:rPr>
            </w:pPr>
            <w:r w:rsidRPr="00CE3053">
              <w:rPr>
                <w:rFonts w:ascii="Arial" w:hAnsi="Arial" w:cs="Arial"/>
                <w:lang w:val="mk-MK"/>
              </w:rPr>
              <w:t>2020</w:t>
            </w:r>
          </w:p>
        </w:tc>
      </w:tr>
      <w:tr w:rsidR="008F2213" w:rsidRPr="001E6526" w14:paraId="1C8E28B4" w14:textId="77777777" w:rsidTr="00815E65">
        <w:trPr>
          <w:trHeight w:val="216"/>
        </w:trPr>
        <w:tc>
          <w:tcPr>
            <w:tcW w:w="3338" w:type="pct"/>
            <w:tcBorders>
              <w:top w:val="nil"/>
              <w:left w:val="nil"/>
              <w:bottom w:val="nil"/>
              <w:right w:val="nil"/>
            </w:tcBorders>
            <w:shd w:val="clear" w:color="auto" w:fill="auto"/>
            <w:noWrap/>
            <w:vAlign w:val="bottom"/>
          </w:tcPr>
          <w:p w14:paraId="6DD2AC87" w14:textId="052A3575" w:rsidR="008F2213" w:rsidRPr="00CE3053" w:rsidRDefault="008F2213" w:rsidP="008F2213">
            <w:pPr>
              <w:jc w:val="both"/>
              <w:rPr>
                <w:rFonts w:ascii="Arial" w:hAnsi="Arial" w:cs="Arial"/>
                <w:lang w:val="mk-MK"/>
              </w:rPr>
            </w:pPr>
            <w:r w:rsidRPr="00CE3053">
              <w:rPr>
                <w:rFonts w:ascii="Arial" w:hAnsi="Arial" w:cs="Arial"/>
                <w:lang w:val="mk-MK"/>
              </w:rPr>
              <w:t xml:space="preserve"> </w:t>
            </w:r>
            <w:proofErr w:type="spellStart"/>
            <w:r w:rsidR="00D46AA1" w:rsidRPr="00D46AA1">
              <w:rPr>
                <w:rFonts w:ascii="Arial" w:hAnsi="Arial" w:cs="Arial"/>
                <w:lang w:val="mk-MK"/>
              </w:rPr>
              <w:t>Financial</w:t>
            </w:r>
            <w:proofErr w:type="spellEnd"/>
            <w:r w:rsidR="00D46AA1" w:rsidRPr="00D46AA1">
              <w:rPr>
                <w:rFonts w:ascii="Arial" w:hAnsi="Arial" w:cs="Arial"/>
                <w:lang w:val="mk-MK"/>
              </w:rPr>
              <w:t xml:space="preserve"> </w:t>
            </w:r>
            <w:proofErr w:type="spellStart"/>
            <w:r w:rsidR="00D46AA1" w:rsidRPr="00D46AA1">
              <w:rPr>
                <w:rFonts w:ascii="Arial" w:hAnsi="Arial" w:cs="Arial"/>
                <w:lang w:val="mk-MK"/>
              </w:rPr>
              <w:t>assets-carrying</w:t>
            </w:r>
            <w:proofErr w:type="spellEnd"/>
            <w:r w:rsidR="00D46AA1" w:rsidRPr="00D46AA1">
              <w:rPr>
                <w:rFonts w:ascii="Arial" w:hAnsi="Arial" w:cs="Arial"/>
                <w:lang w:val="mk-MK"/>
              </w:rPr>
              <w:t xml:space="preserve"> </w:t>
            </w:r>
            <w:proofErr w:type="spellStart"/>
            <w:r w:rsidR="00D46AA1" w:rsidRPr="00D46AA1">
              <w:rPr>
                <w:rFonts w:ascii="Arial" w:hAnsi="Arial" w:cs="Arial"/>
                <w:lang w:val="mk-MK"/>
              </w:rPr>
              <w:t>amount</w:t>
            </w:r>
            <w:proofErr w:type="spellEnd"/>
          </w:p>
        </w:tc>
        <w:tc>
          <w:tcPr>
            <w:tcW w:w="1007" w:type="pct"/>
            <w:tcBorders>
              <w:top w:val="nil"/>
              <w:left w:val="nil"/>
              <w:bottom w:val="nil"/>
              <w:right w:val="nil"/>
            </w:tcBorders>
            <w:shd w:val="clear" w:color="auto" w:fill="auto"/>
            <w:noWrap/>
            <w:vAlign w:val="bottom"/>
          </w:tcPr>
          <w:p w14:paraId="4631A676" w14:textId="77777777" w:rsidR="008F2213" w:rsidRPr="00CE3053" w:rsidRDefault="008F2213" w:rsidP="008F2213">
            <w:pPr>
              <w:jc w:val="both"/>
              <w:rPr>
                <w:rFonts w:ascii="Arial" w:hAnsi="Arial" w:cs="Arial"/>
                <w:lang w:val="mk-MK"/>
              </w:rPr>
            </w:pPr>
          </w:p>
        </w:tc>
        <w:tc>
          <w:tcPr>
            <w:tcW w:w="655" w:type="pct"/>
            <w:tcBorders>
              <w:top w:val="nil"/>
              <w:left w:val="nil"/>
              <w:bottom w:val="nil"/>
              <w:right w:val="nil"/>
            </w:tcBorders>
            <w:shd w:val="clear" w:color="auto" w:fill="auto"/>
            <w:noWrap/>
            <w:vAlign w:val="bottom"/>
          </w:tcPr>
          <w:p w14:paraId="79CBDA99" w14:textId="77777777" w:rsidR="008F2213" w:rsidRPr="00CE3053" w:rsidRDefault="008F2213" w:rsidP="008F2213">
            <w:pPr>
              <w:jc w:val="both"/>
              <w:rPr>
                <w:rFonts w:ascii="Arial" w:hAnsi="Arial" w:cs="Arial"/>
                <w:lang w:val="mk-MK"/>
              </w:rPr>
            </w:pPr>
          </w:p>
        </w:tc>
      </w:tr>
      <w:tr w:rsidR="008F2213" w:rsidRPr="001E6526" w14:paraId="7022DE1C" w14:textId="77777777" w:rsidTr="00815E65">
        <w:trPr>
          <w:trHeight w:val="216"/>
        </w:trPr>
        <w:tc>
          <w:tcPr>
            <w:tcW w:w="3338" w:type="pct"/>
            <w:tcBorders>
              <w:top w:val="nil"/>
              <w:left w:val="nil"/>
              <w:bottom w:val="nil"/>
              <w:right w:val="nil"/>
            </w:tcBorders>
            <w:shd w:val="clear" w:color="auto" w:fill="auto"/>
            <w:noWrap/>
            <w:vAlign w:val="bottom"/>
          </w:tcPr>
          <w:p w14:paraId="14BC4474" w14:textId="77777777" w:rsidR="008F2213" w:rsidRPr="00CE3053" w:rsidRDefault="008F2213" w:rsidP="008F2213">
            <w:pPr>
              <w:jc w:val="both"/>
              <w:rPr>
                <w:rFonts w:ascii="Arial" w:hAnsi="Arial" w:cs="Arial"/>
                <w:lang w:val="mk-MK"/>
              </w:rPr>
            </w:pPr>
          </w:p>
        </w:tc>
        <w:tc>
          <w:tcPr>
            <w:tcW w:w="1007" w:type="pct"/>
            <w:tcBorders>
              <w:top w:val="nil"/>
              <w:left w:val="nil"/>
              <w:bottom w:val="nil"/>
              <w:right w:val="nil"/>
            </w:tcBorders>
            <w:shd w:val="clear" w:color="auto" w:fill="auto"/>
            <w:noWrap/>
            <w:vAlign w:val="bottom"/>
          </w:tcPr>
          <w:p w14:paraId="159ADF6C" w14:textId="77777777" w:rsidR="008F2213" w:rsidRPr="00CE3053" w:rsidRDefault="008F2213" w:rsidP="008F2213">
            <w:pPr>
              <w:jc w:val="both"/>
              <w:rPr>
                <w:rFonts w:ascii="Arial" w:hAnsi="Arial" w:cs="Arial"/>
                <w:lang w:val="mk-MK"/>
              </w:rPr>
            </w:pPr>
          </w:p>
        </w:tc>
        <w:tc>
          <w:tcPr>
            <w:tcW w:w="655" w:type="pct"/>
            <w:tcBorders>
              <w:top w:val="nil"/>
              <w:left w:val="nil"/>
              <w:bottom w:val="nil"/>
              <w:right w:val="nil"/>
            </w:tcBorders>
            <w:shd w:val="clear" w:color="auto" w:fill="auto"/>
            <w:noWrap/>
            <w:vAlign w:val="bottom"/>
          </w:tcPr>
          <w:p w14:paraId="7179FE6F" w14:textId="77777777" w:rsidR="008F2213" w:rsidRPr="00CE3053" w:rsidRDefault="008F2213" w:rsidP="008F2213">
            <w:pPr>
              <w:jc w:val="both"/>
              <w:rPr>
                <w:rFonts w:ascii="Arial" w:hAnsi="Arial" w:cs="Arial"/>
                <w:lang w:val="mk-MK"/>
              </w:rPr>
            </w:pPr>
          </w:p>
        </w:tc>
      </w:tr>
      <w:tr w:rsidR="008F2213" w:rsidRPr="001E6526" w14:paraId="09B3EF84" w14:textId="77777777" w:rsidTr="00815E65">
        <w:trPr>
          <w:trHeight w:val="216"/>
        </w:trPr>
        <w:tc>
          <w:tcPr>
            <w:tcW w:w="3338" w:type="pct"/>
            <w:tcBorders>
              <w:top w:val="nil"/>
              <w:left w:val="nil"/>
              <w:bottom w:val="nil"/>
              <w:right w:val="nil"/>
            </w:tcBorders>
            <w:shd w:val="clear" w:color="auto" w:fill="auto"/>
            <w:noWrap/>
            <w:vAlign w:val="bottom"/>
          </w:tcPr>
          <w:p w14:paraId="04AFC6B2" w14:textId="7D8D06CD" w:rsidR="008F2213" w:rsidRPr="00CE3053" w:rsidRDefault="00D46AA1" w:rsidP="008F2213">
            <w:pPr>
              <w:spacing w:after="0"/>
              <w:jc w:val="both"/>
              <w:rPr>
                <w:rFonts w:ascii="Arial" w:hAnsi="Arial" w:cs="Arial"/>
                <w:lang w:val="mk-MK"/>
              </w:rPr>
            </w:pPr>
            <w:proofErr w:type="spellStart"/>
            <w:r w:rsidRPr="00D46AA1">
              <w:rPr>
                <w:rFonts w:ascii="Arial" w:hAnsi="Arial" w:cs="Arial"/>
                <w:bCs/>
                <w:lang w:val="mk-MK"/>
              </w:rPr>
              <w:t>Held-to-maturity</w:t>
            </w:r>
            <w:proofErr w:type="spellEnd"/>
            <w:r w:rsidRPr="00D46AA1">
              <w:rPr>
                <w:rFonts w:ascii="Arial" w:hAnsi="Arial" w:cs="Arial"/>
                <w:bCs/>
                <w:lang w:val="mk-MK"/>
              </w:rPr>
              <w:t xml:space="preserve"> </w:t>
            </w:r>
            <w:proofErr w:type="spellStart"/>
            <w:r w:rsidRPr="00D46AA1">
              <w:rPr>
                <w:rFonts w:ascii="Arial" w:hAnsi="Arial" w:cs="Arial"/>
                <w:bCs/>
                <w:lang w:val="mk-MK"/>
              </w:rPr>
              <w:t>investments</w:t>
            </w:r>
            <w:proofErr w:type="spellEnd"/>
          </w:p>
        </w:tc>
        <w:tc>
          <w:tcPr>
            <w:tcW w:w="1007" w:type="pct"/>
            <w:tcBorders>
              <w:top w:val="nil"/>
              <w:left w:val="nil"/>
              <w:bottom w:val="nil"/>
              <w:right w:val="nil"/>
            </w:tcBorders>
            <w:shd w:val="clear" w:color="auto" w:fill="auto"/>
            <w:noWrap/>
            <w:vAlign w:val="bottom"/>
          </w:tcPr>
          <w:p w14:paraId="66664B24" w14:textId="67292199" w:rsidR="008F2213" w:rsidRPr="00CE3053" w:rsidRDefault="008F2213" w:rsidP="008F2213">
            <w:pPr>
              <w:spacing w:after="0"/>
              <w:jc w:val="right"/>
              <w:rPr>
                <w:rFonts w:ascii="Arial" w:hAnsi="Arial" w:cs="Arial"/>
                <w:color w:val="000000"/>
                <w:lang w:val="mk-MK"/>
              </w:rPr>
            </w:pPr>
            <w:r w:rsidRPr="00CE3053">
              <w:rPr>
                <w:rFonts w:ascii="Arial" w:hAnsi="Arial" w:cs="Arial"/>
                <w:color w:val="000000"/>
                <w:lang w:val="mk-MK"/>
              </w:rPr>
              <w:t>14</w:t>
            </w:r>
            <w:r w:rsidR="006A13C7" w:rsidRPr="00CE3053">
              <w:rPr>
                <w:rFonts w:ascii="Arial" w:hAnsi="Arial" w:cs="Arial"/>
                <w:color w:val="000000"/>
                <w:lang w:val="mk-MK"/>
              </w:rPr>
              <w:t>,</w:t>
            </w:r>
            <w:r w:rsidRPr="00CE3053">
              <w:rPr>
                <w:rFonts w:ascii="Arial" w:hAnsi="Arial" w:cs="Arial"/>
                <w:color w:val="000000"/>
                <w:lang w:val="mk-MK"/>
              </w:rPr>
              <w:t>730</w:t>
            </w:r>
            <w:r w:rsidR="006A13C7" w:rsidRPr="00CE3053">
              <w:rPr>
                <w:rFonts w:ascii="Arial" w:hAnsi="Arial" w:cs="Arial"/>
                <w:color w:val="000000"/>
                <w:lang w:val="mk-MK"/>
              </w:rPr>
              <w:t>,</w:t>
            </w:r>
            <w:r w:rsidRPr="00CE3053">
              <w:rPr>
                <w:rFonts w:ascii="Arial" w:hAnsi="Arial" w:cs="Arial"/>
                <w:color w:val="000000"/>
                <w:lang w:val="mk-MK"/>
              </w:rPr>
              <w:t>822</w:t>
            </w:r>
          </w:p>
        </w:tc>
        <w:tc>
          <w:tcPr>
            <w:tcW w:w="655" w:type="pct"/>
            <w:tcBorders>
              <w:top w:val="nil"/>
              <w:left w:val="nil"/>
              <w:bottom w:val="nil"/>
              <w:right w:val="nil"/>
            </w:tcBorders>
            <w:shd w:val="clear" w:color="auto" w:fill="auto"/>
            <w:noWrap/>
            <w:vAlign w:val="bottom"/>
          </w:tcPr>
          <w:p w14:paraId="7D5D91EB" w14:textId="1A95AA17" w:rsidR="008F2213" w:rsidRPr="00CE3053" w:rsidRDefault="008F2213" w:rsidP="008F2213">
            <w:pPr>
              <w:spacing w:after="0"/>
              <w:jc w:val="right"/>
              <w:rPr>
                <w:rFonts w:ascii="Arial" w:hAnsi="Arial" w:cs="Arial"/>
                <w:color w:val="000000"/>
                <w:lang w:val="mk-MK"/>
              </w:rPr>
            </w:pPr>
            <w:r w:rsidRPr="001E6526">
              <w:rPr>
                <w:rFonts w:ascii="Arial" w:hAnsi="Arial" w:cs="Arial"/>
                <w:color w:val="000000"/>
                <w:lang w:val="mk-MK"/>
              </w:rPr>
              <w:t>13,930,548</w:t>
            </w:r>
          </w:p>
        </w:tc>
      </w:tr>
      <w:tr w:rsidR="008F2213" w:rsidRPr="001E6526" w14:paraId="5C1033C9" w14:textId="77777777" w:rsidTr="00815E65">
        <w:trPr>
          <w:trHeight w:val="216"/>
        </w:trPr>
        <w:tc>
          <w:tcPr>
            <w:tcW w:w="3338" w:type="pct"/>
            <w:tcBorders>
              <w:top w:val="nil"/>
              <w:left w:val="nil"/>
              <w:bottom w:val="nil"/>
              <w:right w:val="nil"/>
            </w:tcBorders>
            <w:shd w:val="clear" w:color="auto" w:fill="auto"/>
            <w:noWrap/>
            <w:vAlign w:val="bottom"/>
          </w:tcPr>
          <w:p w14:paraId="56F85A44" w14:textId="01A91FF1" w:rsidR="008F2213" w:rsidRPr="00CE3053" w:rsidRDefault="00D46AA1" w:rsidP="008F2213">
            <w:pPr>
              <w:spacing w:after="0"/>
              <w:jc w:val="both"/>
              <w:rPr>
                <w:rFonts w:ascii="Arial" w:hAnsi="Arial" w:cs="Arial"/>
                <w:lang w:val="mk-MK"/>
              </w:rPr>
            </w:pPr>
            <w:proofErr w:type="spellStart"/>
            <w:r w:rsidRPr="00D46AA1">
              <w:rPr>
                <w:rFonts w:ascii="Arial" w:hAnsi="Arial" w:cs="Arial"/>
                <w:bCs/>
                <w:lang w:val="mk-MK"/>
              </w:rPr>
              <w:t>Cash</w:t>
            </w:r>
            <w:proofErr w:type="spellEnd"/>
            <w:r w:rsidRPr="00D46AA1">
              <w:rPr>
                <w:rFonts w:ascii="Arial" w:hAnsi="Arial" w:cs="Arial"/>
                <w:bCs/>
                <w:lang w:val="mk-MK"/>
              </w:rPr>
              <w:t xml:space="preserve"> </w:t>
            </w:r>
            <w:proofErr w:type="spellStart"/>
            <w:r w:rsidRPr="00D46AA1">
              <w:rPr>
                <w:rFonts w:ascii="Arial" w:hAnsi="Arial" w:cs="Arial"/>
                <w:bCs/>
                <w:lang w:val="mk-MK"/>
              </w:rPr>
              <w:t>and</w:t>
            </w:r>
            <w:proofErr w:type="spellEnd"/>
            <w:r w:rsidRPr="00D46AA1">
              <w:rPr>
                <w:rFonts w:ascii="Arial" w:hAnsi="Arial" w:cs="Arial"/>
                <w:bCs/>
                <w:lang w:val="mk-MK"/>
              </w:rPr>
              <w:t xml:space="preserve"> </w:t>
            </w:r>
            <w:proofErr w:type="spellStart"/>
            <w:r w:rsidRPr="00D46AA1">
              <w:rPr>
                <w:rFonts w:ascii="Arial" w:hAnsi="Arial" w:cs="Arial"/>
                <w:bCs/>
                <w:lang w:val="mk-MK"/>
              </w:rPr>
              <w:t>cash</w:t>
            </w:r>
            <w:proofErr w:type="spellEnd"/>
            <w:r w:rsidRPr="00D46AA1">
              <w:rPr>
                <w:rFonts w:ascii="Arial" w:hAnsi="Arial" w:cs="Arial"/>
                <w:bCs/>
                <w:lang w:val="mk-MK"/>
              </w:rPr>
              <w:t xml:space="preserve"> </w:t>
            </w:r>
            <w:proofErr w:type="spellStart"/>
            <w:r w:rsidRPr="00D46AA1">
              <w:rPr>
                <w:rFonts w:ascii="Arial" w:hAnsi="Arial" w:cs="Arial"/>
                <w:bCs/>
                <w:lang w:val="mk-MK"/>
              </w:rPr>
              <w:t>equivalents</w:t>
            </w:r>
            <w:proofErr w:type="spellEnd"/>
          </w:p>
        </w:tc>
        <w:tc>
          <w:tcPr>
            <w:tcW w:w="1007" w:type="pct"/>
            <w:tcBorders>
              <w:top w:val="nil"/>
              <w:left w:val="nil"/>
              <w:bottom w:val="nil"/>
              <w:right w:val="nil"/>
            </w:tcBorders>
            <w:shd w:val="clear" w:color="auto" w:fill="auto"/>
            <w:noWrap/>
            <w:vAlign w:val="bottom"/>
          </w:tcPr>
          <w:p w14:paraId="10ABCF34" w14:textId="2FFACCD0" w:rsidR="008F2213" w:rsidRPr="00CE3053" w:rsidRDefault="008F2213" w:rsidP="008F2213">
            <w:pPr>
              <w:spacing w:after="0"/>
              <w:jc w:val="right"/>
              <w:rPr>
                <w:rFonts w:ascii="Arial" w:hAnsi="Arial" w:cs="Arial"/>
                <w:color w:val="000000"/>
                <w:lang w:val="mk-MK"/>
              </w:rPr>
            </w:pPr>
            <w:r w:rsidRPr="00CE3053">
              <w:rPr>
                <w:rFonts w:ascii="Arial" w:hAnsi="Arial" w:cs="Arial"/>
                <w:color w:val="000000"/>
                <w:lang w:val="mk-MK"/>
              </w:rPr>
              <w:t>485</w:t>
            </w:r>
            <w:r w:rsidR="006A13C7" w:rsidRPr="00CE3053">
              <w:rPr>
                <w:rFonts w:ascii="Arial" w:hAnsi="Arial" w:cs="Arial"/>
                <w:color w:val="000000"/>
                <w:lang w:val="mk-MK"/>
              </w:rPr>
              <w:t>,</w:t>
            </w:r>
            <w:r w:rsidRPr="00CE3053">
              <w:rPr>
                <w:rFonts w:ascii="Arial" w:hAnsi="Arial" w:cs="Arial"/>
                <w:color w:val="000000"/>
                <w:lang w:val="mk-MK"/>
              </w:rPr>
              <w:t>056</w:t>
            </w:r>
          </w:p>
        </w:tc>
        <w:tc>
          <w:tcPr>
            <w:tcW w:w="655" w:type="pct"/>
            <w:tcBorders>
              <w:top w:val="nil"/>
              <w:left w:val="nil"/>
              <w:bottom w:val="nil"/>
              <w:right w:val="nil"/>
            </w:tcBorders>
            <w:shd w:val="clear" w:color="auto" w:fill="auto"/>
            <w:noWrap/>
            <w:vAlign w:val="bottom"/>
          </w:tcPr>
          <w:p w14:paraId="2A38B1F8" w14:textId="0B0816FC" w:rsidR="008F2213" w:rsidRPr="00CE3053" w:rsidRDefault="008F2213" w:rsidP="008F2213">
            <w:pPr>
              <w:spacing w:after="0"/>
              <w:jc w:val="right"/>
              <w:rPr>
                <w:rFonts w:ascii="Arial" w:hAnsi="Arial" w:cs="Arial"/>
                <w:color w:val="000000"/>
                <w:lang w:val="mk-MK"/>
              </w:rPr>
            </w:pPr>
            <w:r w:rsidRPr="001E6526">
              <w:rPr>
                <w:rFonts w:ascii="Arial" w:hAnsi="Arial" w:cs="Arial"/>
                <w:color w:val="000000"/>
                <w:lang w:val="mk-MK"/>
              </w:rPr>
              <w:t>678,377</w:t>
            </w:r>
          </w:p>
        </w:tc>
      </w:tr>
      <w:tr w:rsidR="008F2213" w:rsidRPr="001E6526" w14:paraId="452F4848" w14:textId="77777777" w:rsidTr="00815E65">
        <w:trPr>
          <w:trHeight w:val="216"/>
        </w:trPr>
        <w:tc>
          <w:tcPr>
            <w:tcW w:w="3338" w:type="pct"/>
            <w:tcBorders>
              <w:top w:val="nil"/>
              <w:left w:val="nil"/>
              <w:bottom w:val="nil"/>
              <w:right w:val="nil"/>
            </w:tcBorders>
            <w:shd w:val="clear" w:color="auto" w:fill="auto"/>
            <w:noWrap/>
            <w:vAlign w:val="bottom"/>
          </w:tcPr>
          <w:p w14:paraId="749F84CD" w14:textId="7F225B35" w:rsidR="008F2213" w:rsidRPr="001E6526" w:rsidRDefault="00D46AA1" w:rsidP="008F2213">
            <w:pPr>
              <w:spacing w:after="0"/>
              <w:jc w:val="both"/>
              <w:rPr>
                <w:rFonts w:ascii="Arial" w:hAnsi="Arial" w:cs="Arial"/>
                <w:bCs/>
                <w:lang w:val="mk-MK"/>
              </w:rPr>
            </w:pPr>
            <w:proofErr w:type="spellStart"/>
            <w:r w:rsidRPr="00D46AA1">
              <w:rPr>
                <w:rFonts w:ascii="Arial" w:hAnsi="Arial" w:cs="Arial"/>
                <w:bCs/>
                <w:lang w:val="mk-MK"/>
              </w:rPr>
              <w:t>Receivables</w:t>
            </w:r>
            <w:proofErr w:type="spellEnd"/>
            <w:r w:rsidRPr="00D46AA1">
              <w:rPr>
                <w:rFonts w:ascii="Arial" w:hAnsi="Arial" w:cs="Arial"/>
                <w:bCs/>
                <w:lang w:val="mk-MK"/>
              </w:rPr>
              <w:t xml:space="preserve"> </w:t>
            </w:r>
            <w:proofErr w:type="spellStart"/>
            <w:r w:rsidRPr="00D46AA1">
              <w:rPr>
                <w:rFonts w:ascii="Arial" w:hAnsi="Arial" w:cs="Arial"/>
                <w:bCs/>
                <w:lang w:val="mk-MK"/>
              </w:rPr>
              <w:t>for</w:t>
            </w:r>
            <w:proofErr w:type="spellEnd"/>
            <w:r w:rsidRPr="00D46AA1">
              <w:rPr>
                <w:rFonts w:ascii="Arial" w:hAnsi="Arial" w:cs="Arial"/>
                <w:bCs/>
                <w:lang w:val="mk-MK"/>
              </w:rPr>
              <w:t xml:space="preserve"> </w:t>
            </w:r>
            <w:proofErr w:type="spellStart"/>
            <w:r w:rsidRPr="00D46AA1">
              <w:rPr>
                <w:rFonts w:ascii="Arial" w:hAnsi="Arial" w:cs="Arial"/>
                <w:bCs/>
                <w:lang w:val="mk-MK"/>
              </w:rPr>
              <w:t>insurance</w:t>
            </w:r>
            <w:proofErr w:type="spellEnd"/>
            <w:r w:rsidRPr="00D46AA1">
              <w:rPr>
                <w:rFonts w:ascii="Arial" w:hAnsi="Arial" w:cs="Arial"/>
                <w:bCs/>
                <w:lang w:val="mk-MK"/>
              </w:rPr>
              <w:t xml:space="preserve"> </w:t>
            </w:r>
            <w:proofErr w:type="spellStart"/>
            <w:r w:rsidRPr="00D46AA1">
              <w:rPr>
                <w:rFonts w:ascii="Arial" w:hAnsi="Arial" w:cs="Arial"/>
                <w:bCs/>
                <w:lang w:val="mk-MK"/>
              </w:rPr>
              <w:t>premium</w:t>
            </w:r>
            <w:proofErr w:type="spellEnd"/>
          </w:p>
        </w:tc>
        <w:tc>
          <w:tcPr>
            <w:tcW w:w="1007" w:type="pct"/>
            <w:tcBorders>
              <w:top w:val="nil"/>
              <w:left w:val="nil"/>
              <w:bottom w:val="nil"/>
              <w:right w:val="nil"/>
            </w:tcBorders>
            <w:shd w:val="clear" w:color="auto" w:fill="auto"/>
            <w:noWrap/>
            <w:vAlign w:val="bottom"/>
          </w:tcPr>
          <w:p w14:paraId="26B6A40F" w14:textId="14A381C9" w:rsidR="008F2213" w:rsidRPr="00CE3053" w:rsidRDefault="008F2213" w:rsidP="008F2213">
            <w:pPr>
              <w:spacing w:after="0"/>
              <w:jc w:val="right"/>
              <w:rPr>
                <w:rFonts w:ascii="Arial" w:hAnsi="Arial" w:cs="Arial"/>
                <w:color w:val="000000"/>
                <w:lang w:val="mk-MK"/>
              </w:rPr>
            </w:pPr>
            <w:r w:rsidRPr="00CE3053">
              <w:rPr>
                <w:rFonts w:ascii="Arial" w:hAnsi="Arial" w:cs="Arial"/>
                <w:color w:val="000000"/>
                <w:lang w:val="mk-MK"/>
              </w:rPr>
              <w:t>-</w:t>
            </w:r>
          </w:p>
        </w:tc>
        <w:tc>
          <w:tcPr>
            <w:tcW w:w="655" w:type="pct"/>
            <w:tcBorders>
              <w:top w:val="nil"/>
              <w:left w:val="nil"/>
              <w:bottom w:val="nil"/>
              <w:right w:val="nil"/>
            </w:tcBorders>
            <w:shd w:val="clear" w:color="auto" w:fill="auto"/>
            <w:noWrap/>
            <w:vAlign w:val="bottom"/>
          </w:tcPr>
          <w:p w14:paraId="47C0A964" w14:textId="04904545" w:rsidR="008F2213" w:rsidRPr="001E6526" w:rsidRDefault="008F2213" w:rsidP="008F2213">
            <w:pPr>
              <w:spacing w:after="0"/>
              <w:jc w:val="right"/>
              <w:rPr>
                <w:rFonts w:ascii="Arial" w:hAnsi="Arial" w:cs="Arial"/>
                <w:color w:val="000000"/>
                <w:lang w:val="mk-MK"/>
              </w:rPr>
            </w:pPr>
            <w:r w:rsidRPr="001E6526">
              <w:rPr>
                <w:rFonts w:ascii="Arial" w:hAnsi="Arial" w:cs="Arial"/>
                <w:color w:val="000000"/>
                <w:lang w:val="mk-MK"/>
              </w:rPr>
              <w:t>11.596</w:t>
            </w:r>
          </w:p>
        </w:tc>
      </w:tr>
      <w:tr w:rsidR="008F2213" w:rsidRPr="001E6526" w14:paraId="391F592A" w14:textId="77777777" w:rsidTr="00815E65">
        <w:trPr>
          <w:trHeight w:val="216"/>
        </w:trPr>
        <w:tc>
          <w:tcPr>
            <w:tcW w:w="3338" w:type="pct"/>
            <w:tcBorders>
              <w:top w:val="single" w:sz="4" w:space="0" w:color="auto"/>
              <w:left w:val="nil"/>
              <w:bottom w:val="double" w:sz="4" w:space="0" w:color="auto"/>
              <w:right w:val="nil"/>
            </w:tcBorders>
            <w:shd w:val="clear" w:color="auto" w:fill="auto"/>
            <w:noWrap/>
            <w:vAlign w:val="bottom"/>
          </w:tcPr>
          <w:p w14:paraId="39AB0C71" w14:textId="77777777" w:rsidR="008F2213" w:rsidRPr="00CE3053" w:rsidRDefault="008F2213" w:rsidP="008F2213">
            <w:pPr>
              <w:spacing w:after="0"/>
              <w:jc w:val="both"/>
              <w:rPr>
                <w:rFonts w:ascii="Arial" w:hAnsi="Arial" w:cs="Arial"/>
                <w:b/>
                <w:lang w:val="mk-MK"/>
              </w:rPr>
            </w:pPr>
          </w:p>
        </w:tc>
        <w:tc>
          <w:tcPr>
            <w:tcW w:w="1007" w:type="pct"/>
            <w:tcBorders>
              <w:top w:val="single" w:sz="4" w:space="0" w:color="auto"/>
              <w:left w:val="nil"/>
              <w:bottom w:val="double" w:sz="4" w:space="0" w:color="auto"/>
              <w:right w:val="nil"/>
            </w:tcBorders>
            <w:shd w:val="clear" w:color="auto" w:fill="auto"/>
            <w:noWrap/>
            <w:vAlign w:val="bottom"/>
          </w:tcPr>
          <w:p w14:paraId="72091A79" w14:textId="2E78A900" w:rsidR="008F2213" w:rsidRPr="00CE3053" w:rsidRDefault="008F2213" w:rsidP="008F2213">
            <w:pPr>
              <w:spacing w:after="0"/>
              <w:jc w:val="right"/>
              <w:rPr>
                <w:rFonts w:ascii="Arial" w:hAnsi="Arial" w:cs="Arial"/>
                <w:b/>
                <w:lang w:val="mk-MK"/>
              </w:rPr>
            </w:pPr>
            <w:r w:rsidRPr="00CE3053">
              <w:rPr>
                <w:rFonts w:ascii="Arial" w:hAnsi="Arial" w:cs="Arial"/>
                <w:b/>
                <w:lang w:val="mk-MK"/>
              </w:rPr>
              <w:t>15,215</w:t>
            </w:r>
            <w:r w:rsidR="00E22987" w:rsidRPr="00CE3053">
              <w:rPr>
                <w:rFonts w:ascii="Arial" w:hAnsi="Arial" w:cs="Arial"/>
                <w:b/>
                <w:lang w:val="mk-MK"/>
              </w:rPr>
              <w:t>,878</w:t>
            </w:r>
          </w:p>
        </w:tc>
        <w:tc>
          <w:tcPr>
            <w:tcW w:w="655" w:type="pct"/>
            <w:tcBorders>
              <w:top w:val="single" w:sz="4" w:space="0" w:color="auto"/>
              <w:left w:val="nil"/>
              <w:bottom w:val="double" w:sz="4" w:space="0" w:color="auto"/>
              <w:right w:val="nil"/>
            </w:tcBorders>
            <w:shd w:val="clear" w:color="auto" w:fill="auto"/>
            <w:noWrap/>
            <w:vAlign w:val="bottom"/>
          </w:tcPr>
          <w:p w14:paraId="62498279" w14:textId="73E19C9D" w:rsidR="008F2213" w:rsidRPr="00CE3053" w:rsidRDefault="008F2213" w:rsidP="008F2213">
            <w:pPr>
              <w:spacing w:after="0"/>
              <w:jc w:val="right"/>
              <w:rPr>
                <w:rFonts w:ascii="Arial" w:hAnsi="Arial" w:cs="Arial"/>
                <w:b/>
                <w:lang w:val="mk-MK"/>
              </w:rPr>
            </w:pPr>
            <w:r w:rsidRPr="001E6526">
              <w:rPr>
                <w:rFonts w:ascii="Arial" w:hAnsi="Arial" w:cs="Arial"/>
                <w:b/>
                <w:lang w:val="mk-MK"/>
              </w:rPr>
              <w:t>14,620,521</w:t>
            </w:r>
          </w:p>
        </w:tc>
      </w:tr>
    </w:tbl>
    <w:p w14:paraId="4956C78B" w14:textId="77777777" w:rsidR="005F248E" w:rsidRPr="005F248E" w:rsidRDefault="005F248E" w:rsidP="005F248E">
      <w:pPr>
        <w:pStyle w:val="NumberedHeading2"/>
        <w:numPr>
          <w:ilvl w:val="0"/>
          <w:numId w:val="0"/>
        </w:numPr>
        <w:spacing w:before="0" w:after="0" w:line="260" w:lineRule="atLeast"/>
        <w:ind w:left="360"/>
        <w:jc w:val="both"/>
        <w:rPr>
          <w:rFonts w:ascii="Arial" w:hAnsi="Arial" w:cs="Arial"/>
          <w:b/>
          <w:color w:val="4F2D7F"/>
          <w:sz w:val="18"/>
          <w:szCs w:val="18"/>
          <w:lang w:val="mk-MK"/>
        </w:rPr>
      </w:pPr>
    </w:p>
    <w:p w14:paraId="51A8884B" w14:textId="06280BBB" w:rsidR="00815E65" w:rsidRPr="00CE3053" w:rsidRDefault="005A61D0" w:rsidP="0061511C">
      <w:pPr>
        <w:pStyle w:val="NumberedHeading2"/>
        <w:numPr>
          <w:ilvl w:val="1"/>
          <w:numId w:val="22"/>
        </w:numPr>
        <w:spacing w:before="0" w:after="0" w:line="260" w:lineRule="atLeast"/>
        <w:jc w:val="both"/>
        <w:rPr>
          <w:rFonts w:ascii="Arial" w:hAnsi="Arial" w:cs="Arial"/>
          <w:b/>
          <w:color w:val="4F2D7F"/>
          <w:sz w:val="18"/>
          <w:szCs w:val="18"/>
          <w:lang w:val="mk-MK"/>
        </w:rPr>
      </w:pPr>
      <w:r>
        <w:rPr>
          <w:rFonts w:ascii="Arial" w:hAnsi="Arial" w:cs="Arial"/>
          <w:b/>
          <w:color w:val="4F2D7F"/>
          <w:sz w:val="18"/>
          <w:szCs w:val="18"/>
          <w:lang w:val="en-US"/>
        </w:rPr>
        <w:t>Market risk</w:t>
      </w:r>
    </w:p>
    <w:p w14:paraId="49817B6A" w14:textId="75802CC0" w:rsidR="00815E65" w:rsidRPr="00CE3053" w:rsidRDefault="005A61D0" w:rsidP="00815E65">
      <w:pPr>
        <w:pStyle w:val="BodyText"/>
        <w:jc w:val="both"/>
        <w:rPr>
          <w:rFonts w:ascii="Arial" w:hAnsi="Arial" w:cs="Arial"/>
          <w:color w:val="FF0000"/>
          <w:lang w:val="mk-MK"/>
        </w:rPr>
      </w:pPr>
      <w:proofErr w:type="spellStart"/>
      <w:r w:rsidRPr="005A61D0">
        <w:rPr>
          <w:rFonts w:ascii="Arial" w:hAnsi="Arial" w:cs="Arial"/>
          <w:lang w:val="mk-MK"/>
        </w:rPr>
        <w:t>Market</w:t>
      </w:r>
      <w:proofErr w:type="spellEnd"/>
      <w:r w:rsidRPr="005A61D0">
        <w:rPr>
          <w:rFonts w:ascii="Arial" w:hAnsi="Arial" w:cs="Arial"/>
          <w:lang w:val="mk-MK"/>
        </w:rPr>
        <w:t xml:space="preserve"> </w:t>
      </w:r>
      <w:proofErr w:type="spellStart"/>
      <w:r w:rsidRPr="005A61D0">
        <w:rPr>
          <w:rFonts w:ascii="Arial" w:hAnsi="Arial" w:cs="Arial"/>
          <w:lang w:val="mk-MK"/>
        </w:rPr>
        <w:t>risk</w:t>
      </w:r>
      <w:proofErr w:type="spellEnd"/>
      <w:r w:rsidRPr="005A61D0">
        <w:rPr>
          <w:rFonts w:ascii="Arial" w:hAnsi="Arial" w:cs="Arial"/>
          <w:lang w:val="mk-MK"/>
        </w:rPr>
        <w:t xml:space="preserve"> </w:t>
      </w:r>
      <w:proofErr w:type="spellStart"/>
      <w:r w:rsidRPr="005A61D0">
        <w:rPr>
          <w:rFonts w:ascii="Arial" w:hAnsi="Arial" w:cs="Arial"/>
          <w:lang w:val="mk-MK"/>
        </w:rPr>
        <w:t>consists</w:t>
      </w:r>
      <w:proofErr w:type="spellEnd"/>
      <w:r w:rsidRPr="005A61D0">
        <w:rPr>
          <w:rFonts w:ascii="Arial" w:hAnsi="Arial" w:cs="Arial"/>
          <w:lang w:val="mk-MK"/>
        </w:rPr>
        <w:t xml:space="preserve"> </w:t>
      </w:r>
      <w:proofErr w:type="spellStart"/>
      <w:r w:rsidRPr="005A61D0">
        <w:rPr>
          <w:rFonts w:ascii="Arial" w:hAnsi="Arial" w:cs="Arial"/>
          <w:lang w:val="mk-MK"/>
        </w:rPr>
        <w:t>of</w:t>
      </w:r>
      <w:proofErr w:type="spellEnd"/>
      <w:r w:rsidRPr="005A61D0">
        <w:rPr>
          <w:rFonts w:ascii="Arial" w:hAnsi="Arial" w:cs="Arial"/>
          <w:lang w:val="mk-MK"/>
        </w:rPr>
        <w:t xml:space="preserve"> </w:t>
      </w:r>
      <w:proofErr w:type="spellStart"/>
      <w:r w:rsidRPr="005A61D0">
        <w:rPr>
          <w:rFonts w:ascii="Arial" w:hAnsi="Arial" w:cs="Arial"/>
          <w:lang w:val="mk-MK"/>
        </w:rPr>
        <w:t>foreign</w:t>
      </w:r>
      <w:proofErr w:type="spellEnd"/>
      <w:r w:rsidRPr="005A61D0">
        <w:rPr>
          <w:rFonts w:ascii="Arial" w:hAnsi="Arial" w:cs="Arial"/>
          <w:lang w:val="mk-MK"/>
        </w:rPr>
        <w:t xml:space="preserve"> </w:t>
      </w:r>
      <w:proofErr w:type="spellStart"/>
      <w:r w:rsidRPr="005A61D0">
        <w:rPr>
          <w:rFonts w:ascii="Arial" w:hAnsi="Arial" w:cs="Arial"/>
          <w:lang w:val="mk-MK"/>
        </w:rPr>
        <w:t>currency</w:t>
      </w:r>
      <w:proofErr w:type="spellEnd"/>
      <w:r w:rsidRPr="005A61D0">
        <w:rPr>
          <w:rFonts w:ascii="Arial" w:hAnsi="Arial" w:cs="Arial"/>
          <w:lang w:val="mk-MK"/>
        </w:rPr>
        <w:t xml:space="preserve"> </w:t>
      </w:r>
      <w:proofErr w:type="spellStart"/>
      <w:r w:rsidRPr="005A61D0">
        <w:rPr>
          <w:rFonts w:ascii="Arial" w:hAnsi="Arial" w:cs="Arial"/>
          <w:lang w:val="mk-MK"/>
        </w:rPr>
        <w:t>and</w:t>
      </w:r>
      <w:proofErr w:type="spellEnd"/>
      <w:r w:rsidRPr="005A61D0">
        <w:rPr>
          <w:rFonts w:ascii="Arial" w:hAnsi="Arial" w:cs="Arial"/>
          <w:lang w:val="mk-MK"/>
        </w:rPr>
        <w:t xml:space="preserve"> </w:t>
      </w:r>
      <w:proofErr w:type="spellStart"/>
      <w:r w:rsidRPr="005A61D0">
        <w:rPr>
          <w:rFonts w:ascii="Arial" w:hAnsi="Arial" w:cs="Arial"/>
          <w:lang w:val="mk-MK"/>
        </w:rPr>
        <w:t>interest</w:t>
      </w:r>
      <w:proofErr w:type="spellEnd"/>
      <w:r w:rsidRPr="005A61D0">
        <w:rPr>
          <w:rFonts w:ascii="Arial" w:hAnsi="Arial" w:cs="Arial"/>
          <w:lang w:val="mk-MK"/>
        </w:rPr>
        <w:t xml:space="preserve"> </w:t>
      </w:r>
      <w:proofErr w:type="spellStart"/>
      <w:r w:rsidRPr="005A61D0">
        <w:rPr>
          <w:rFonts w:ascii="Arial" w:hAnsi="Arial" w:cs="Arial"/>
          <w:lang w:val="mk-MK"/>
        </w:rPr>
        <w:t>rate</w:t>
      </w:r>
      <w:proofErr w:type="spellEnd"/>
      <w:r w:rsidRPr="005A61D0">
        <w:rPr>
          <w:rFonts w:ascii="Arial" w:hAnsi="Arial" w:cs="Arial"/>
          <w:lang w:val="mk-MK"/>
        </w:rPr>
        <w:t xml:space="preserve"> </w:t>
      </w:r>
      <w:proofErr w:type="spellStart"/>
      <w:r w:rsidRPr="005A61D0">
        <w:rPr>
          <w:rFonts w:ascii="Arial" w:hAnsi="Arial" w:cs="Arial"/>
          <w:lang w:val="mk-MK"/>
        </w:rPr>
        <w:t>risk</w:t>
      </w:r>
      <w:proofErr w:type="spellEnd"/>
      <w:r w:rsidRPr="005A61D0">
        <w:rPr>
          <w:rFonts w:ascii="Arial" w:hAnsi="Arial" w:cs="Arial"/>
          <w:lang w:val="mk-MK"/>
        </w:rPr>
        <w:t>.</w:t>
      </w:r>
    </w:p>
    <w:p w14:paraId="07686701" w14:textId="33177ADB" w:rsidR="00815E65" w:rsidRPr="00C21C3A" w:rsidRDefault="00C21C3A" w:rsidP="00815E65">
      <w:pPr>
        <w:pStyle w:val="Heading4"/>
        <w:jc w:val="both"/>
        <w:rPr>
          <w:rFonts w:ascii="Arial" w:hAnsi="Arial" w:cs="Arial"/>
          <w:lang w:val="en-US"/>
        </w:rPr>
      </w:pPr>
      <w:r>
        <w:rPr>
          <w:rFonts w:ascii="Arial" w:hAnsi="Arial" w:cs="Arial"/>
          <w:lang w:val="en-US"/>
        </w:rPr>
        <w:t>Foreign currency risk</w:t>
      </w:r>
    </w:p>
    <w:p w14:paraId="4B444E81" w14:textId="46986562" w:rsidR="00815E65" w:rsidRPr="00CE3053" w:rsidRDefault="00C21C3A" w:rsidP="00815E65">
      <w:pPr>
        <w:pStyle w:val="BodyText"/>
        <w:jc w:val="both"/>
        <w:rPr>
          <w:rFonts w:ascii="Arial" w:hAnsi="Arial" w:cs="Arial"/>
          <w:lang w:val="mk-MK"/>
        </w:rPr>
      </w:pPr>
      <w:r>
        <w:rPr>
          <w:rFonts w:ascii="Arial" w:hAnsi="Arial" w:cs="Arial"/>
          <w:lang w:val="en-US"/>
        </w:rPr>
        <w:t>As of</w:t>
      </w:r>
      <w:r w:rsidR="00815E65" w:rsidRPr="00CE3053">
        <w:rPr>
          <w:rFonts w:ascii="Arial" w:hAnsi="Arial" w:cs="Arial"/>
          <w:lang w:val="mk-MK"/>
        </w:rPr>
        <w:t xml:space="preserve"> </w:t>
      </w:r>
      <w:proofErr w:type="gramStart"/>
      <w:r w:rsidR="00815E65" w:rsidRPr="00CE3053">
        <w:rPr>
          <w:rFonts w:ascii="Arial" w:hAnsi="Arial" w:cs="Arial"/>
          <w:lang w:val="mk-MK"/>
        </w:rPr>
        <w:t xml:space="preserve">31 </w:t>
      </w:r>
      <w:r>
        <w:rPr>
          <w:rFonts w:ascii="Arial" w:hAnsi="Arial" w:cs="Arial"/>
          <w:lang w:val="en-US"/>
        </w:rPr>
        <w:t>December</w:t>
      </w:r>
      <w:r w:rsidR="006A2587">
        <w:rPr>
          <w:rFonts w:ascii="Arial" w:hAnsi="Arial" w:cs="Arial"/>
          <w:lang w:val="mk-MK"/>
        </w:rPr>
        <w:t xml:space="preserve"> </w:t>
      </w:r>
      <w:r w:rsidR="00815E65" w:rsidRPr="00CE3053">
        <w:rPr>
          <w:rFonts w:ascii="Arial" w:hAnsi="Arial" w:cs="Arial"/>
          <w:lang w:val="mk-MK"/>
        </w:rPr>
        <w:t>202</w:t>
      </w:r>
      <w:r w:rsidR="00E22987" w:rsidRPr="00CE3053">
        <w:rPr>
          <w:rFonts w:ascii="Arial" w:hAnsi="Arial" w:cs="Arial"/>
          <w:lang w:val="mk-MK"/>
        </w:rPr>
        <w:t>1</w:t>
      </w:r>
      <w:proofErr w:type="gramEnd"/>
      <w:r w:rsidR="00815E65" w:rsidRPr="00CE3053">
        <w:rPr>
          <w:rFonts w:ascii="Arial" w:hAnsi="Arial" w:cs="Arial"/>
          <w:lang w:val="mk-MK"/>
        </w:rPr>
        <w:t xml:space="preserve"> </w:t>
      </w:r>
      <w:r>
        <w:rPr>
          <w:rFonts w:ascii="Arial" w:hAnsi="Arial" w:cs="Arial"/>
          <w:lang w:val="en-US"/>
        </w:rPr>
        <w:t>and</w:t>
      </w:r>
      <w:r w:rsidR="00815E65" w:rsidRPr="00CE3053">
        <w:rPr>
          <w:rFonts w:ascii="Arial" w:hAnsi="Arial" w:cs="Arial"/>
          <w:lang w:val="mk-MK"/>
        </w:rPr>
        <w:t xml:space="preserve"> 20</w:t>
      </w:r>
      <w:r w:rsidR="00E22987" w:rsidRPr="00CE3053">
        <w:rPr>
          <w:rFonts w:ascii="Arial" w:hAnsi="Arial" w:cs="Arial"/>
          <w:lang w:val="mk-MK"/>
        </w:rPr>
        <w:t>20</w:t>
      </w:r>
      <w:r>
        <w:rPr>
          <w:rFonts w:ascii="Arial" w:hAnsi="Arial" w:cs="Arial"/>
          <w:lang w:val="en-US"/>
        </w:rPr>
        <w:t xml:space="preserve">, </w:t>
      </w:r>
      <w:proofErr w:type="spellStart"/>
      <w:r w:rsidRPr="00C21C3A">
        <w:rPr>
          <w:rFonts w:ascii="Arial" w:hAnsi="Arial" w:cs="Arial"/>
          <w:lang w:val="mk-MK"/>
        </w:rPr>
        <w:t>the</w:t>
      </w:r>
      <w:proofErr w:type="spellEnd"/>
      <w:r w:rsidRPr="00C21C3A">
        <w:rPr>
          <w:rFonts w:ascii="Arial" w:hAnsi="Arial" w:cs="Arial"/>
          <w:lang w:val="mk-MK"/>
        </w:rPr>
        <w:t xml:space="preserve"> </w:t>
      </w:r>
      <w:proofErr w:type="spellStart"/>
      <w:r w:rsidRPr="00C21C3A">
        <w:rPr>
          <w:rFonts w:ascii="Arial" w:hAnsi="Arial" w:cs="Arial"/>
          <w:lang w:val="mk-MK"/>
        </w:rPr>
        <w:t>Fund</w:t>
      </w:r>
      <w:proofErr w:type="spellEnd"/>
      <w:r w:rsidRPr="00C21C3A">
        <w:rPr>
          <w:rFonts w:ascii="Arial" w:hAnsi="Arial" w:cs="Arial"/>
          <w:lang w:val="mk-MK"/>
        </w:rPr>
        <w:t xml:space="preserve"> </w:t>
      </w:r>
      <w:proofErr w:type="spellStart"/>
      <w:r w:rsidRPr="00C21C3A">
        <w:rPr>
          <w:rFonts w:ascii="Arial" w:hAnsi="Arial" w:cs="Arial"/>
          <w:lang w:val="mk-MK"/>
        </w:rPr>
        <w:t>is</w:t>
      </w:r>
      <w:proofErr w:type="spellEnd"/>
      <w:r w:rsidRPr="00C21C3A">
        <w:rPr>
          <w:rFonts w:ascii="Arial" w:hAnsi="Arial" w:cs="Arial"/>
          <w:lang w:val="mk-MK"/>
        </w:rPr>
        <w:t xml:space="preserve"> </w:t>
      </w:r>
      <w:proofErr w:type="spellStart"/>
      <w:r w:rsidRPr="00C21C3A">
        <w:rPr>
          <w:rFonts w:ascii="Arial" w:hAnsi="Arial" w:cs="Arial"/>
          <w:lang w:val="mk-MK"/>
        </w:rPr>
        <w:t>not</w:t>
      </w:r>
      <w:proofErr w:type="spellEnd"/>
      <w:r w:rsidRPr="00C21C3A">
        <w:rPr>
          <w:rFonts w:ascii="Arial" w:hAnsi="Arial" w:cs="Arial"/>
          <w:lang w:val="mk-MK"/>
        </w:rPr>
        <w:t xml:space="preserve"> </w:t>
      </w:r>
      <w:proofErr w:type="spellStart"/>
      <w:r w:rsidRPr="00C21C3A">
        <w:rPr>
          <w:rFonts w:ascii="Arial" w:hAnsi="Arial" w:cs="Arial"/>
          <w:lang w:val="mk-MK"/>
        </w:rPr>
        <w:t>exposed</w:t>
      </w:r>
      <w:proofErr w:type="spellEnd"/>
      <w:r w:rsidRPr="00C21C3A">
        <w:rPr>
          <w:rFonts w:ascii="Arial" w:hAnsi="Arial" w:cs="Arial"/>
          <w:lang w:val="mk-MK"/>
        </w:rPr>
        <w:t xml:space="preserve"> </w:t>
      </w:r>
      <w:proofErr w:type="spellStart"/>
      <w:r w:rsidRPr="00C21C3A">
        <w:rPr>
          <w:rFonts w:ascii="Arial" w:hAnsi="Arial" w:cs="Arial"/>
          <w:lang w:val="mk-MK"/>
        </w:rPr>
        <w:t>to</w:t>
      </w:r>
      <w:proofErr w:type="spellEnd"/>
      <w:r w:rsidRPr="00C21C3A">
        <w:rPr>
          <w:rFonts w:ascii="Arial" w:hAnsi="Arial" w:cs="Arial"/>
          <w:lang w:val="mk-MK"/>
        </w:rPr>
        <w:t xml:space="preserve"> </w:t>
      </w:r>
      <w:proofErr w:type="spellStart"/>
      <w:r w:rsidRPr="00C21C3A">
        <w:rPr>
          <w:rFonts w:ascii="Arial" w:hAnsi="Arial" w:cs="Arial"/>
          <w:lang w:val="mk-MK"/>
        </w:rPr>
        <w:t>foreign</w:t>
      </w:r>
      <w:proofErr w:type="spellEnd"/>
      <w:r w:rsidRPr="00C21C3A">
        <w:rPr>
          <w:rFonts w:ascii="Arial" w:hAnsi="Arial" w:cs="Arial"/>
          <w:lang w:val="mk-MK"/>
        </w:rPr>
        <w:t xml:space="preserve"> </w:t>
      </w:r>
      <w:proofErr w:type="spellStart"/>
      <w:r w:rsidRPr="00C21C3A">
        <w:rPr>
          <w:rFonts w:ascii="Arial" w:hAnsi="Arial" w:cs="Arial"/>
          <w:lang w:val="mk-MK"/>
        </w:rPr>
        <w:t>currency</w:t>
      </w:r>
      <w:proofErr w:type="spellEnd"/>
      <w:r w:rsidRPr="00C21C3A">
        <w:rPr>
          <w:rFonts w:ascii="Arial" w:hAnsi="Arial" w:cs="Arial"/>
          <w:lang w:val="mk-MK"/>
        </w:rPr>
        <w:t xml:space="preserve"> </w:t>
      </w:r>
      <w:proofErr w:type="spellStart"/>
      <w:r w:rsidRPr="00C21C3A">
        <w:rPr>
          <w:rFonts w:ascii="Arial" w:hAnsi="Arial" w:cs="Arial"/>
          <w:lang w:val="mk-MK"/>
        </w:rPr>
        <w:t>risk</w:t>
      </w:r>
      <w:proofErr w:type="spellEnd"/>
      <w:r w:rsidRPr="00C21C3A">
        <w:rPr>
          <w:rFonts w:ascii="Arial" w:hAnsi="Arial" w:cs="Arial"/>
          <w:lang w:val="mk-MK"/>
        </w:rPr>
        <w:t xml:space="preserve">, </w:t>
      </w:r>
      <w:proofErr w:type="spellStart"/>
      <w:r w:rsidRPr="00C21C3A">
        <w:rPr>
          <w:rFonts w:ascii="Arial" w:hAnsi="Arial" w:cs="Arial"/>
          <w:lang w:val="mk-MK"/>
        </w:rPr>
        <w:t>due</w:t>
      </w:r>
      <w:proofErr w:type="spellEnd"/>
      <w:r w:rsidRPr="00C21C3A">
        <w:rPr>
          <w:rFonts w:ascii="Arial" w:hAnsi="Arial" w:cs="Arial"/>
          <w:lang w:val="mk-MK"/>
        </w:rPr>
        <w:t xml:space="preserve"> </w:t>
      </w:r>
      <w:proofErr w:type="spellStart"/>
      <w:r w:rsidRPr="00C21C3A">
        <w:rPr>
          <w:rFonts w:ascii="Arial" w:hAnsi="Arial" w:cs="Arial"/>
          <w:lang w:val="mk-MK"/>
        </w:rPr>
        <w:t>to</w:t>
      </w:r>
      <w:proofErr w:type="spellEnd"/>
      <w:r w:rsidRPr="00C21C3A">
        <w:rPr>
          <w:rFonts w:ascii="Arial" w:hAnsi="Arial" w:cs="Arial"/>
          <w:lang w:val="mk-MK"/>
        </w:rPr>
        <w:t xml:space="preserve"> </w:t>
      </w:r>
      <w:proofErr w:type="spellStart"/>
      <w:r w:rsidRPr="00C21C3A">
        <w:rPr>
          <w:rFonts w:ascii="Arial" w:hAnsi="Arial" w:cs="Arial"/>
          <w:lang w:val="mk-MK"/>
        </w:rPr>
        <w:t>the</w:t>
      </w:r>
      <w:proofErr w:type="spellEnd"/>
      <w:r w:rsidRPr="00C21C3A">
        <w:rPr>
          <w:rFonts w:ascii="Arial" w:hAnsi="Arial" w:cs="Arial"/>
          <w:lang w:val="mk-MK"/>
        </w:rPr>
        <w:t xml:space="preserve"> </w:t>
      </w:r>
      <w:proofErr w:type="spellStart"/>
      <w:r w:rsidRPr="00C21C3A">
        <w:rPr>
          <w:rFonts w:ascii="Arial" w:hAnsi="Arial" w:cs="Arial"/>
          <w:lang w:val="mk-MK"/>
        </w:rPr>
        <w:t>fact</w:t>
      </w:r>
      <w:proofErr w:type="spellEnd"/>
      <w:r w:rsidRPr="00C21C3A">
        <w:rPr>
          <w:rFonts w:ascii="Arial" w:hAnsi="Arial" w:cs="Arial"/>
          <w:lang w:val="mk-MK"/>
        </w:rPr>
        <w:t xml:space="preserve"> </w:t>
      </w:r>
      <w:proofErr w:type="spellStart"/>
      <w:r w:rsidRPr="00C21C3A">
        <w:rPr>
          <w:rFonts w:ascii="Arial" w:hAnsi="Arial" w:cs="Arial"/>
          <w:lang w:val="mk-MK"/>
        </w:rPr>
        <w:t>that</w:t>
      </w:r>
      <w:proofErr w:type="spellEnd"/>
      <w:r w:rsidRPr="00C21C3A">
        <w:rPr>
          <w:rFonts w:ascii="Arial" w:hAnsi="Arial" w:cs="Arial"/>
          <w:lang w:val="mk-MK"/>
        </w:rPr>
        <w:t xml:space="preserve"> </w:t>
      </w:r>
      <w:proofErr w:type="spellStart"/>
      <w:r w:rsidRPr="00C21C3A">
        <w:rPr>
          <w:rFonts w:ascii="Arial" w:hAnsi="Arial" w:cs="Arial"/>
          <w:lang w:val="mk-MK"/>
        </w:rPr>
        <w:t>financial</w:t>
      </w:r>
      <w:proofErr w:type="spellEnd"/>
      <w:r w:rsidRPr="00C21C3A">
        <w:rPr>
          <w:rFonts w:ascii="Arial" w:hAnsi="Arial" w:cs="Arial"/>
          <w:lang w:val="mk-MK"/>
        </w:rPr>
        <w:t xml:space="preserve"> </w:t>
      </w:r>
      <w:proofErr w:type="spellStart"/>
      <w:r w:rsidRPr="00C21C3A">
        <w:rPr>
          <w:rFonts w:ascii="Arial" w:hAnsi="Arial" w:cs="Arial"/>
          <w:lang w:val="mk-MK"/>
        </w:rPr>
        <w:t>assets</w:t>
      </w:r>
      <w:proofErr w:type="spellEnd"/>
      <w:r w:rsidRPr="00C21C3A">
        <w:rPr>
          <w:rFonts w:ascii="Arial" w:hAnsi="Arial" w:cs="Arial"/>
          <w:lang w:val="mk-MK"/>
        </w:rPr>
        <w:t xml:space="preserve"> </w:t>
      </w:r>
      <w:proofErr w:type="spellStart"/>
      <w:r w:rsidRPr="00C21C3A">
        <w:rPr>
          <w:rFonts w:ascii="Arial" w:hAnsi="Arial" w:cs="Arial"/>
          <w:lang w:val="mk-MK"/>
        </w:rPr>
        <w:t>of</w:t>
      </w:r>
      <w:proofErr w:type="spellEnd"/>
      <w:r w:rsidRPr="00C21C3A">
        <w:rPr>
          <w:rFonts w:ascii="Arial" w:hAnsi="Arial" w:cs="Arial"/>
          <w:lang w:val="mk-MK"/>
        </w:rPr>
        <w:t xml:space="preserve"> </w:t>
      </w:r>
      <w:proofErr w:type="spellStart"/>
      <w:r w:rsidRPr="00C21C3A">
        <w:rPr>
          <w:rFonts w:ascii="Arial" w:hAnsi="Arial" w:cs="Arial"/>
          <w:lang w:val="mk-MK"/>
        </w:rPr>
        <w:t>the</w:t>
      </w:r>
      <w:proofErr w:type="spellEnd"/>
      <w:r w:rsidRPr="00C21C3A">
        <w:rPr>
          <w:rFonts w:ascii="Arial" w:hAnsi="Arial" w:cs="Arial"/>
          <w:lang w:val="mk-MK"/>
        </w:rPr>
        <w:t xml:space="preserve"> Fond </w:t>
      </w:r>
      <w:proofErr w:type="spellStart"/>
      <w:r w:rsidRPr="00C21C3A">
        <w:rPr>
          <w:rFonts w:ascii="Arial" w:hAnsi="Arial" w:cs="Arial"/>
          <w:lang w:val="mk-MK"/>
        </w:rPr>
        <w:t>are</w:t>
      </w:r>
      <w:proofErr w:type="spellEnd"/>
      <w:r w:rsidRPr="00C21C3A">
        <w:rPr>
          <w:rFonts w:ascii="Arial" w:hAnsi="Arial" w:cs="Arial"/>
          <w:lang w:val="mk-MK"/>
        </w:rPr>
        <w:t xml:space="preserve"> </w:t>
      </w:r>
      <w:proofErr w:type="spellStart"/>
      <w:r w:rsidRPr="00C21C3A">
        <w:rPr>
          <w:rFonts w:ascii="Arial" w:hAnsi="Arial" w:cs="Arial"/>
          <w:lang w:val="mk-MK"/>
        </w:rPr>
        <w:t>denominated</w:t>
      </w:r>
      <w:proofErr w:type="spellEnd"/>
      <w:r w:rsidRPr="00C21C3A">
        <w:rPr>
          <w:rFonts w:ascii="Arial" w:hAnsi="Arial" w:cs="Arial"/>
          <w:lang w:val="mk-MK"/>
        </w:rPr>
        <w:t xml:space="preserve"> </w:t>
      </w:r>
      <w:proofErr w:type="spellStart"/>
      <w:r w:rsidRPr="00C21C3A">
        <w:rPr>
          <w:rFonts w:ascii="Arial" w:hAnsi="Arial" w:cs="Arial"/>
          <w:lang w:val="mk-MK"/>
        </w:rPr>
        <w:t>in</w:t>
      </w:r>
      <w:proofErr w:type="spellEnd"/>
      <w:r w:rsidRPr="00C21C3A">
        <w:rPr>
          <w:rFonts w:ascii="Arial" w:hAnsi="Arial" w:cs="Arial"/>
          <w:lang w:val="mk-MK"/>
        </w:rPr>
        <w:t xml:space="preserve"> </w:t>
      </w:r>
      <w:proofErr w:type="spellStart"/>
      <w:r w:rsidRPr="00C21C3A">
        <w:rPr>
          <w:rFonts w:ascii="Arial" w:hAnsi="Arial" w:cs="Arial"/>
          <w:lang w:val="mk-MK"/>
        </w:rPr>
        <w:t>Denars</w:t>
      </w:r>
      <w:proofErr w:type="spellEnd"/>
      <w:r w:rsidRPr="00C21C3A">
        <w:rPr>
          <w:rFonts w:ascii="Arial" w:hAnsi="Arial" w:cs="Arial"/>
          <w:lang w:val="mk-MK"/>
        </w:rPr>
        <w:t>.</w:t>
      </w:r>
    </w:p>
    <w:p w14:paraId="16848D19" w14:textId="0AB3E728" w:rsidR="00815E65" w:rsidRPr="00C21C3A" w:rsidRDefault="00C21C3A" w:rsidP="00815E65">
      <w:pPr>
        <w:pStyle w:val="Heading4"/>
        <w:jc w:val="both"/>
        <w:rPr>
          <w:rFonts w:ascii="Arial" w:hAnsi="Arial" w:cs="Arial"/>
          <w:lang w:val="en-US"/>
        </w:rPr>
      </w:pPr>
      <w:r>
        <w:rPr>
          <w:rFonts w:ascii="Arial" w:hAnsi="Arial" w:cs="Arial"/>
          <w:lang w:val="en-US"/>
        </w:rPr>
        <w:t>Interest rate risk</w:t>
      </w:r>
    </w:p>
    <w:p w14:paraId="7625B093" w14:textId="64191C0E" w:rsidR="00815E65" w:rsidRPr="00CE3053" w:rsidRDefault="004C41CB" w:rsidP="00815E65">
      <w:pPr>
        <w:pStyle w:val="BodyText"/>
        <w:jc w:val="both"/>
        <w:rPr>
          <w:rFonts w:ascii="Arial" w:hAnsi="Arial" w:cs="Arial"/>
          <w:lang w:val="mk-MK"/>
        </w:rPr>
      </w:pPr>
      <w:proofErr w:type="spellStart"/>
      <w:r w:rsidRPr="004C41CB">
        <w:rPr>
          <w:rFonts w:ascii="Arial" w:hAnsi="Arial" w:cs="Arial"/>
          <w:lang w:val="mk-MK"/>
        </w:rPr>
        <w:t>Interest</w:t>
      </w:r>
      <w:proofErr w:type="spellEnd"/>
      <w:r w:rsidRPr="004C41CB">
        <w:rPr>
          <w:rFonts w:ascii="Arial" w:hAnsi="Arial" w:cs="Arial"/>
          <w:lang w:val="mk-MK"/>
        </w:rPr>
        <w:t xml:space="preserve"> </w:t>
      </w:r>
      <w:proofErr w:type="spellStart"/>
      <w:r w:rsidRPr="004C41CB">
        <w:rPr>
          <w:rFonts w:ascii="Arial" w:hAnsi="Arial" w:cs="Arial"/>
          <w:lang w:val="mk-MK"/>
        </w:rPr>
        <w:t>rate</w:t>
      </w:r>
      <w:proofErr w:type="spellEnd"/>
      <w:r w:rsidRPr="004C41CB">
        <w:rPr>
          <w:rFonts w:ascii="Arial" w:hAnsi="Arial" w:cs="Arial"/>
          <w:lang w:val="mk-MK"/>
        </w:rPr>
        <w:t xml:space="preserve"> </w:t>
      </w:r>
      <w:proofErr w:type="spellStart"/>
      <w:r w:rsidRPr="004C41CB">
        <w:rPr>
          <w:rFonts w:ascii="Arial" w:hAnsi="Arial" w:cs="Arial"/>
          <w:lang w:val="mk-MK"/>
        </w:rPr>
        <w:t>risk</w:t>
      </w:r>
      <w:proofErr w:type="spellEnd"/>
      <w:r w:rsidRPr="004C41CB">
        <w:rPr>
          <w:rFonts w:ascii="Arial" w:hAnsi="Arial" w:cs="Arial"/>
          <w:lang w:val="mk-MK"/>
        </w:rPr>
        <w:t xml:space="preserve"> </w:t>
      </w:r>
      <w:proofErr w:type="spellStart"/>
      <w:r w:rsidRPr="004C41CB">
        <w:rPr>
          <w:rFonts w:ascii="Arial" w:hAnsi="Arial" w:cs="Arial"/>
          <w:lang w:val="mk-MK"/>
        </w:rPr>
        <w:t>is</w:t>
      </w:r>
      <w:proofErr w:type="spellEnd"/>
      <w:r w:rsidRPr="004C41CB">
        <w:rPr>
          <w:rFonts w:ascii="Arial" w:hAnsi="Arial" w:cs="Arial"/>
          <w:lang w:val="mk-MK"/>
        </w:rPr>
        <w:t xml:space="preserve"> </w:t>
      </w:r>
      <w:proofErr w:type="spellStart"/>
      <w:r w:rsidRPr="004C41CB">
        <w:rPr>
          <w:rFonts w:ascii="Arial" w:hAnsi="Arial" w:cs="Arial"/>
          <w:lang w:val="mk-MK"/>
        </w:rPr>
        <w:t>risk</w:t>
      </w:r>
      <w:proofErr w:type="spellEnd"/>
      <w:r w:rsidRPr="004C41CB">
        <w:rPr>
          <w:rFonts w:ascii="Arial" w:hAnsi="Arial" w:cs="Arial"/>
          <w:lang w:val="mk-MK"/>
        </w:rPr>
        <w:t xml:space="preserve"> </w:t>
      </w:r>
      <w:proofErr w:type="spellStart"/>
      <w:r w:rsidRPr="004C41CB">
        <w:rPr>
          <w:rFonts w:ascii="Arial" w:hAnsi="Arial" w:cs="Arial"/>
          <w:lang w:val="mk-MK"/>
        </w:rPr>
        <w:t>of</w:t>
      </w:r>
      <w:proofErr w:type="spellEnd"/>
      <w:r w:rsidRPr="004C41CB">
        <w:rPr>
          <w:rFonts w:ascii="Arial" w:hAnsi="Arial" w:cs="Arial"/>
          <w:lang w:val="mk-MK"/>
        </w:rPr>
        <w:t xml:space="preserve"> </w:t>
      </w:r>
      <w:proofErr w:type="spellStart"/>
      <w:r w:rsidRPr="004C41CB">
        <w:rPr>
          <w:rFonts w:ascii="Arial" w:hAnsi="Arial" w:cs="Arial"/>
          <w:lang w:val="mk-MK"/>
        </w:rPr>
        <w:t>fluctuations</w:t>
      </w:r>
      <w:proofErr w:type="spellEnd"/>
      <w:r w:rsidRPr="004C41CB">
        <w:rPr>
          <w:rFonts w:ascii="Arial" w:hAnsi="Arial" w:cs="Arial"/>
          <w:lang w:val="mk-MK"/>
        </w:rPr>
        <w:t xml:space="preserve"> </w:t>
      </w:r>
      <w:proofErr w:type="spellStart"/>
      <w:r w:rsidRPr="004C41CB">
        <w:rPr>
          <w:rFonts w:ascii="Arial" w:hAnsi="Arial" w:cs="Arial"/>
          <w:lang w:val="mk-MK"/>
        </w:rPr>
        <w:t>of</w:t>
      </w:r>
      <w:proofErr w:type="spellEnd"/>
      <w:r w:rsidRPr="004C41CB">
        <w:rPr>
          <w:rFonts w:ascii="Arial" w:hAnsi="Arial" w:cs="Arial"/>
          <w:lang w:val="mk-MK"/>
        </w:rPr>
        <w:t xml:space="preserve"> </w:t>
      </w:r>
      <w:proofErr w:type="spellStart"/>
      <w:r w:rsidRPr="004C41CB">
        <w:rPr>
          <w:rFonts w:ascii="Arial" w:hAnsi="Arial" w:cs="Arial"/>
          <w:lang w:val="mk-MK"/>
        </w:rPr>
        <w:t>interest</w:t>
      </w:r>
      <w:proofErr w:type="spellEnd"/>
      <w:r w:rsidRPr="004C41CB">
        <w:rPr>
          <w:rFonts w:ascii="Arial" w:hAnsi="Arial" w:cs="Arial"/>
          <w:lang w:val="mk-MK"/>
        </w:rPr>
        <w:t xml:space="preserve"> </w:t>
      </w:r>
      <w:proofErr w:type="spellStart"/>
      <w:r w:rsidRPr="004C41CB">
        <w:rPr>
          <w:rFonts w:ascii="Arial" w:hAnsi="Arial" w:cs="Arial"/>
          <w:lang w:val="mk-MK"/>
        </w:rPr>
        <w:t>rates</w:t>
      </w:r>
      <w:proofErr w:type="spellEnd"/>
      <w:r w:rsidRPr="004C41CB">
        <w:rPr>
          <w:rFonts w:ascii="Arial" w:hAnsi="Arial" w:cs="Arial"/>
          <w:lang w:val="mk-MK"/>
        </w:rPr>
        <w:t xml:space="preserve"> </w:t>
      </w:r>
      <w:proofErr w:type="spellStart"/>
      <w:r w:rsidRPr="004C41CB">
        <w:rPr>
          <w:rFonts w:ascii="Arial" w:hAnsi="Arial" w:cs="Arial"/>
          <w:lang w:val="mk-MK"/>
        </w:rPr>
        <w:t>due</w:t>
      </w:r>
      <w:proofErr w:type="spellEnd"/>
      <w:r w:rsidRPr="004C41CB">
        <w:rPr>
          <w:rFonts w:ascii="Arial" w:hAnsi="Arial" w:cs="Arial"/>
          <w:lang w:val="mk-MK"/>
        </w:rPr>
        <w:t xml:space="preserve"> </w:t>
      </w:r>
      <w:proofErr w:type="spellStart"/>
      <w:r w:rsidRPr="004C41CB">
        <w:rPr>
          <w:rFonts w:ascii="Arial" w:hAnsi="Arial" w:cs="Arial"/>
          <w:lang w:val="mk-MK"/>
        </w:rPr>
        <w:t>to</w:t>
      </w:r>
      <w:proofErr w:type="spellEnd"/>
      <w:r w:rsidRPr="004C41CB">
        <w:rPr>
          <w:rFonts w:ascii="Arial" w:hAnsi="Arial" w:cs="Arial"/>
          <w:lang w:val="mk-MK"/>
        </w:rPr>
        <w:t xml:space="preserve"> </w:t>
      </w:r>
      <w:proofErr w:type="spellStart"/>
      <w:r w:rsidRPr="004C41CB">
        <w:rPr>
          <w:rFonts w:ascii="Arial" w:hAnsi="Arial" w:cs="Arial"/>
          <w:lang w:val="mk-MK"/>
        </w:rPr>
        <w:t>mismatch</w:t>
      </w:r>
      <w:proofErr w:type="spellEnd"/>
      <w:r w:rsidRPr="004C41CB">
        <w:rPr>
          <w:rFonts w:ascii="Arial" w:hAnsi="Arial" w:cs="Arial"/>
          <w:lang w:val="mk-MK"/>
        </w:rPr>
        <w:t xml:space="preserve"> </w:t>
      </w:r>
      <w:proofErr w:type="spellStart"/>
      <w:r w:rsidRPr="004C41CB">
        <w:rPr>
          <w:rFonts w:ascii="Arial" w:hAnsi="Arial" w:cs="Arial"/>
          <w:lang w:val="mk-MK"/>
        </w:rPr>
        <w:t>of</w:t>
      </w:r>
      <w:proofErr w:type="spellEnd"/>
      <w:r w:rsidRPr="004C41CB">
        <w:rPr>
          <w:rFonts w:ascii="Arial" w:hAnsi="Arial" w:cs="Arial"/>
          <w:lang w:val="mk-MK"/>
        </w:rPr>
        <w:t xml:space="preserve"> </w:t>
      </w:r>
      <w:proofErr w:type="spellStart"/>
      <w:r w:rsidRPr="004C41CB">
        <w:rPr>
          <w:rFonts w:ascii="Arial" w:hAnsi="Arial" w:cs="Arial"/>
          <w:lang w:val="mk-MK"/>
        </w:rPr>
        <w:t>interest</w:t>
      </w:r>
      <w:proofErr w:type="spellEnd"/>
      <w:r w:rsidRPr="004C41CB">
        <w:rPr>
          <w:rFonts w:ascii="Arial" w:hAnsi="Arial" w:cs="Arial"/>
          <w:lang w:val="mk-MK"/>
        </w:rPr>
        <w:t xml:space="preserve"> </w:t>
      </w:r>
      <w:proofErr w:type="spellStart"/>
      <w:r w:rsidRPr="004C41CB">
        <w:rPr>
          <w:rFonts w:ascii="Arial" w:hAnsi="Arial" w:cs="Arial"/>
          <w:lang w:val="mk-MK"/>
        </w:rPr>
        <w:t>bearing</w:t>
      </w:r>
      <w:proofErr w:type="spellEnd"/>
      <w:r w:rsidRPr="004C41CB">
        <w:rPr>
          <w:rFonts w:ascii="Arial" w:hAnsi="Arial" w:cs="Arial"/>
          <w:lang w:val="mk-MK"/>
        </w:rPr>
        <w:t xml:space="preserve"> </w:t>
      </w:r>
      <w:proofErr w:type="spellStart"/>
      <w:r w:rsidRPr="004C41CB">
        <w:rPr>
          <w:rFonts w:ascii="Arial" w:hAnsi="Arial" w:cs="Arial"/>
          <w:lang w:val="mk-MK"/>
        </w:rPr>
        <w:t>assets</w:t>
      </w:r>
      <w:proofErr w:type="spellEnd"/>
      <w:r w:rsidRPr="004C41CB">
        <w:rPr>
          <w:rFonts w:ascii="Arial" w:hAnsi="Arial" w:cs="Arial"/>
          <w:lang w:val="mk-MK"/>
        </w:rPr>
        <w:t xml:space="preserve"> </w:t>
      </w:r>
      <w:proofErr w:type="spellStart"/>
      <w:r w:rsidRPr="004C41CB">
        <w:rPr>
          <w:rFonts w:ascii="Arial" w:hAnsi="Arial" w:cs="Arial"/>
          <w:lang w:val="mk-MK"/>
        </w:rPr>
        <w:t>and</w:t>
      </w:r>
      <w:proofErr w:type="spellEnd"/>
      <w:r w:rsidRPr="004C41CB">
        <w:rPr>
          <w:rFonts w:ascii="Arial" w:hAnsi="Arial" w:cs="Arial"/>
          <w:lang w:val="mk-MK"/>
        </w:rPr>
        <w:t xml:space="preserve"> </w:t>
      </w:r>
      <w:proofErr w:type="spellStart"/>
      <w:r w:rsidRPr="004C41CB">
        <w:rPr>
          <w:rFonts w:ascii="Arial" w:hAnsi="Arial" w:cs="Arial"/>
          <w:lang w:val="mk-MK"/>
        </w:rPr>
        <w:t>liabilities</w:t>
      </w:r>
      <w:proofErr w:type="spellEnd"/>
      <w:r w:rsidRPr="004C41CB">
        <w:rPr>
          <w:rFonts w:ascii="Arial" w:hAnsi="Arial" w:cs="Arial"/>
          <w:lang w:val="mk-MK"/>
        </w:rPr>
        <w:t xml:space="preserve"> </w:t>
      </w:r>
      <w:proofErr w:type="spellStart"/>
      <w:r w:rsidRPr="004C41CB">
        <w:rPr>
          <w:rFonts w:ascii="Arial" w:hAnsi="Arial" w:cs="Arial"/>
          <w:lang w:val="mk-MK"/>
        </w:rPr>
        <w:t>in</w:t>
      </w:r>
      <w:proofErr w:type="spellEnd"/>
      <w:r w:rsidRPr="004C41CB">
        <w:rPr>
          <w:rFonts w:ascii="Arial" w:hAnsi="Arial" w:cs="Arial"/>
          <w:lang w:val="mk-MK"/>
        </w:rPr>
        <w:t xml:space="preserve"> </w:t>
      </w:r>
      <w:proofErr w:type="spellStart"/>
      <w:r w:rsidRPr="004C41CB">
        <w:rPr>
          <w:rFonts w:ascii="Arial" w:hAnsi="Arial" w:cs="Arial"/>
          <w:lang w:val="mk-MK"/>
        </w:rPr>
        <w:t>respect</w:t>
      </w:r>
      <w:proofErr w:type="spellEnd"/>
      <w:r w:rsidRPr="004C41CB">
        <w:rPr>
          <w:rFonts w:ascii="Arial" w:hAnsi="Arial" w:cs="Arial"/>
          <w:lang w:val="mk-MK"/>
        </w:rPr>
        <w:t xml:space="preserve"> </w:t>
      </w:r>
      <w:proofErr w:type="spellStart"/>
      <w:r w:rsidRPr="004C41CB">
        <w:rPr>
          <w:rFonts w:ascii="Arial" w:hAnsi="Arial" w:cs="Arial"/>
          <w:lang w:val="mk-MK"/>
        </w:rPr>
        <w:t>of</w:t>
      </w:r>
      <w:proofErr w:type="spellEnd"/>
      <w:r w:rsidRPr="004C41CB">
        <w:rPr>
          <w:rFonts w:ascii="Arial" w:hAnsi="Arial" w:cs="Arial"/>
          <w:lang w:val="mk-MK"/>
        </w:rPr>
        <w:t xml:space="preserve"> </w:t>
      </w:r>
      <w:proofErr w:type="spellStart"/>
      <w:r w:rsidRPr="004C41CB">
        <w:rPr>
          <w:rFonts w:ascii="Arial" w:hAnsi="Arial" w:cs="Arial"/>
          <w:lang w:val="mk-MK"/>
        </w:rPr>
        <w:t>their</w:t>
      </w:r>
      <w:proofErr w:type="spellEnd"/>
      <w:r w:rsidRPr="004C41CB">
        <w:rPr>
          <w:rFonts w:ascii="Arial" w:hAnsi="Arial" w:cs="Arial"/>
          <w:lang w:val="mk-MK"/>
        </w:rPr>
        <w:t xml:space="preserve"> </w:t>
      </w:r>
      <w:proofErr w:type="spellStart"/>
      <w:r w:rsidRPr="004C41CB">
        <w:rPr>
          <w:rFonts w:ascii="Arial" w:hAnsi="Arial" w:cs="Arial"/>
          <w:lang w:val="mk-MK"/>
        </w:rPr>
        <w:t>maturing</w:t>
      </w:r>
      <w:proofErr w:type="spellEnd"/>
      <w:r w:rsidRPr="004C41CB">
        <w:rPr>
          <w:rFonts w:ascii="Arial" w:hAnsi="Arial" w:cs="Arial"/>
          <w:lang w:val="mk-MK"/>
        </w:rPr>
        <w:t xml:space="preserve"> </w:t>
      </w:r>
      <w:proofErr w:type="spellStart"/>
      <w:r w:rsidRPr="004C41CB">
        <w:rPr>
          <w:rFonts w:ascii="Arial" w:hAnsi="Arial" w:cs="Arial"/>
          <w:lang w:val="mk-MK"/>
        </w:rPr>
        <w:t>or</w:t>
      </w:r>
      <w:proofErr w:type="spellEnd"/>
      <w:r w:rsidRPr="004C41CB">
        <w:rPr>
          <w:rFonts w:ascii="Arial" w:hAnsi="Arial" w:cs="Arial"/>
          <w:lang w:val="mk-MK"/>
        </w:rPr>
        <w:t xml:space="preserve"> </w:t>
      </w:r>
      <w:proofErr w:type="spellStart"/>
      <w:r w:rsidRPr="004C41CB">
        <w:rPr>
          <w:rFonts w:ascii="Arial" w:hAnsi="Arial" w:cs="Arial"/>
          <w:lang w:val="mk-MK"/>
        </w:rPr>
        <w:t>changes</w:t>
      </w:r>
      <w:proofErr w:type="spellEnd"/>
      <w:r w:rsidRPr="004C41CB">
        <w:rPr>
          <w:rFonts w:ascii="Arial" w:hAnsi="Arial" w:cs="Arial"/>
          <w:lang w:val="mk-MK"/>
        </w:rPr>
        <w:t xml:space="preserve"> </w:t>
      </w:r>
      <w:proofErr w:type="spellStart"/>
      <w:r w:rsidRPr="004C41CB">
        <w:rPr>
          <w:rFonts w:ascii="Arial" w:hAnsi="Arial" w:cs="Arial"/>
          <w:lang w:val="mk-MK"/>
        </w:rPr>
        <w:t>in</w:t>
      </w:r>
      <w:proofErr w:type="spellEnd"/>
      <w:r w:rsidRPr="004C41CB">
        <w:rPr>
          <w:rFonts w:ascii="Arial" w:hAnsi="Arial" w:cs="Arial"/>
          <w:lang w:val="mk-MK"/>
        </w:rPr>
        <w:t xml:space="preserve"> </w:t>
      </w:r>
      <w:proofErr w:type="spellStart"/>
      <w:r w:rsidRPr="004C41CB">
        <w:rPr>
          <w:rFonts w:ascii="Arial" w:hAnsi="Arial" w:cs="Arial"/>
          <w:lang w:val="mk-MK"/>
        </w:rPr>
        <w:t>interest</w:t>
      </w:r>
      <w:proofErr w:type="spellEnd"/>
      <w:r w:rsidRPr="004C41CB">
        <w:rPr>
          <w:rFonts w:ascii="Arial" w:hAnsi="Arial" w:cs="Arial"/>
          <w:lang w:val="mk-MK"/>
        </w:rPr>
        <w:t xml:space="preserve"> </w:t>
      </w:r>
      <w:proofErr w:type="spellStart"/>
      <w:r w:rsidRPr="004C41CB">
        <w:rPr>
          <w:rFonts w:ascii="Arial" w:hAnsi="Arial" w:cs="Arial"/>
          <w:lang w:val="mk-MK"/>
        </w:rPr>
        <w:t>rates</w:t>
      </w:r>
      <w:proofErr w:type="spellEnd"/>
      <w:r w:rsidRPr="004C41CB">
        <w:rPr>
          <w:rFonts w:ascii="Arial" w:hAnsi="Arial" w:cs="Arial"/>
          <w:lang w:val="mk-MK"/>
        </w:rPr>
        <w:t xml:space="preserve"> </w:t>
      </w:r>
      <w:proofErr w:type="spellStart"/>
      <w:r w:rsidRPr="004C41CB">
        <w:rPr>
          <w:rFonts w:ascii="Arial" w:hAnsi="Arial" w:cs="Arial"/>
          <w:lang w:val="mk-MK"/>
        </w:rPr>
        <w:t>in</w:t>
      </w:r>
      <w:proofErr w:type="spellEnd"/>
      <w:r w:rsidRPr="004C41CB">
        <w:rPr>
          <w:rFonts w:ascii="Arial" w:hAnsi="Arial" w:cs="Arial"/>
          <w:lang w:val="mk-MK"/>
        </w:rPr>
        <w:t xml:space="preserve"> </w:t>
      </w:r>
      <w:proofErr w:type="spellStart"/>
      <w:r w:rsidRPr="004C41CB">
        <w:rPr>
          <w:rFonts w:ascii="Arial" w:hAnsi="Arial" w:cs="Arial"/>
          <w:lang w:val="mk-MK"/>
        </w:rPr>
        <w:t>different</w:t>
      </w:r>
      <w:proofErr w:type="spellEnd"/>
      <w:r w:rsidRPr="004C41CB">
        <w:rPr>
          <w:rFonts w:ascii="Arial" w:hAnsi="Arial" w:cs="Arial"/>
          <w:lang w:val="mk-MK"/>
        </w:rPr>
        <w:t xml:space="preserve"> </w:t>
      </w:r>
      <w:proofErr w:type="spellStart"/>
      <w:r w:rsidRPr="004C41CB">
        <w:rPr>
          <w:rFonts w:ascii="Arial" w:hAnsi="Arial" w:cs="Arial"/>
          <w:lang w:val="mk-MK"/>
        </w:rPr>
        <w:t>periods</w:t>
      </w:r>
      <w:proofErr w:type="spellEnd"/>
      <w:r w:rsidRPr="004C41CB">
        <w:rPr>
          <w:rFonts w:ascii="Arial" w:hAnsi="Arial" w:cs="Arial"/>
          <w:lang w:val="mk-MK"/>
        </w:rPr>
        <w:t xml:space="preserve"> </w:t>
      </w:r>
      <w:proofErr w:type="spellStart"/>
      <w:r w:rsidRPr="004C41CB">
        <w:rPr>
          <w:rFonts w:ascii="Arial" w:hAnsi="Arial" w:cs="Arial"/>
          <w:lang w:val="mk-MK"/>
        </w:rPr>
        <w:t>and</w:t>
      </w:r>
      <w:proofErr w:type="spellEnd"/>
      <w:r w:rsidRPr="004C41CB">
        <w:rPr>
          <w:rFonts w:ascii="Arial" w:hAnsi="Arial" w:cs="Arial"/>
          <w:lang w:val="mk-MK"/>
        </w:rPr>
        <w:t xml:space="preserve"> </w:t>
      </w:r>
      <w:proofErr w:type="spellStart"/>
      <w:r w:rsidRPr="004C41CB">
        <w:rPr>
          <w:rFonts w:ascii="Arial" w:hAnsi="Arial" w:cs="Arial"/>
          <w:lang w:val="mk-MK"/>
        </w:rPr>
        <w:t>for</w:t>
      </w:r>
      <w:proofErr w:type="spellEnd"/>
      <w:r w:rsidRPr="004C41CB">
        <w:rPr>
          <w:rFonts w:ascii="Arial" w:hAnsi="Arial" w:cs="Arial"/>
          <w:lang w:val="mk-MK"/>
        </w:rPr>
        <w:t xml:space="preserve"> </w:t>
      </w:r>
      <w:proofErr w:type="spellStart"/>
      <w:r w:rsidRPr="004C41CB">
        <w:rPr>
          <w:rFonts w:ascii="Arial" w:hAnsi="Arial" w:cs="Arial"/>
          <w:lang w:val="mk-MK"/>
        </w:rPr>
        <w:t>different</w:t>
      </w:r>
      <w:proofErr w:type="spellEnd"/>
      <w:r w:rsidRPr="004C41CB">
        <w:rPr>
          <w:rFonts w:ascii="Arial" w:hAnsi="Arial" w:cs="Arial"/>
          <w:lang w:val="mk-MK"/>
        </w:rPr>
        <w:t xml:space="preserve"> </w:t>
      </w:r>
      <w:proofErr w:type="spellStart"/>
      <w:r w:rsidRPr="004C41CB">
        <w:rPr>
          <w:rFonts w:ascii="Arial" w:hAnsi="Arial" w:cs="Arial"/>
          <w:lang w:val="mk-MK"/>
        </w:rPr>
        <w:t>amounts</w:t>
      </w:r>
      <w:proofErr w:type="spellEnd"/>
      <w:r w:rsidR="00815E65" w:rsidRPr="00CE3053">
        <w:rPr>
          <w:rFonts w:ascii="Arial" w:hAnsi="Arial" w:cs="Arial"/>
          <w:lang w:val="mk-MK"/>
        </w:rPr>
        <w:t>.</w:t>
      </w:r>
    </w:p>
    <w:p w14:paraId="1EF3F5F5" w14:textId="02F47AB5" w:rsidR="00815E65" w:rsidRDefault="004C41CB" w:rsidP="00815E65">
      <w:pPr>
        <w:pStyle w:val="BodyText"/>
        <w:jc w:val="both"/>
        <w:rPr>
          <w:rFonts w:ascii="Arial" w:hAnsi="Arial" w:cs="Arial"/>
          <w:lang w:val="mk-MK"/>
        </w:rPr>
      </w:pPr>
      <w:r>
        <w:rPr>
          <w:rFonts w:ascii="Arial" w:hAnsi="Arial" w:cs="Arial"/>
          <w:lang w:val="en-US"/>
        </w:rPr>
        <w:t>As of</w:t>
      </w:r>
      <w:r w:rsidR="00815E65" w:rsidRPr="00CE3053">
        <w:rPr>
          <w:rFonts w:ascii="Arial" w:hAnsi="Arial" w:cs="Arial"/>
          <w:lang w:val="mk-MK"/>
        </w:rPr>
        <w:t xml:space="preserve"> 31 </w:t>
      </w:r>
      <w:r>
        <w:rPr>
          <w:rFonts w:ascii="Arial" w:hAnsi="Arial" w:cs="Arial"/>
          <w:lang w:val="en-US"/>
        </w:rPr>
        <w:t>December</w:t>
      </w:r>
      <w:r w:rsidR="006A2587">
        <w:rPr>
          <w:rFonts w:ascii="Arial" w:hAnsi="Arial" w:cs="Arial"/>
          <w:lang w:val="mk-MK"/>
        </w:rPr>
        <w:t xml:space="preserve">, </w:t>
      </w:r>
      <w:r w:rsidR="00815E65" w:rsidRPr="00CE3053">
        <w:rPr>
          <w:rFonts w:ascii="Arial" w:hAnsi="Arial" w:cs="Arial"/>
          <w:lang w:val="mk-MK"/>
        </w:rPr>
        <w:t>202</w:t>
      </w:r>
      <w:r w:rsidR="00E22987" w:rsidRPr="00CE3053">
        <w:rPr>
          <w:rFonts w:ascii="Arial" w:hAnsi="Arial" w:cs="Arial"/>
          <w:lang w:val="mk-MK"/>
        </w:rPr>
        <w:t>1</w:t>
      </w:r>
      <w:r w:rsidR="00815E65" w:rsidRPr="00CE3053">
        <w:rPr>
          <w:rFonts w:ascii="Arial" w:hAnsi="Arial" w:cs="Arial"/>
          <w:lang w:val="mk-MK"/>
        </w:rPr>
        <w:t xml:space="preserve"> </w:t>
      </w:r>
      <w:r>
        <w:rPr>
          <w:rFonts w:ascii="Arial" w:hAnsi="Arial" w:cs="Arial"/>
          <w:lang w:val="en-US"/>
        </w:rPr>
        <w:t>and</w:t>
      </w:r>
      <w:r w:rsidR="00815E65" w:rsidRPr="00CE3053">
        <w:rPr>
          <w:rFonts w:ascii="Arial" w:hAnsi="Arial" w:cs="Arial"/>
          <w:lang w:val="mk-MK"/>
        </w:rPr>
        <w:t xml:space="preserve"> 20</w:t>
      </w:r>
      <w:r w:rsidR="00E22987" w:rsidRPr="00CE3053">
        <w:rPr>
          <w:rFonts w:ascii="Arial" w:hAnsi="Arial" w:cs="Arial"/>
          <w:lang w:val="mk-MK"/>
        </w:rPr>
        <w:t>20</w:t>
      </w:r>
      <w:r w:rsidR="00815E65" w:rsidRPr="00CE3053">
        <w:rPr>
          <w:rFonts w:ascii="Arial" w:hAnsi="Arial" w:cs="Arial"/>
          <w:lang w:val="mk-MK"/>
        </w:rPr>
        <w:t>,</w:t>
      </w:r>
      <w:r w:rsidR="00F92B5A">
        <w:rPr>
          <w:rFonts w:ascii="Arial" w:hAnsi="Arial" w:cs="Arial"/>
          <w:lang w:val="en-US"/>
        </w:rPr>
        <w:t xml:space="preserve"> </w:t>
      </w:r>
      <w:proofErr w:type="spellStart"/>
      <w:r w:rsidRPr="004C41CB">
        <w:rPr>
          <w:rFonts w:ascii="Arial" w:hAnsi="Arial" w:cs="Arial"/>
          <w:lang w:val="mk-MK"/>
        </w:rPr>
        <w:t>the</w:t>
      </w:r>
      <w:proofErr w:type="spellEnd"/>
      <w:r w:rsidRPr="004C41CB">
        <w:rPr>
          <w:rFonts w:ascii="Arial" w:hAnsi="Arial" w:cs="Arial"/>
          <w:lang w:val="mk-MK"/>
        </w:rPr>
        <w:t xml:space="preserve"> </w:t>
      </w:r>
      <w:proofErr w:type="spellStart"/>
      <w:r w:rsidRPr="004C41CB">
        <w:rPr>
          <w:rFonts w:ascii="Arial" w:hAnsi="Arial" w:cs="Arial"/>
          <w:lang w:val="mk-MK"/>
        </w:rPr>
        <w:t>Fund</w:t>
      </w:r>
      <w:proofErr w:type="spellEnd"/>
      <w:r w:rsidRPr="004C41CB">
        <w:rPr>
          <w:rFonts w:ascii="Arial" w:hAnsi="Arial" w:cs="Arial"/>
          <w:lang w:val="mk-MK"/>
        </w:rPr>
        <w:t xml:space="preserve"> </w:t>
      </w:r>
      <w:proofErr w:type="spellStart"/>
      <w:r w:rsidRPr="004C41CB">
        <w:rPr>
          <w:rFonts w:ascii="Arial" w:hAnsi="Arial" w:cs="Arial"/>
          <w:lang w:val="mk-MK"/>
        </w:rPr>
        <w:t>has</w:t>
      </w:r>
      <w:proofErr w:type="spellEnd"/>
      <w:r w:rsidRPr="004C41CB">
        <w:rPr>
          <w:rFonts w:ascii="Arial" w:hAnsi="Arial" w:cs="Arial"/>
          <w:lang w:val="mk-MK"/>
        </w:rPr>
        <w:t xml:space="preserve"> </w:t>
      </w:r>
      <w:proofErr w:type="spellStart"/>
      <w:r w:rsidRPr="004C41CB">
        <w:rPr>
          <w:rFonts w:ascii="Arial" w:hAnsi="Arial" w:cs="Arial"/>
          <w:lang w:val="mk-MK"/>
        </w:rPr>
        <w:t>no</w:t>
      </w:r>
      <w:proofErr w:type="spellEnd"/>
      <w:r w:rsidRPr="004C41CB">
        <w:rPr>
          <w:rFonts w:ascii="Arial" w:hAnsi="Arial" w:cs="Arial"/>
          <w:lang w:val="mk-MK"/>
        </w:rPr>
        <w:t xml:space="preserve"> </w:t>
      </w:r>
      <w:proofErr w:type="spellStart"/>
      <w:proofErr w:type="gramStart"/>
      <w:r w:rsidRPr="004C41CB">
        <w:rPr>
          <w:rFonts w:ascii="Arial" w:hAnsi="Arial" w:cs="Arial"/>
          <w:lang w:val="mk-MK"/>
        </w:rPr>
        <w:t>interest</w:t>
      </w:r>
      <w:proofErr w:type="spellEnd"/>
      <w:r w:rsidRPr="004C41CB">
        <w:rPr>
          <w:rFonts w:ascii="Arial" w:hAnsi="Arial" w:cs="Arial"/>
          <w:lang w:val="mk-MK"/>
        </w:rPr>
        <w:t xml:space="preserve"> </w:t>
      </w:r>
      <w:proofErr w:type="spellStart"/>
      <w:r w:rsidRPr="004C41CB">
        <w:rPr>
          <w:rFonts w:ascii="Arial" w:hAnsi="Arial" w:cs="Arial"/>
          <w:lang w:val="mk-MK"/>
        </w:rPr>
        <w:t>bearing</w:t>
      </w:r>
      <w:proofErr w:type="spellEnd"/>
      <w:proofErr w:type="gramEnd"/>
      <w:r w:rsidRPr="004C41CB">
        <w:rPr>
          <w:rFonts w:ascii="Arial" w:hAnsi="Arial" w:cs="Arial"/>
          <w:lang w:val="mk-MK"/>
        </w:rPr>
        <w:t xml:space="preserve"> </w:t>
      </w:r>
      <w:r w:rsidR="00F92B5A">
        <w:rPr>
          <w:rFonts w:ascii="Arial" w:hAnsi="Arial" w:cs="Arial"/>
          <w:lang w:val="en-US"/>
        </w:rPr>
        <w:t xml:space="preserve">receivables or </w:t>
      </w:r>
      <w:proofErr w:type="spellStart"/>
      <w:r w:rsidRPr="004C41CB">
        <w:rPr>
          <w:rFonts w:ascii="Arial" w:hAnsi="Arial" w:cs="Arial"/>
          <w:lang w:val="mk-MK"/>
        </w:rPr>
        <w:t>liabilities</w:t>
      </w:r>
      <w:proofErr w:type="spellEnd"/>
      <w:r w:rsidRPr="004C41CB">
        <w:rPr>
          <w:rFonts w:ascii="Arial" w:hAnsi="Arial" w:cs="Arial"/>
          <w:lang w:val="mk-MK"/>
        </w:rPr>
        <w:t xml:space="preserve">. </w:t>
      </w:r>
      <w:proofErr w:type="spellStart"/>
      <w:r w:rsidRPr="004C41CB">
        <w:rPr>
          <w:rFonts w:ascii="Arial" w:hAnsi="Arial" w:cs="Arial"/>
          <w:lang w:val="mk-MK"/>
        </w:rPr>
        <w:t>The</w:t>
      </w:r>
      <w:proofErr w:type="spellEnd"/>
      <w:r w:rsidRPr="004C41CB">
        <w:rPr>
          <w:rFonts w:ascii="Arial" w:hAnsi="Arial" w:cs="Arial"/>
          <w:lang w:val="mk-MK"/>
        </w:rPr>
        <w:t xml:space="preserve"> </w:t>
      </w:r>
      <w:proofErr w:type="spellStart"/>
      <w:r w:rsidRPr="004C41CB">
        <w:rPr>
          <w:rFonts w:ascii="Arial" w:hAnsi="Arial" w:cs="Arial"/>
          <w:lang w:val="mk-MK"/>
        </w:rPr>
        <w:t>cash</w:t>
      </w:r>
      <w:proofErr w:type="spellEnd"/>
      <w:r w:rsidRPr="004C41CB">
        <w:rPr>
          <w:rFonts w:ascii="Arial" w:hAnsi="Arial" w:cs="Arial"/>
          <w:lang w:val="mk-MK"/>
        </w:rPr>
        <w:t xml:space="preserve"> </w:t>
      </w:r>
      <w:proofErr w:type="spellStart"/>
      <w:r w:rsidRPr="004C41CB">
        <w:rPr>
          <w:rFonts w:ascii="Arial" w:hAnsi="Arial" w:cs="Arial"/>
          <w:lang w:val="mk-MK"/>
        </w:rPr>
        <w:t>is</w:t>
      </w:r>
      <w:proofErr w:type="spellEnd"/>
      <w:r w:rsidRPr="004C41CB">
        <w:rPr>
          <w:rFonts w:ascii="Arial" w:hAnsi="Arial" w:cs="Arial"/>
          <w:lang w:val="mk-MK"/>
        </w:rPr>
        <w:t xml:space="preserve"> </w:t>
      </w:r>
      <w:proofErr w:type="spellStart"/>
      <w:r w:rsidRPr="004C41CB">
        <w:rPr>
          <w:rFonts w:ascii="Arial" w:hAnsi="Arial" w:cs="Arial"/>
          <w:lang w:val="mk-MK"/>
        </w:rPr>
        <w:t>held</w:t>
      </w:r>
      <w:proofErr w:type="spellEnd"/>
      <w:r w:rsidRPr="004C41CB">
        <w:rPr>
          <w:rFonts w:ascii="Arial" w:hAnsi="Arial" w:cs="Arial"/>
          <w:lang w:val="mk-MK"/>
        </w:rPr>
        <w:t xml:space="preserve"> </w:t>
      </w:r>
      <w:proofErr w:type="spellStart"/>
      <w:r w:rsidRPr="004C41CB">
        <w:rPr>
          <w:rFonts w:ascii="Arial" w:hAnsi="Arial" w:cs="Arial"/>
          <w:lang w:val="mk-MK"/>
        </w:rPr>
        <w:t>in</w:t>
      </w:r>
      <w:proofErr w:type="spellEnd"/>
      <w:r w:rsidRPr="004C41CB">
        <w:rPr>
          <w:rFonts w:ascii="Arial" w:hAnsi="Arial" w:cs="Arial"/>
          <w:lang w:val="mk-MK"/>
        </w:rPr>
        <w:t xml:space="preserve"> </w:t>
      </w:r>
      <w:proofErr w:type="spellStart"/>
      <w:r w:rsidRPr="004C41CB">
        <w:rPr>
          <w:rFonts w:ascii="Arial" w:hAnsi="Arial" w:cs="Arial"/>
          <w:lang w:val="mk-MK"/>
        </w:rPr>
        <w:t>accounts</w:t>
      </w:r>
      <w:proofErr w:type="spellEnd"/>
      <w:r w:rsidRPr="004C41CB">
        <w:rPr>
          <w:rFonts w:ascii="Arial" w:hAnsi="Arial" w:cs="Arial"/>
          <w:lang w:val="mk-MK"/>
        </w:rPr>
        <w:t xml:space="preserve"> </w:t>
      </w:r>
      <w:proofErr w:type="spellStart"/>
      <w:r w:rsidRPr="004C41CB">
        <w:rPr>
          <w:rFonts w:ascii="Arial" w:hAnsi="Arial" w:cs="Arial"/>
          <w:lang w:val="mk-MK"/>
        </w:rPr>
        <w:t>with</w:t>
      </w:r>
      <w:proofErr w:type="spellEnd"/>
      <w:r w:rsidRPr="004C41CB">
        <w:rPr>
          <w:rFonts w:ascii="Arial" w:hAnsi="Arial" w:cs="Arial"/>
          <w:lang w:val="mk-MK"/>
        </w:rPr>
        <w:t xml:space="preserve"> NBRNM </w:t>
      </w:r>
      <w:proofErr w:type="spellStart"/>
      <w:r w:rsidRPr="004C41CB">
        <w:rPr>
          <w:rFonts w:ascii="Arial" w:hAnsi="Arial" w:cs="Arial"/>
          <w:lang w:val="mk-MK"/>
        </w:rPr>
        <w:t>and</w:t>
      </w:r>
      <w:proofErr w:type="spellEnd"/>
      <w:r w:rsidRPr="004C41CB">
        <w:rPr>
          <w:rFonts w:ascii="Arial" w:hAnsi="Arial" w:cs="Arial"/>
          <w:lang w:val="mk-MK"/>
        </w:rPr>
        <w:t xml:space="preserve"> </w:t>
      </w:r>
      <w:proofErr w:type="spellStart"/>
      <w:r w:rsidRPr="004C41CB">
        <w:rPr>
          <w:rFonts w:ascii="Arial" w:hAnsi="Arial" w:cs="Arial"/>
          <w:lang w:val="mk-MK"/>
        </w:rPr>
        <w:t>minimal</w:t>
      </w:r>
      <w:proofErr w:type="spellEnd"/>
      <w:r w:rsidRPr="004C41CB">
        <w:rPr>
          <w:rFonts w:ascii="Arial" w:hAnsi="Arial" w:cs="Arial"/>
          <w:lang w:val="mk-MK"/>
        </w:rPr>
        <w:t xml:space="preserve"> </w:t>
      </w:r>
      <w:proofErr w:type="spellStart"/>
      <w:r w:rsidRPr="004C41CB">
        <w:rPr>
          <w:rFonts w:ascii="Arial" w:hAnsi="Arial" w:cs="Arial"/>
          <w:lang w:val="mk-MK"/>
        </w:rPr>
        <w:t>funds</w:t>
      </w:r>
      <w:proofErr w:type="spellEnd"/>
      <w:r w:rsidRPr="004C41CB">
        <w:rPr>
          <w:rFonts w:ascii="Arial" w:hAnsi="Arial" w:cs="Arial"/>
          <w:lang w:val="mk-MK"/>
        </w:rPr>
        <w:t xml:space="preserve"> </w:t>
      </w:r>
      <w:proofErr w:type="spellStart"/>
      <w:r w:rsidRPr="004C41CB">
        <w:rPr>
          <w:rFonts w:ascii="Arial" w:hAnsi="Arial" w:cs="Arial"/>
          <w:lang w:val="mk-MK"/>
        </w:rPr>
        <w:t>in</w:t>
      </w:r>
      <w:proofErr w:type="spellEnd"/>
      <w:r w:rsidRPr="004C41CB">
        <w:rPr>
          <w:rFonts w:ascii="Arial" w:hAnsi="Arial" w:cs="Arial"/>
          <w:lang w:val="mk-MK"/>
        </w:rPr>
        <w:t xml:space="preserve"> </w:t>
      </w:r>
      <w:proofErr w:type="spellStart"/>
      <w:r w:rsidRPr="004C41CB">
        <w:rPr>
          <w:rFonts w:ascii="Arial" w:hAnsi="Arial" w:cs="Arial"/>
          <w:lang w:val="mk-MK"/>
        </w:rPr>
        <w:t>local</w:t>
      </w:r>
      <w:proofErr w:type="spellEnd"/>
      <w:r w:rsidRPr="004C41CB">
        <w:rPr>
          <w:rFonts w:ascii="Arial" w:hAnsi="Arial" w:cs="Arial"/>
          <w:lang w:val="mk-MK"/>
        </w:rPr>
        <w:t xml:space="preserve"> </w:t>
      </w:r>
      <w:proofErr w:type="spellStart"/>
      <w:r w:rsidRPr="004C41CB">
        <w:rPr>
          <w:rFonts w:ascii="Arial" w:hAnsi="Arial" w:cs="Arial"/>
          <w:lang w:val="mk-MK"/>
        </w:rPr>
        <w:t>banks</w:t>
      </w:r>
      <w:proofErr w:type="spellEnd"/>
      <w:r w:rsidRPr="004C41CB">
        <w:rPr>
          <w:rFonts w:ascii="Arial" w:hAnsi="Arial" w:cs="Arial"/>
          <w:lang w:val="mk-MK"/>
        </w:rPr>
        <w:t xml:space="preserve">. </w:t>
      </w:r>
      <w:proofErr w:type="spellStart"/>
      <w:r w:rsidRPr="004C41CB">
        <w:rPr>
          <w:rFonts w:ascii="Arial" w:hAnsi="Arial" w:cs="Arial"/>
          <w:lang w:val="mk-MK"/>
        </w:rPr>
        <w:t>Interest</w:t>
      </w:r>
      <w:proofErr w:type="spellEnd"/>
      <w:r w:rsidRPr="004C41CB">
        <w:rPr>
          <w:rFonts w:ascii="Arial" w:hAnsi="Arial" w:cs="Arial"/>
          <w:lang w:val="mk-MK"/>
        </w:rPr>
        <w:t xml:space="preserve"> </w:t>
      </w:r>
      <w:proofErr w:type="spellStart"/>
      <w:r w:rsidRPr="004C41CB">
        <w:rPr>
          <w:rFonts w:ascii="Arial" w:hAnsi="Arial" w:cs="Arial"/>
          <w:lang w:val="mk-MK"/>
        </w:rPr>
        <w:t>income</w:t>
      </w:r>
      <w:proofErr w:type="spellEnd"/>
      <w:r w:rsidRPr="004C41CB">
        <w:rPr>
          <w:rFonts w:ascii="Arial" w:hAnsi="Arial" w:cs="Arial"/>
          <w:lang w:val="mk-MK"/>
        </w:rPr>
        <w:t xml:space="preserve"> </w:t>
      </w:r>
      <w:proofErr w:type="spellStart"/>
      <w:r w:rsidRPr="004C41CB">
        <w:rPr>
          <w:rFonts w:ascii="Arial" w:hAnsi="Arial" w:cs="Arial"/>
          <w:lang w:val="mk-MK"/>
        </w:rPr>
        <w:t>earning</w:t>
      </w:r>
      <w:proofErr w:type="spellEnd"/>
      <w:r w:rsidRPr="004C41CB">
        <w:rPr>
          <w:rFonts w:ascii="Arial" w:hAnsi="Arial" w:cs="Arial"/>
          <w:lang w:val="mk-MK"/>
        </w:rPr>
        <w:t xml:space="preserve"> </w:t>
      </w:r>
      <w:proofErr w:type="spellStart"/>
      <w:r w:rsidRPr="004C41CB">
        <w:rPr>
          <w:rFonts w:ascii="Arial" w:hAnsi="Arial" w:cs="Arial"/>
          <w:lang w:val="mk-MK"/>
        </w:rPr>
        <w:t>debt</w:t>
      </w:r>
      <w:proofErr w:type="spellEnd"/>
      <w:r w:rsidRPr="004C41CB">
        <w:rPr>
          <w:rFonts w:ascii="Arial" w:hAnsi="Arial" w:cs="Arial"/>
          <w:lang w:val="mk-MK"/>
        </w:rPr>
        <w:t xml:space="preserve"> </w:t>
      </w:r>
      <w:proofErr w:type="spellStart"/>
      <w:r w:rsidRPr="004C41CB">
        <w:rPr>
          <w:rFonts w:ascii="Arial" w:hAnsi="Arial" w:cs="Arial"/>
          <w:lang w:val="mk-MK"/>
        </w:rPr>
        <w:t>instruments</w:t>
      </w:r>
      <w:proofErr w:type="spellEnd"/>
      <w:r w:rsidRPr="004C41CB">
        <w:rPr>
          <w:rFonts w:ascii="Arial" w:hAnsi="Arial" w:cs="Arial"/>
          <w:lang w:val="mk-MK"/>
        </w:rPr>
        <w:t xml:space="preserve"> </w:t>
      </w:r>
      <w:proofErr w:type="spellStart"/>
      <w:r w:rsidRPr="004C41CB">
        <w:rPr>
          <w:rFonts w:ascii="Arial" w:hAnsi="Arial" w:cs="Arial"/>
          <w:lang w:val="mk-MK"/>
        </w:rPr>
        <w:t>are</w:t>
      </w:r>
      <w:proofErr w:type="spellEnd"/>
      <w:r w:rsidRPr="004C41CB">
        <w:rPr>
          <w:rFonts w:ascii="Arial" w:hAnsi="Arial" w:cs="Arial"/>
          <w:lang w:val="mk-MK"/>
        </w:rPr>
        <w:t xml:space="preserve"> </w:t>
      </w:r>
      <w:proofErr w:type="spellStart"/>
      <w:r w:rsidRPr="004C41CB">
        <w:rPr>
          <w:rFonts w:ascii="Arial" w:hAnsi="Arial" w:cs="Arial"/>
          <w:lang w:val="mk-MK"/>
        </w:rPr>
        <w:t>with</w:t>
      </w:r>
      <w:proofErr w:type="spellEnd"/>
      <w:r w:rsidRPr="004C41CB">
        <w:rPr>
          <w:rFonts w:ascii="Arial" w:hAnsi="Arial" w:cs="Arial"/>
          <w:lang w:val="mk-MK"/>
        </w:rPr>
        <w:t xml:space="preserve"> </w:t>
      </w:r>
      <w:proofErr w:type="spellStart"/>
      <w:r w:rsidRPr="004C41CB">
        <w:rPr>
          <w:rFonts w:ascii="Arial" w:hAnsi="Arial" w:cs="Arial"/>
          <w:lang w:val="mk-MK"/>
        </w:rPr>
        <w:t>maturity</w:t>
      </w:r>
      <w:proofErr w:type="spellEnd"/>
      <w:r w:rsidRPr="004C41CB">
        <w:rPr>
          <w:rFonts w:ascii="Arial" w:hAnsi="Arial" w:cs="Arial"/>
          <w:lang w:val="mk-MK"/>
        </w:rPr>
        <w:t xml:space="preserve"> </w:t>
      </w:r>
      <w:proofErr w:type="spellStart"/>
      <w:r w:rsidRPr="004C41CB">
        <w:rPr>
          <w:rFonts w:ascii="Arial" w:hAnsi="Arial" w:cs="Arial"/>
          <w:lang w:val="mk-MK"/>
        </w:rPr>
        <w:t>period</w:t>
      </w:r>
      <w:proofErr w:type="spellEnd"/>
      <w:r w:rsidRPr="004C41CB">
        <w:rPr>
          <w:rFonts w:ascii="Arial" w:hAnsi="Arial" w:cs="Arial"/>
          <w:lang w:val="mk-MK"/>
        </w:rPr>
        <w:t xml:space="preserve"> </w:t>
      </w:r>
      <w:proofErr w:type="spellStart"/>
      <w:r w:rsidRPr="004C41CB">
        <w:rPr>
          <w:rFonts w:ascii="Arial" w:hAnsi="Arial" w:cs="Arial"/>
          <w:lang w:val="mk-MK"/>
        </w:rPr>
        <w:t>of</w:t>
      </w:r>
      <w:proofErr w:type="spellEnd"/>
      <w:r w:rsidRPr="004C41CB">
        <w:rPr>
          <w:rFonts w:ascii="Arial" w:hAnsi="Arial" w:cs="Arial"/>
          <w:lang w:val="mk-MK"/>
        </w:rPr>
        <w:t xml:space="preserve"> 12 </w:t>
      </w:r>
      <w:proofErr w:type="spellStart"/>
      <w:r w:rsidRPr="004C41CB">
        <w:rPr>
          <w:rFonts w:ascii="Arial" w:hAnsi="Arial" w:cs="Arial"/>
          <w:lang w:val="mk-MK"/>
        </w:rPr>
        <w:t>month</w:t>
      </w:r>
      <w:proofErr w:type="spellEnd"/>
      <w:r w:rsidRPr="004C41CB">
        <w:rPr>
          <w:rFonts w:ascii="Arial" w:hAnsi="Arial" w:cs="Arial"/>
          <w:lang w:val="mk-MK"/>
        </w:rPr>
        <w:t xml:space="preserve"> </w:t>
      </w:r>
      <w:proofErr w:type="spellStart"/>
      <w:r w:rsidRPr="004C41CB">
        <w:rPr>
          <w:rFonts w:ascii="Arial" w:hAnsi="Arial" w:cs="Arial"/>
          <w:lang w:val="mk-MK"/>
        </w:rPr>
        <w:t>and</w:t>
      </w:r>
      <w:proofErr w:type="spellEnd"/>
      <w:r w:rsidRPr="004C41CB">
        <w:rPr>
          <w:rFonts w:ascii="Arial" w:hAnsi="Arial" w:cs="Arial"/>
          <w:lang w:val="mk-MK"/>
        </w:rPr>
        <w:t xml:space="preserve"> </w:t>
      </w:r>
      <w:proofErr w:type="spellStart"/>
      <w:r w:rsidRPr="004C41CB">
        <w:rPr>
          <w:rFonts w:ascii="Arial" w:hAnsi="Arial" w:cs="Arial"/>
          <w:lang w:val="mk-MK"/>
        </w:rPr>
        <w:t>fixed</w:t>
      </w:r>
      <w:proofErr w:type="spellEnd"/>
      <w:r w:rsidRPr="004C41CB">
        <w:rPr>
          <w:rFonts w:ascii="Arial" w:hAnsi="Arial" w:cs="Arial"/>
          <w:lang w:val="mk-MK"/>
        </w:rPr>
        <w:t xml:space="preserve"> </w:t>
      </w:r>
      <w:proofErr w:type="spellStart"/>
      <w:r w:rsidRPr="004C41CB">
        <w:rPr>
          <w:rFonts w:ascii="Arial" w:hAnsi="Arial" w:cs="Arial"/>
          <w:lang w:val="mk-MK"/>
        </w:rPr>
        <w:t>interest</w:t>
      </w:r>
      <w:proofErr w:type="spellEnd"/>
      <w:r w:rsidRPr="004C41CB">
        <w:rPr>
          <w:rFonts w:ascii="Arial" w:hAnsi="Arial" w:cs="Arial"/>
          <w:lang w:val="mk-MK"/>
        </w:rPr>
        <w:t xml:space="preserve"> </w:t>
      </w:r>
      <w:proofErr w:type="spellStart"/>
      <w:r w:rsidRPr="004C41CB">
        <w:rPr>
          <w:rFonts w:ascii="Arial" w:hAnsi="Arial" w:cs="Arial"/>
          <w:lang w:val="mk-MK"/>
        </w:rPr>
        <w:t>rate</w:t>
      </w:r>
      <w:proofErr w:type="spellEnd"/>
      <w:r w:rsidRPr="004C41CB">
        <w:rPr>
          <w:rFonts w:ascii="Arial" w:hAnsi="Arial" w:cs="Arial"/>
          <w:lang w:val="mk-MK"/>
        </w:rPr>
        <w:t>.</w:t>
      </w:r>
    </w:p>
    <w:p w14:paraId="420B6209" w14:textId="0B07B57C" w:rsidR="005F248E" w:rsidRDefault="00F92B5A" w:rsidP="00815E65">
      <w:pPr>
        <w:pStyle w:val="BodyText"/>
        <w:jc w:val="both"/>
        <w:rPr>
          <w:rFonts w:ascii="Arial" w:hAnsi="Arial" w:cs="Arial"/>
          <w:lang w:val="mk-MK"/>
        </w:rPr>
      </w:pPr>
      <w:proofErr w:type="spellStart"/>
      <w:r w:rsidRPr="00F92B5A">
        <w:rPr>
          <w:rFonts w:ascii="Arial" w:hAnsi="Arial" w:cs="Arial"/>
          <w:lang w:val="mk-MK"/>
        </w:rPr>
        <w:t>Accordingly</w:t>
      </w:r>
      <w:proofErr w:type="spellEnd"/>
      <w:r w:rsidRPr="00F92B5A">
        <w:rPr>
          <w:rFonts w:ascii="Arial" w:hAnsi="Arial" w:cs="Arial"/>
          <w:lang w:val="mk-MK"/>
        </w:rPr>
        <w:t xml:space="preserve">, </w:t>
      </w:r>
      <w:proofErr w:type="spellStart"/>
      <w:r w:rsidRPr="00F92B5A">
        <w:rPr>
          <w:rFonts w:ascii="Arial" w:hAnsi="Arial" w:cs="Arial"/>
          <w:lang w:val="mk-MK"/>
        </w:rPr>
        <w:t>the</w:t>
      </w:r>
      <w:proofErr w:type="spellEnd"/>
      <w:r w:rsidRPr="00F92B5A">
        <w:rPr>
          <w:rFonts w:ascii="Arial" w:hAnsi="Arial" w:cs="Arial"/>
          <w:lang w:val="mk-MK"/>
        </w:rPr>
        <w:t xml:space="preserve"> </w:t>
      </w:r>
      <w:proofErr w:type="spellStart"/>
      <w:r w:rsidRPr="00F92B5A">
        <w:rPr>
          <w:rFonts w:ascii="Arial" w:hAnsi="Arial" w:cs="Arial"/>
          <w:lang w:val="mk-MK"/>
        </w:rPr>
        <w:t>Fund</w:t>
      </w:r>
      <w:proofErr w:type="spellEnd"/>
      <w:r w:rsidRPr="00F92B5A">
        <w:rPr>
          <w:rFonts w:ascii="Arial" w:hAnsi="Arial" w:cs="Arial"/>
          <w:lang w:val="mk-MK"/>
        </w:rPr>
        <w:t xml:space="preserve"> </w:t>
      </w:r>
      <w:proofErr w:type="spellStart"/>
      <w:r w:rsidRPr="00F92B5A">
        <w:rPr>
          <w:rFonts w:ascii="Arial" w:hAnsi="Arial" w:cs="Arial"/>
          <w:lang w:val="mk-MK"/>
        </w:rPr>
        <w:t>is</w:t>
      </w:r>
      <w:proofErr w:type="spellEnd"/>
      <w:r w:rsidRPr="00F92B5A">
        <w:rPr>
          <w:rFonts w:ascii="Arial" w:hAnsi="Arial" w:cs="Arial"/>
          <w:lang w:val="mk-MK"/>
        </w:rPr>
        <w:t xml:space="preserve"> </w:t>
      </w:r>
      <w:proofErr w:type="spellStart"/>
      <w:r w:rsidRPr="00F92B5A">
        <w:rPr>
          <w:rFonts w:ascii="Arial" w:hAnsi="Arial" w:cs="Arial"/>
          <w:lang w:val="mk-MK"/>
        </w:rPr>
        <w:t>not</w:t>
      </w:r>
      <w:proofErr w:type="spellEnd"/>
      <w:r w:rsidRPr="00F92B5A">
        <w:rPr>
          <w:rFonts w:ascii="Arial" w:hAnsi="Arial" w:cs="Arial"/>
          <w:lang w:val="mk-MK"/>
        </w:rPr>
        <w:t xml:space="preserve"> </w:t>
      </w:r>
      <w:proofErr w:type="spellStart"/>
      <w:r w:rsidRPr="00F92B5A">
        <w:rPr>
          <w:rFonts w:ascii="Arial" w:hAnsi="Arial" w:cs="Arial"/>
          <w:lang w:val="mk-MK"/>
        </w:rPr>
        <w:t>exposed</w:t>
      </w:r>
      <w:proofErr w:type="spellEnd"/>
      <w:r w:rsidRPr="00F92B5A">
        <w:rPr>
          <w:rFonts w:ascii="Arial" w:hAnsi="Arial" w:cs="Arial"/>
          <w:lang w:val="mk-MK"/>
        </w:rPr>
        <w:t xml:space="preserve"> </w:t>
      </w:r>
      <w:proofErr w:type="spellStart"/>
      <w:r w:rsidRPr="00F92B5A">
        <w:rPr>
          <w:rFonts w:ascii="Arial" w:hAnsi="Arial" w:cs="Arial"/>
          <w:lang w:val="mk-MK"/>
        </w:rPr>
        <w:t>to</w:t>
      </w:r>
      <w:proofErr w:type="spellEnd"/>
      <w:r w:rsidRPr="00F92B5A">
        <w:rPr>
          <w:rFonts w:ascii="Arial" w:hAnsi="Arial" w:cs="Arial"/>
          <w:lang w:val="mk-MK"/>
        </w:rPr>
        <w:t xml:space="preserve"> </w:t>
      </w:r>
      <w:proofErr w:type="spellStart"/>
      <w:r w:rsidRPr="00F92B5A">
        <w:rPr>
          <w:rFonts w:ascii="Arial" w:hAnsi="Arial" w:cs="Arial"/>
          <w:lang w:val="mk-MK"/>
        </w:rPr>
        <w:t>adverse</w:t>
      </w:r>
      <w:proofErr w:type="spellEnd"/>
      <w:r w:rsidRPr="00F92B5A">
        <w:rPr>
          <w:rFonts w:ascii="Arial" w:hAnsi="Arial" w:cs="Arial"/>
          <w:lang w:val="mk-MK"/>
        </w:rPr>
        <w:t xml:space="preserve"> </w:t>
      </w:r>
      <w:proofErr w:type="spellStart"/>
      <w:r w:rsidRPr="00F92B5A">
        <w:rPr>
          <w:rFonts w:ascii="Arial" w:hAnsi="Arial" w:cs="Arial"/>
          <w:lang w:val="mk-MK"/>
        </w:rPr>
        <w:t>consequences</w:t>
      </w:r>
      <w:proofErr w:type="spellEnd"/>
      <w:r w:rsidRPr="00F92B5A">
        <w:rPr>
          <w:rFonts w:ascii="Arial" w:hAnsi="Arial" w:cs="Arial"/>
          <w:lang w:val="mk-MK"/>
        </w:rPr>
        <w:t xml:space="preserve"> </w:t>
      </w:r>
      <w:proofErr w:type="spellStart"/>
      <w:r w:rsidRPr="00F92B5A">
        <w:rPr>
          <w:rFonts w:ascii="Arial" w:hAnsi="Arial" w:cs="Arial"/>
          <w:lang w:val="mk-MK"/>
        </w:rPr>
        <w:t>arising</w:t>
      </w:r>
      <w:proofErr w:type="spellEnd"/>
      <w:r w:rsidRPr="00F92B5A">
        <w:rPr>
          <w:rFonts w:ascii="Arial" w:hAnsi="Arial" w:cs="Arial"/>
          <w:lang w:val="mk-MK"/>
        </w:rPr>
        <w:t xml:space="preserve"> </w:t>
      </w:r>
      <w:proofErr w:type="spellStart"/>
      <w:r w:rsidRPr="00F92B5A">
        <w:rPr>
          <w:rFonts w:ascii="Arial" w:hAnsi="Arial" w:cs="Arial"/>
          <w:lang w:val="mk-MK"/>
        </w:rPr>
        <w:t>from</w:t>
      </w:r>
      <w:proofErr w:type="spellEnd"/>
      <w:r w:rsidRPr="00F92B5A">
        <w:rPr>
          <w:rFonts w:ascii="Arial" w:hAnsi="Arial" w:cs="Arial"/>
          <w:lang w:val="mk-MK"/>
        </w:rPr>
        <w:t xml:space="preserve"> </w:t>
      </w:r>
      <w:proofErr w:type="spellStart"/>
      <w:r w:rsidRPr="00F92B5A">
        <w:rPr>
          <w:rFonts w:ascii="Arial" w:hAnsi="Arial" w:cs="Arial"/>
          <w:lang w:val="mk-MK"/>
        </w:rPr>
        <w:t>fluctuations</w:t>
      </w:r>
      <w:proofErr w:type="spellEnd"/>
      <w:r w:rsidRPr="00F92B5A">
        <w:rPr>
          <w:rFonts w:ascii="Arial" w:hAnsi="Arial" w:cs="Arial"/>
          <w:lang w:val="mk-MK"/>
        </w:rPr>
        <w:t xml:space="preserve"> </w:t>
      </w:r>
      <w:proofErr w:type="spellStart"/>
      <w:r w:rsidRPr="00F92B5A">
        <w:rPr>
          <w:rFonts w:ascii="Arial" w:hAnsi="Arial" w:cs="Arial"/>
          <w:lang w:val="mk-MK"/>
        </w:rPr>
        <w:t>in</w:t>
      </w:r>
      <w:proofErr w:type="spellEnd"/>
      <w:r w:rsidRPr="00F92B5A">
        <w:rPr>
          <w:rFonts w:ascii="Arial" w:hAnsi="Arial" w:cs="Arial"/>
          <w:lang w:val="mk-MK"/>
        </w:rPr>
        <w:t xml:space="preserve"> </w:t>
      </w:r>
      <w:proofErr w:type="spellStart"/>
      <w:r w:rsidRPr="00F92B5A">
        <w:rPr>
          <w:rFonts w:ascii="Arial" w:hAnsi="Arial" w:cs="Arial"/>
          <w:lang w:val="mk-MK"/>
        </w:rPr>
        <w:t>the</w:t>
      </w:r>
      <w:proofErr w:type="spellEnd"/>
      <w:r w:rsidRPr="00F92B5A">
        <w:rPr>
          <w:rFonts w:ascii="Arial" w:hAnsi="Arial" w:cs="Arial"/>
          <w:lang w:val="mk-MK"/>
        </w:rPr>
        <w:t xml:space="preserve"> </w:t>
      </w:r>
      <w:proofErr w:type="spellStart"/>
      <w:r w:rsidRPr="00F92B5A">
        <w:rPr>
          <w:rFonts w:ascii="Arial" w:hAnsi="Arial" w:cs="Arial"/>
          <w:lang w:val="mk-MK"/>
        </w:rPr>
        <w:t>market</w:t>
      </w:r>
      <w:proofErr w:type="spellEnd"/>
      <w:r w:rsidRPr="00F92B5A">
        <w:rPr>
          <w:rFonts w:ascii="Arial" w:hAnsi="Arial" w:cs="Arial"/>
          <w:lang w:val="mk-MK"/>
        </w:rPr>
        <w:t xml:space="preserve"> </w:t>
      </w:r>
      <w:proofErr w:type="spellStart"/>
      <w:r w:rsidRPr="00F92B5A">
        <w:rPr>
          <w:rFonts w:ascii="Arial" w:hAnsi="Arial" w:cs="Arial"/>
          <w:lang w:val="mk-MK"/>
        </w:rPr>
        <w:t>interest</w:t>
      </w:r>
      <w:proofErr w:type="spellEnd"/>
      <w:r w:rsidRPr="00F92B5A">
        <w:rPr>
          <w:rFonts w:ascii="Arial" w:hAnsi="Arial" w:cs="Arial"/>
          <w:lang w:val="mk-MK"/>
        </w:rPr>
        <w:t xml:space="preserve"> </w:t>
      </w:r>
      <w:proofErr w:type="spellStart"/>
      <w:r w:rsidRPr="00F92B5A">
        <w:rPr>
          <w:rFonts w:ascii="Arial" w:hAnsi="Arial" w:cs="Arial"/>
          <w:lang w:val="mk-MK"/>
        </w:rPr>
        <w:t>rates</w:t>
      </w:r>
      <w:proofErr w:type="spellEnd"/>
      <w:r w:rsidRPr="00F92B5A">
        <w:rPr>
          <w:rFonts w:ascii="Arial" w:hAnsi="Arial" w:cs="Arial"/>
          <w:lang w:val="mk-MK"/>
        </w:rPr>
        <w:t>.</w:t>
      </w:r>
    </w:p>
    <w:p w14:paraId="41CA1A02" w14:textId="01548EE7" w:rsidR="005F248E" w:rsidRDefault="005F248E" w:rsidP="00815E65">
      <w:pPr>
        <w:pStyle w:val="BodyText"/>
        <w:jc w:val="both"/>
        <w:rPr>
          <w:rFonts w:ascii="Arial" w:hAnsi="Arial" w:cs="Arial"/>
          <w:lang w:val="mk-MK"/>
        </w:rPr>
      </w:pPr>
    </w:p>
    <w:p w14:paraId="23FAF508" w14:textId="6D9707D3" w:rsidR="005F248E" w:rsidRDefault="005F248E" w:rsidP="00815E65">
      <w:pPr>
        <w:pStyle w:val="BodyText"/>
        <w:jc w:val="both"/>
        <w:rPr>
          <w:rFonts w:ascii="Arial" w:hAnsi="Arial" w:cs="Arial"/>
          <w:lang w:val="mk-MK"/>
        </w:rPr>
      </w:pPr>
    </w:p>
    <w:p w14:paraId="56141FC7" w14:textId="5D13E9BC" w:rsidR="005F248E" w:rsidRDefault="005F248E" w:rsidP="00815E65">
      <w:pPr>
        <w:pStyle w:val="BodyText"/>
        <w:jc w:val="both"/>
        <w:rPr>
          <w:rFonts w:ascii="Arial" w:hAnsi="Arial" w:cs="Arial"/>
          <w:lang w:val="mk-MK"/>
        </w:rPr>
      </w:pPr>
    </w:p>
    <w:p w14:paraId="5FFAC655" w14:textId="3297A071" w:rsidR="005F248E" w:rsidRDefault="005F248E" w:rsidP="00815E65">
      <w:pPr>
        <w:pStyle w:val="BodyText"/>
        <w:jc w:val="both"/>
        <w:rPr>
          <w:rFonts w:ascii="Arial" w:hAnsi="Arial" w:cs="Arial"/>
          <w:lang w:val="mk-MK"/>
        </w:rPr>
      </w:pPr>
    </w:p>
    <w:p w14:paraId="7DF2E8A9" w14:textId="6AD4A4E3" w:rsidR="005F248E" w:rsidRDefault="005F248E" w:rsidP="00815E65">
      <w:pPr>
        <w:pStyle w:val="BodyText"/>
        <w:jc w:val="both"/>
        <w:rPr>
          <w:rFonts w:ascii="Arial" w:hAnsi="Arial" w:cs="Arial"/>
          <w:lang w:val="mk-MK"/>
        </w:rPr>
      </w:pPr>
    </w:p>
    <w:p w14:paraId="7AC67E4A" w14:textId="2BE7D764" w:rsidR="005F248E" w:rsidRDefault="005F248E" w:rsidP="00815E65">
      <w:pPr>
        <w:pStyle w:val="BodyText"/>
        <w:jc w:val="both"/>
        <w:rPr>
          <w:rFonts w:ascii="Arial" w:hAnsi="Arial" w:cs="Arial"/>
          <w:lang w:val="mk-MK"/>
        </w:rPr>
      </w:pPr>
    </w:p>
    <w:p w14:paraId="783EF091" w14:textId="219FD154" w:rsidR="005F248E" w:rsidRDefault="005F248E" w:rsidP="00815E65">
      <w:pPr>
        <w:pStyle w:val="BodyText"/>
        <w:jc w:val="both"/>
        <w:rPr>
          <w:rFonts w:ascii="Arial" w:hAnsi="Arial" w:cs="Arial"/>
          <w:lang w:val="mk-MK"/>
        </w:rPr>
      </w:pPr>
    </w:p>
    <w:p w14:paraId="0B2E57AA" w14:textId="0BE5C790" w:rsidR="005F248E" w:rsidRDefault="005F248E" w:rsidP="00815E65">
      <w:pPr>
        <w:pStyle w:val="BodyText"/>
        <w:jc w:val="both"/>
        <w:rPr>
          <w:rFonts w:ascii="Arial" w:hAnsi="Arial" w:cs="Arial"/>
          <w:lang w:val="mk-MK"/>
        </w:rPr>
      </w:pPr>
    </w:p>
    <w:p w14:paraId="092598A3" w14:textId="025D56F9" w:rsidR="005F248E" w:rsidRDefault="005F248E" w:rsidP="00815E65">
      <w:pPr>
        <w:pStyle w:val="BodyText"/>
        <w:jc w:val="both"/>
        <w:rPr>
          <w:rFonts w:ascii="Arial" w:hAnsi="Arial" w:cs="Arial"/>
          <w:lang w:val="mk-MK"/>
        </w:rPr>
      </w:pPr>
    </w:p>
    <w:p w14:paraId="51DE32F2" w14:textId="5455595D" w:rsidR="005F248E" w:rsidRDefault="005F248E" w:rsidP="00815E65">
      <w:pPr>
        <w:pStyle w:val="BodyText"/>
        <w:jc w:val="both"/>
        <w:rPr>
          <w:rFonts w:ascii="Arial" w:hAnsi="Arial" w:cs="Arial"/>
          <w:lang w:val="mk-MK"/>
        </w:rPr>
      </w:pPr>
    </w:p>
    <w:p w14:paraId="69522165" w14:textId="0ED80D04" w:rsidR="005F248E" w:rsidRDefault="005F248E" w:rsidP="00815E65">
      <w:pPr>
        <w:pStyle w:val="BodyText"/>
        <w:jc w:val="both"/>
        <w:rPr>
          <w:rFonts w:ascii="Arial" w:hAnsi="Arial" w:cs="Arial"/>
          <w:lang w:val="mk-MK"/>
        </w:rPr>
      </w:pPr>
    </w:p>
    <w:p w14:paraId="11780675" w14:textId="77777777" w:rsidR="005F248E" w:rsidRPr="00CE3053" w:rsidRDefault="005F248E" w:rsidP="00815E65">
      <w:pPr>
        <w:pStyle w:val="BodyText"/>
        <w:jc w:val="both"/>
        <w:rPr>
          <w:rFonts w:ascii="Arial" w:hAnsi="Arial" w:cs="Arial"/>
          <w:lang w:val="mk-MK"/>
        </w:rPr>
      </w:pPr>
    </w:p>
    <w:p w14:paraId="0ACA2ADA" w14:textId="68A80DC6" w:rsidR="00815E65" w:rsidRPr="00CE3053" w:rsidRDefault="00F92B5A" w:rsidP="0061511C">
      <w:pPr>
        <w:pStyle w:val="NumberedHeading2"/>
        <w:numPr>
          <w:ilvl w:val="1"/>
          <w:numId w:val="22"/>
        </w:numPr>
        <w:spacing w:before="0" w:after="0" w:line="260" w:lineRule="atLeast"/>
        <w:jc w:val="both"/>
        <w:rPr>
          <w:rFonts w:ascii="Arial" w:hAnsi="Arial" w:cs="Arial"/>
          <w:b/>
          <w:color w:val="4F2D7F"/>
          <w:sz w:val="18"/>
          <w:szCs w:val="18"/>
          <w:lang w:val="mk-MK"/>
        </w:rPr>
      </w:pPr>
      <w:r>
        <w:rPr>
          <w:rFonts w:ascii="Arial" w:hAnsi="Arial" w:cs="Arial"/>
          <w:b/>
          <w:color w:val="4F2D7F"/>
          <w:sz w:val="18"/>
          <w:szCs w:val="18"/>
          <w:lang w:val="en-US"/>
        </w:rPr>
        <w:lastRenderedPageBreak/>
        <w:t>Liquidity risk</w:t>
      </w:r>
    </w:p>
    <w:p w14:paraId="08DAAF10" w14:textId="1BA2A247" w:rsidR="00815E65" w:rsidRDefault="009220E5" w:rsidP="00815E65">
      <w:pPr>
        <w:pStyle w:val="BodyText"/>
        <w:jc w:val="both"/>
        <w:rPr>
          <w:rFonts w:ascii="Arial" w:hAnsi="Arial" w:cs="Arial"/>
          <w:lang w:val="mk-MK"/>
        </w:rPr>
      </w:pPr>
      <w:proofErr w:type="spellStart"/>
      <w:r w:rsidRPr="009220E5">
        <w:rPr>
          <w:rFonts w:ascii="Arial" w:hAnsi="Arial" w:cs="Arial"/>
          <w:lang w:val="mk-MK"/>
        </w:rPr>
        <w:t>Liquidity</w:t>
      </w:r>
      <w:proofErr w:type="spellEnd"/>
      <w:r w:rsidRPr="009220E5">
        <w:rPr>
          <w:rFonts w:ascii="Arial" w:hAnsi="Arial" w:cs="Arial"/>
          <w:lang w:val="mk-MK"/>
        </w:rPr>
        <w:t xml:space="preserve"> </w:t>
      </w:r>
      <w:proofErr w:type="spellStart"/>
      <w:r w:rsidRPr="009220E5">
        <w:rPr>
          <w:rFonts w:ascii="Arial" w:hAnsi="Arial" w:cs="Arial"/>
          <w:lang w:val="mk-MK"/>
        </w:rPr>
        <w:t>risk</w:t>
      </w:r>
      <w:proofErr w:type="spellEnd"/>
      <w:r w:rsidRPr="009220E5">
        <w:rPr>
          <w:rFonts w:ascii="Arial" w:hAnsi="Arial" w:cs="Arial"/>
          <w:lang w:val="mk-MK"/>
        </w:rPr>
        <w:t xml:space="preserve"> </w:t>
      </w:r>
      <w:proofErr w:type="spellStart"/>
      <w:r w:rsidRPr="009220E5">
        <w:rPr>
          <w:rFonts w:ascii="Arial" w:hAnsi="Arial" w:cs="Arial"/>
          <w:lang w:val="mk-MK"/>
        </w:rPr>
        <w:t>occurs</w:t>
      </w:r>
      <w:proofErr w:type="spellEnd"/>
      <w:r w:rsidRPr="009220E5">
        <w:rPr>
          <w:rFonts w:ascii="Arial" w:hAnsi="Arial" w:cs="Arial"/>
          <w:lang w:val="mk-MK"/>
        </w:rPr>
        <w:t xml:space="preserve"> </w:t>
      </w:r>
      <w:proofErr w:type="spellStart"/>
      <w:r w:rsidRPr="009220E5">
        <w:rPr>
          <w:rFonts w:ascii="Arial" w:hAnsi="Arial" w:cs="Arial"/>
          <w:lang w:val="mk-MK"/>
        </w:rPr>
        <w:t>in</w:t>
      </w:r>
      <w:proofErr w:type="spellEnd"/>
      <w:r w:rsidRPr="009220E5">
        <w:rPr>
          <w:rFonts w:ascii="Arial" w:hAnsi="Arial" w:cs="Arial"/>
          <w:lang w:val="mk-MK"/>
        </w:rPr>
        <w:t xml:space="preserve"> </w:t>
      </w:r>
      <w:proofErr w:type="spellStart"/>
      <w:r w:rsidRPr="009220E5">
        <w:rPr>
          <w:rFonts w:ascii="Arial" w:hAnsi="Arial" w:cs="Arial"/>
          <w:lang w:val="mk-MK"/>
        </w:rPr>
        <w:t>course</w:t>
      </w:r>
      <w:proofErr w:type="spellEnd"/>
      <w:r w:rsidRPr="009220E5">
        <w:rPr>
          <w:rFonts w:ascii="Arial" w:hAnsi="Arial" w:cs="Arial"/>
          <w:lang w:val="mk-MK"/>
        </w:rPr>
        <w:t xml:space="preserve"> </w:t>
      </w:r>
      <w:proofErr w:type="spellStart"/>
      <w:r w:rsidRPr="009220E5">
        <w:rPr>
          <w:rFonts w:ascii="Arial" w:hAnsi="Arial" w:cs="Arial"/>
          <w:lang w:val="mk-MK"/>
        </w:rPr>
        <w:t>of</w:t>
      </w:r>
      <w:proofErr w:type="spellEnd"/>
      <w:r w:rsidRPr="009220E5">
        <w:rPr>
          <w:rFonts w:ascii="Arial" w:hAnsi="Arial" w:cs="Arial"/>
          <w:lang w:val="mk-MK"/>
        </w:rPr>
        <w:t xml:space="preserve"> </w:t>
      </w:r>
      <w:proofErr w:type="spellStart"/>
      <w:r w:rsidRPr="009220E5">
        <w:rPr>
          <w:rFonts w:ascii="Arial" w:hAnsi="Arial" w:cs="Arial"/>
          <w:lang w:val="mk-MK"/>
        </w:rPr>
        <w:t>financing</w:t>
      </w:r>
      <w:proofErr w:type="spellEnd"/>
      <w:r w:rsidRPr="009220E5">
        <w:rPr>
          <w:rFonts w:ascii="Arial" w:hAnsi="Arial" w:cs="Arial"/>
          <w:lang w:val="mk-MK"/>
        </w:rPr>
        <w:t xml:space="preserve"> </w:t>
      </w:r>
      <w:proofErr w:type="spellStart"/>
      <w:r w:rsidRPr="009220E5">
        <w:rPr>
          <w:rFonts w:ascii="Arial" w:hAnsi="Arial" w:cs="Arial"/>
          <w:lang w:val="mk-MK"/>
        </w:rPr>
        <w:t>the</w:t>
      </w:r>
      <w:proofErr w:type="spellEnd"/>
      <w:r w:rsidRPr="009220E5">
        <w:rPr>
          <w:rFonts w:ascii="Arial" w:hAnsi="Arial" w:cs="Arial"/>
          <w:lang w:val="mk-MK"/>
        </w:rPr>
        <w:t xml:space="preserve"> </w:t>
      </w:r>
      <w:proofErr w:type="spellStart"/>
      <w:r w:rsidRPr="009220E5">
        <w:rPr>
          <w:rFonts w:ascii="Arial" w:hAnsi="Arial" w:cs="Arial"/>
          <w:lang w:val="mk-MK"/>
        </w:rPr>
        <w:t>Fund’s</w:t>
      </w:r>
      <w:proofErr w:type="spellEnd"/>
      <w:r w:rsidRPr="009220E5">
        <w:rPr>
          <w:rFonts w:ascii="Arial" w:hAnsi="Arial" w:cs="Arial"/>
          <w:lang w:val="mk-MK"/>
        </w:rPr>
        <w:t xml:space="preserve"> </w:t>
      </w:r>
      <w:proofErr w:type="spellStart"/>
      <w:r w:rsidRPr="009220E5">
        <w:rPr>
          <w:rFonts w:ascii="Arial" w:hAnsi="Arial" w:cs="Arial"/>
          <w:lang w:val="mk-MK"/>
        </w:rPr>
        <w:t>activities</w:t>
      </w:r>
      <w:proofErr w:type="spellEnd"/>
      <w:r w:rsidRPr="009220E5">
        <w:rPr>
          <w:rFonts w:ascii="Arial" w:hAnsi="Arial" w:cs="Arial"/>
          <w:lang w:val="mk-MK"/>
        </w:rPr>
        <w:t xml:space="preserve"> </w:t>
      </w:r>
      <w:proofErr w:type="spellStart"/>
      <w:r w:rsidRPr="009220E5">
        <w:rPr>
          <w:rFonts w:ascii="Arial" w:hAnsi="Arial" w:cs="Arial"/>
          <w:lang w:val="mk-MK"/>
        </w:rPr>
        <w:t>and</w:t>
      </w:r>
      <w:proofErr w:type="spellEnd"/>
      <w:r w:rsidRPr="009220E5">
        <w:rPr>
          <w:rFonts w:ascii="Arial" w:hAnsi="Arial" w:cs="Arial"/>
          <w:lang w:val="mk-MK"/>
        </w:rPr>
        <w:t xml:space="preserve"> </w:t>
      </w:r>
      <w:proofErr w:type="spellStart"/>
      <w:r w:rsidRPr="009220E5">
        <w:rPr>
          <w:rFonts w:ascii="Arial" w:hAnsi="Arial" w:cs="Arial"/>
          <w:lang w:val="mk-MK"/>
        </w:rPr>
        <w:t>managing</w:t>
      </w:r>
      <w:proofErr w:type="spellEnd"/>
      <w:r w:rsidRPr="009220E5">
        <w:rPr>
          <w:rFonts w:ascii="Arial" w:hAnsi="Arial" w:cs="Arial"/>
          <w:lang w:val="mk-MK"/>
        </w:rPr>
        <w:t xml:space="preserve"> </w:t>
      </w:r>
      <w:proofErr w:type="spellStart"/>
      <w:r w:rsidRPr="009220E5">
        <w:rPr>
          <w:rFonts w:ascii="Arial" w:hAnsi="Arial" w:cs="Arial"/>
          <w:lang w:val="mk-MK"/>
        </w:rPr>
        <w:t>its</w:t>
      </w:r>
      <w:proofErr w:type="spellEnd"/>
      <w:r w:rsidRPr="009220E5">
        <w:rPr>
          <w:rFonts w:ascii="Arial" w:hAnsi="Arial" w:cs="Arial"/>
          <w:lang w:val="mk-MK"/>
        </w:rPr>
        <w:t xml:space="preserve"> </w:t>
      </w:r>
      <w:proofErr w:type="spellStart"/>
      <w:r w:rsidRPr="009220E5">
        <w:rPr>
          <w:rFonts w:ascii="Arial" w:hAnsi="Arial" w:cs="Arial"/>
          <w:lang w:val="mk-MK"/>
        </w:rPr>
        <w:t>financial</w:t>
      </w:r>
      <w:proofErr w:type="spellEnd"/>
      <w:r w:rsidRPr="009220E5">
        <w:rPr>
          <w:rFonts w:ascii="Arial" w:hAnsi="Arial" w:cs="Arial"/>
          <w:lang w:val="mk-MK"/>
        </w:rPr>
        <w:t xml:space="preserve"> </w:t>
      </w:r>
      <w:proofErr w:type="spellStart"/>
      <w:r w:rsidRPr="009220E5">
        <w:rPr>
          <w:rFonts w:ascii="Arial" w:hAnsi="Arial" w:cs="Arial"/>
          <w:lang w:val="mk-MK"/>
        </w:rPr>
        <w:t>position</w:t>
      </w:r>
      <w:proofErr w:type="spellEnd"/>
      <w:r w:rsidRPr="009220E5">
        <w:rPr>
          <w:rFonts w:ascii="Arial" w:hAnsi="Arial" w:cs="Arial"/>
          <w:lang w:val="mk-MK"/>
        </w:rPr>
        <w:t xml:space="preserve">. </w:t>
      </w:r>
      <w:proofErr w:type="spellStart"/>
      <w:r w:rsidRPr="009220E5">
        <w:rPr>
          <w:rFonts w:ascii="Arial" w:hAnsi="Arial" w:cs="Arial"/>
          <w:lang w:val="mk-MK"/>
        </w:rPr>
        <w:t>It</w:t>
      </w:r>
      <w:proofErr w:type="spellEnd"/>
      <w:r w:rsidRPr="009220E5">
        <w:rPr>
          <w:rFonts w:ascii="Arial" w:hAnsi="Arial" w:cs="Arial"/>
          <w:lang w:val="mk-MK"/>
        </w:rPr>
        <w:t xml:space="preserve"> </w:t>
      </w:r>
      <w:proofErr w:type="spellStart"/>
      <w:r w:rsidRPr="009220E5">
        <w:rPr>
          <w:rFonts w:ascii="Arial" w:hAnsi="Arial" w:cs="Arial"/>
          <w:lang w:val="mk-MK"/>
        </w:rPr>
        <w:t>includes</w:t>
      </w:r>
      <w:proofErr w:type="spellEnd"/>
      <w:r w:rsidRPr="009220E5">
        <w:rPr>
          <w:rFonts w:ascii="Arial" w:hAnsi="Arial" w:cs="Arial"/>
          <w:lang w:val="mk-MK"/>
        </w:rPr>
        <w:t xml:space="preserve"> </w:t>
      </w:r>
      <w:proofErr w:type="spellStart"/>
      <w:r w:rsidRPr="009220E5">
        <w:rPr>
          <w:rFonts w:ascii="Arial" w:hAnsi="Arial" w:cs="Arial"/>
          <w:lang w:val="mk-MK"/>
        </w:rPr>
        <w:t>risk</w:t>
      </w:r>
      <w:proofErr w:type="spellEnd"/>
      <w:r w:rsidRPr="009220E5">
        <w:rPr>
          <w:rFonts w:ascii="Arial" w:hAnsi="Arial" w:cs="Arial"/>
          <w:lang w:val="mk-MK"/>
        </w:rPr>
        <w:t xml:space="preserve"> </w:t>
      </w:r>
      <w:proofErr w:type="spellStart"/>
      <w:r w:rsidRPr="009220E5">
        <w:rPr>
          <w:rFonts w:ascii="Arial" w:hAnsi="Arial" w:cs="Arial"/>
          <w:lang w:val="mk-MK"/>
        </w:rPr>
        <w:t>of</w:t>
      </w:r>
      <w:proofErr w:type="spellEnd"/>
      <w:r w:rsidRPr="009220E5">
        <w:rPr>
          <w:rFonts w:ascii="Arial" w:hAnsi="Arial" w:cs="Arial"/>
          <w:lang w:val="mk-MK"/>
        </w:rPr>
        <w:t xml:space="preserve"> </w:t>
      </w:r>
      <w:proofErr w:type="spellStart"/>
      <w:r w:rsidRPr="009220E5">
        <w:rPr>
          <w:rFonts w:ascii="Arial" w:hAnsi="Arial" w:cs="Arial"/>
          <w:lang w:val="mk-MK"/>
        </w:rPr>
        <w:t>inability</w:t>
      </w:r>
      <w:proofErr w:type="spellEnd"/>
      <w:r w:rsidRPr="009220E5">
        <w:rPr>
          <w:rFonts w:ascii="Arial" w:hAnsi="Arial" w:cs="Arial"/>
          <w:lang w:val="mk-MK"/>
        </w:rPr>
        <w:t xml:space="preserve"> </w:t>
      </w:r>
      <w:proofErr w:type="spellStart"/>
      <w:r w:rsidRPr="009220E5">
        <w:rPr>
          <w:rFonts w:ascii="Arial" w:hAnsi="Arial" w:cs="Arial"/>
          <w:lang w:val="mk-MK"/>
        </w:rPr>
        <w:t>to</w:t>
      </w:r>
      <w:proofErr w:type="spellEnd"/>
      <w:r w:rsidRPr="009220E5">
        <w:rPr>
          <w:rFonts w:ascii="Arial" w:hAnsi="Arial" w:cs="Arial"/>
          <w:lang w:val="mk-MK"/>
        </w:rPr>
        <w:t xml:space="preserve"> </w:t>
      </w:r>
      <w:proofErr w:type="spellStart"/>
      <w:r w:rsidRPr="009220E5">
        <w:rPr>
          <w:rFonts w:ascii="Arial" w:hAnsi="Arial" w:cs="Arial"/>
          <w:lang w:val="mk-MK"/>
        </w:rPr>
        <w:t>obtain</w:t>
      </w:r>
      <w:proofErr w:type="spellEnd"/>
      <w:r w:rsidRPr="009220E5">
        <w:rPr>
          <w:rFonts w:ascii="Arial" w:hAnsi="Arial" w:cs="Arial"/>
          <w:lang w:val="mk-MK"/>
        </w:rPr>
        <w:t xml:space="preserve"> </w:t>
      </w:r>
      <w:proofErr w:type="spellStart"/>
      <w:r w:rsidRPr="009220E5">
        <w:rPr>
          <w:rFonts w:ascii="Arial" w:hAnsi="Arial" w:cs="Arial"/>
          <w:lang w:val="mk-MK"/>
        </w:rPr>
        <w:t>funds</w:t>
      </w:r>
      <w:proofErr w:type="spellEnd"/>
      <w:r w:rsidRPr="009220E5">
        <w:rPr>
          <w:rFonts w:ascii="Arial" w:hAnsi="Arial" w:cs="Arial"/>
          <w:lang w:val="mk-MK"/>
        </w:rPr>
        <w:t xml:space="preserve"> </w:t>
      </w:r>
      <w:proofErr w:type="spellStart"/>
      <w:r w:rsidRPr="009220E5">
        <w:rPr>
          <w:rFonts w:ascii="Arial" w:hAnsi="Arial" w:cs="Arial"/>
          <w:lang w:val="mk-MK"/>
        </w:rPr>
        <w:t>with</w:t>
      </w:r>
      <w:proofErr w:type="spellEnd"/>
      <w:r w:rsidRPr="009220E5">
        <w:rPr>
          <w:rFonts w:ascii="Arial" w:hAnsi="Arial" w:cs="Arial"/>
          <w:lang w:val="mk-MK"/>
        </w:rPr>
        <w:t xml:space="preserve"> </w:t>
      </w:r>
      <w:proofErr w:type="spellStart"/>
      <w:r w:rsidRPr="009220E5">
        <w:rPr>
          <w:rFonts w:ascii="Arial" w:hAnsi="Arial" w:cs="Arial"/>
          <w:lang w:val="mk-MK"/>
        </w:rPr>
        <w:t>adequate</w:t>
      </w:r>
      <w:proofErr w:type="spellEnd"/>
      <w:r w:rsidRPr="009220E5">
        <w:rPr>
          <w:rFonts w:ascii="Arial" w:hAnsi="Arial" w:cs="Arial"/>
          <w:lang w:val="mk-MK"/>
        </w:rPr>
        <w:t xml:space="preserve"> </w:t>
      </w:r>
      <w:proofErr w:type="spellStart"/>
      <w:r w:rsidRPr="009220E5">
        <w:rPr>
          <w:rFonts w:ascii="Arial" w:hAnsi="Arial" w:cs="Arial"/>
          <w:lang w:val="mk-MK"/>
        </w:rPr>
        <w:t>maturity</w:t>
      </w:r>
      <w:proofErr w:type="spellEnd"/>
      <w:r w:rsidRPr="009220E5">
        <w:rPr>
          <w:rFonts w:ascii="Arial" w:hAnsi="Arial" w:cs="Arial"/>
          <w:lang w:val="mk-MK"/>
        </w:rPr>
        <w:t xml:space="preserve"> </w:t>
      </w:r>
      <w:proofErr w:type="spellStart"/>
      <w:r w:rsidRPr="009220E5">
        <w:rPr>
          <w:rFonts w:ascii="Arial" w:hAnsi="Arial" w:cs="Arial"/>
          <w:lang w:val="mk-MK"/>
        </w:rPr>
        <w:t>and</w:t>
      </w:r>
      <w:proofErr w:type="spellEnd"/>
      <w:r w:rsidRPr="009220E5">
        <w:rPr>
          <w:rFonts w:ascii="Arial" w:hAnsi="Arial" w:cs="Arial"/>
          <w:lang w:val="mk-MK"/>
        </w:rPr>
        <w:t xml:space="preserve"> </w:t>
      </w:r>
      <w:proofErr w:type="spellStart"/>
      <w:r w:rsidRPr="009220E5">
        <w:rPr>
          <w:rFonts w:ascii="Arial" w:hAnsi="Arial" w:cs="Arial"/>
          <w:lang w:val="mk-MK"/>
        </w:rPr>
        <w:t>risk</w:t>
      </w:r>
      <w:proofErr w:type="spellEnd"/>
      <w:r w:rsidRPr="009220E5">
        <w:rPr>
          <w:rFonts w:ascii="Arial" w:hAnsi="Arial" w:cs="Arial"/>
          <w:lang w:val="mk-MK"/>
        </w:rPr>
        <w:t xml:space="preserve"> </w:t>
      </w:r>
      <w:proofErr w:type="spellStart"/>
      <w:r w:rsidRPr="009220E5">
        <w:rPr>
          <w:rFonts w:ascii="Arial" w:hAnsi="Arial" w:cs="Arial"/>
          <w:lang w:val="mk-MK"/>
        </w:rPr>
        <w:t>of</w:t>
      </w:r>
      <w:proofErr w:type="spellEnd"/>
      <w:r w:rsidRPr="009220E5">
        <w:rPr>
          <w:rFonts w:ascii="Arial" w:hAnsi="Arial" w:cs="Arial"/>
          <w:lang w:val="mk-MK"/>
        </w:rPr>
        <w:t xml:space="preserve"> </w:t>
      </w:r>
      <w:proofErr w:type="spellStart"/>
      <w:r w:rsidRPr="009220E5">
        <w:rPr>
          <w:rFonts w:ascii="Arial" w:hAnsi="Arial" w:cs="Arial"/>
          <w:lang w:val="mk-MK"/>
        </w:rPr>
        <w:t>inability</w:t>
      </w:r>
      <w:proofErr w:type="spellEnd"/>
      <w:r w:rsidRPr="009220E5">
        <w:rPr>
          <w:rFonts w:ascii="Arial" w:hAnsi="Arial" w:cs="Arial"/>
          <w:lang w:val="mk-MK"/>
        </w:rPr>
        <w:t xml:space="preserve"> </w:t>
      </w:r>
      <w:proofErr w:type="spellStart"/>
      <w:r w:rsidRPr="009220E5">
        <w:rPr>
          <w:rFonts w:ascii="Arial" w:hAnsi="Arial" w:cs="Arial"/>
          <w:lang w:val="mk-MK"/>
        </w:rPr>
        <w:t>to</w:t>
      </w:r>
      <w:proofErr w:type="spellEnd"/>
      <w:r w:rsidRPr="009220E5">
        <w:rPr>
          <w:rFonts w:ascii="Arial" w:hAnsi="Arial" w:cs="Arial"/>
          <w:lang w:val="mk-MK"/>
        </w:rPr>
        <w:t xml:space="preserve"> </w:t>
      </w:r>
      <w:r>
        <w:rPr>
          <w:rFonts w:ascii="Arial" w:hAnsi="Arial" w:cs="Arial"/>
          <w:lang w:val="en-US"/>
        </w:rPr>
        <w:t>liquidate</w:t>
      </w:r>
      <w:r w:rsidRPr="009220E5">
        <w:rPr>
          <w:rFonts w:ascii="Arial" w:hAnsi="Arial" w:cs="Arial"/>
          <w:lang w:val="mk-MK"/>
        </w:rPr>
        <w:t xml:space="preserve"> </w:t>
      </w:r>
      <w:proofErr w:type="spellStart"/>
      <w:r w:rsidRPr="009220E5">
        <w:rPr>
          <w:rFonts w:ascii="Arial" w:hAnsi="Arial" w:cs="Arial"/>
          <w:lang w:val="mk-MK"/>
        </w:rPr>
        <w:t>an</w:t>
      </w:r>
      <w:proofErr w:type="spellEnd"/>
      <w:r w:rsidRPr="009220E5">
        <w:rPr>
          <w:rFonts w:ascii="Arial" w:hAnsi="Arial" w:cs="Arial"/>
          <w:lang w:val="mk-MK"/>
        </w:rPr>
        <w:t xml:space="preserve"> </w:t>
      </w:r>
      <w:proofErr w:type="spellStart"/>
      <w:r w:rsidRPr="009220E5">
        <w:rPr>
          <w:rFonts w:ascii="Arial" w:hAnsi="Arial" w:cs="Arial"/>
          <w:lang w:val="mk-MK"/>
        </w:rPr>
        <w:t>asset</w:t>
      </w:r>
      <w:proofErr w:type="spellEnd"/>
      <w:r w:rsidRPr="009220E5">
        <w:rPr>
          <w:rFonts w:ascii="Arial" w:hAnsi="Arial" w:cs="Arial"/>
          <w:lang w:val="mk-MK"/>
        </w:rPr>
        <w:t xml:space="preserve"> </w:t>
      </w:r>
      <w:proofErr w:type="spellStart"/>
      <w:r w:rsidRPr="009220E5">
        <w:rPr>
          <w:rFonts w:ascii="Arial" w:hAnsi="Arial" w:cs="Arial"/>
          <w:lang w:val="mk-MK"/>
        </w:rPr>
        <w:t>at</w:t>
      </w:r>
      <w:proofErr w:type="spellEnd"/>
      <w:r w:rsidRPr="009220E5">
        <w:rPr>
          <w:rFonts w:ascii="Arial" w:hAnsi="Arial" w:cs="Arial"/>
          <w:lang w:val="mk-MK"/>
        </w:rPr>
        <w:t xml:space="preserve"> </w:t>
      </w:r>
      <w:proofErr w:type="spellStart"/>
      <w:r w:rsidRPr="009220E5">
        <w:rPr>
          <w:rFonts w:ascii="Arial" w:hAnsi="Arial" w:cs="Arial"/>
          <w:lang w:val="mk-MK"/>
        </w:rPr>
        <w:t>reasonable</w:t>
      </w:r>
      <w:proofErr w:type="spellEnd"/>
      <w:r w:rsidRPr="009220E5">
        <w:rPr>
          <w:rFonts w:ascii="Arial" w:hAnsi="Arial" w:cs="Arial"/>
          <w:lang w:val="mk-MK"/>
        </w:rPr>
        <w:t xml:space="preserve"> </w:t>
      </w:r>
      <w:proofErr w:type="spellStart"/>
      <w:r w:rsidRPr="009220E5">
        <w:rPr>
          <w:rFonts w:ascii="Arial" w:hAnsi="Arial" w:cs="Arial"/>
          <w:lang w:val="mk-MK"/>
        </w:rPr>
        <w:t>price</w:t>
      </w:r>
      <w:proofErr w:type="spellEnd"/>
      <w:r w:rsidRPr="009220E5">
        <w:rPr>
          <w:rFonts w:ascii="Arial" w:hAnsi="Arial" w:cs="Arial"/>
          <w:lang w:val="mk-MK"/>
        </w:rPr>
        <w:t xml:space="preserve"> </w:t>
      </w:r>
      <w:proofErr w:type="spellStart"/>
      <w:r w:rsidRPr="009220E5">
        <w:rPr>
          <w:rFonts w:ascii="Arial" w:hAnsi="Arial" w:cs="Arial"/>
          <w:lang w:val="mk-MK"/>
        </w:rPr>
        <w:t>and</w:t>
      </w:r>
      <w:proofErr w:type="spellEnd"/>
      <w:r w:rsidRPr="009220E5">
        <w:rPr>
          <w:rFonts w:ascii="Arial" w:hAnsi="Arial" w:cs="Arial"/>
          <w:lang w:val="mk-MK"/>
        </w:rPr>
        <w:t xml:space="preserve"> </w:t>
      </w:r>
      <w:proofErr w:type="spellStart"/>
      <w:r w:rsidRPr="009220E5">
        <w:rPr>
          <w:rFonts w:ascii="Arial" w:hAnsi="Arial" w:cs="Arial"/>
          <w:lang w:val="mk-MK"/>
        </w:rPr>
        <w:t>within</w:t>
      </w:r>
      <w:proofErr w:type="spellEnd"/>
      <w:r w:rsidRPr="009220E5">
        <w:rPr>
          <w:rFonts w:ascii="Arial" w:hAnsi="Arial" w:cs="Arial"/>
          <w:lang w:val="mk-MK"/>
        </w:rPr>
        <w:t xml:space="preserve"> </w:t>
      </w:r>
      <w:proofErr w:type="spellStart"/>
      <w:r w:rsidRPr="009220E5">
        <w:rPr>
          <w:rFonts w:ascii="Arial" w:hAnsi="Arial" w:cs="Arial"/>
          <w:lang w:val="mk-MK"/>
        </w:rPr>
        <w:t>adequate</w:t>
      </w:r>
      <w:proofErr w:type="spellEnd"/>
      <w:r w:rsidRPr="009220E5">
        <w:rPr>
          <w:rFonts w:ascii="Arial" w:hAnsi="Arial" w:cs="Arial"/>
          <w:lang w:val="mk-MK"/>
        </w:rPr>
        <w:t xml:space="preserve"> </w:t>
      </w:r>
      <w:proofErr w:type="spellStart"/>
      <w:r w:rsidRPr="009220E5">
        <w:rPr>
          <w:rFonts w:ascii="Arial" w:hAnsi="Arial" w:cs="Arial"/>
          <w:lang w:val="mk-MK"/>
        </w:rPr>
        <w:t>period</w:t>
      </w:r>
      <w:proofErr w:type="spellEnd"/>
      <w:r w:rsidRPr="009220E5">
        <w:rPr>
          <w:rFonts w:ascii="Arial" w:hAnsi="Arial" w:cs="Arial"/>
          <w:lang w:val="mk-MK"/>
        </w:rPr>
        <w:t>.</w:t>
      </w:r>
    </w:p>
    <w:p w14:paraId="252F4D76" w14:textId="22BB6B14" w:rsidR="005F248E" w:rsidRPr="00CE3053" w:rsidRDefault="009220E5" w:rsidP="00815E65">
      <w:pPr>
        <w:pStyle w:val="BodyText"/>
        <w:jc w:val="both"/>
        <w:rPr>
          <w:rFonts w:ascii="Arial" w:hAnsi="Arial" w:cs="Arial"/>
          <w:lang w:val="mk-MK"/>
        </w:rPr>
      </w:pPr>
      <w:proofErr w:type="spellStart"/>
      <w:r w:rsidRPr="009220E5">
        <w:rPr>
          <w:rFonts w:ascii="Arial" w:hAnsi="Arial" w:cs="Arial"/>
          <w:lang w:val="mk-MK"/>
        </w:rPr>
        <w:t>The</w:t>
      </w:r>
      <w:proofErr w:type="spellEnd"/>
      <w:r w:rsidRPr="009220E5">
        <w:rPr>
          <w:rFonts w:ascii="Arial" w:hAnsi="Arial" w:cs="Arial"/>
          <w:lang w:val="mk-MK"/>
        </w:rPr>
        <w:t xml:space="preserve"> </w:t>
      </w:r>
      <w:proofErr w:type="spellStart"/>
      <w:r w:rsidRPr="009220E5">
        <w:rPr>
          <w:rFonts w:ascii="Arial" w:hAnsi="Arial" w:cs="Arial"/>
          <w:lang w:val="mk-MK"/>
        </w:rPr>
        <w:t>Fund</w:t>
      </w:r>
      <w:proofErr w:type="spellEnd"/>
      <w:r w:rsidRPr="009220E5">
        <w:rPr>
          <w:rFonts w:ascii="Arial" w:hAnsi="Arial" w:cs="Arial"/>
          <w:lang w:val="mk-MK"/>
        </w:rPr>
        <w:t xml:space="preserve"> </w:t>
      </w:r>
      <w:proofErr w:type="spellStart"/>
      <w:r w:rsidRPr="009220E5">
        <w:rPr>
          <w:rFonts w:ascii="Arial" w:hAnsi="Arial" w:cs="Arial"/>
          <w:lang w:val="mk-MK"/>
        </w:rPr>
        <w:t>manages</w:t>
      </w:r>
      <w:proofErr w:type="spellEnd"/>
      <w:r w:rsidRPr="009220E5">
        <w:rPr>
          <w:rFonts w:ascii="Arial" w:hAnsi="Arial" w:cs="Arial"/>
          <w:lang w:val="mk-MK"/>
        </w:rPr>
        <w:t xml:space="preserve"> </w:t>
      </w:r>
      <w:proofErr w:type="spellStart"/>
      <w:r w:rsidRPr="009220E5">
        <w:rPr>
          <w:rFonts w:ascii="Arial" w:hAnsi="Arial" w:cs="Arial"/>
          <w:lang w:val="mk-MK"/>
        </w:rPr>
        <w:t>its</w:t>
      </w:r>
      <w:proofErr w:type="spellEnd"/>
      <w:r w:rsidRPr="009220E5">
        <w:rPr>
          <w:rFonts w:ascii="Arial" w:hAnsi="Arial" w:cs="Arial"/>
          <w:lang w:val="mk-MK"/>
        </w:rPr>
        <w:t xml:space="preserve"> </w:t>
      </w:r>
      <w:proofErr w:type="spellStart"/>
      <w:r w:rsidRPr="009220E5">
        <w:rPr>
          <w:rFonts w:ascii="Arial" w:hAnsi="Arial" w:cs="Arial"/>
          <w:lang w:val="mk-MK"/>
        </w:rPr>
        <w:t>liquidity</w:t>
      </w:r>
      <w:proofErr w:type="spellEnd"/>
      <w:r w:rsidRPr="009220E5">
        <w:rPr>
          <w:rFonts w:ascii="Arial" w:hAnsi="Arial" w:cs="Arial"/>
          <w:lang w:val="mk-MK"/>
        </w:rPr>
        <w:t xml:space="preserve"> </w:t>
      </w:r>
      <w:proofErr w:type="spellStart"/>
      <w:r w:rsidRPr="009220E5">
        <w:rPr>
          <w:rFonts w:ascii="Arial" w:hAnsi="Arial" w:cs="Arial"/>
          <w:lang w:val="mk-MK"/>
        </w:rPr>
        <w:t>risk</w:t>
      </w:r>
      <w:proofErr w:type="spellEnd"/>
      <w:r w:rsidRPr="009220E5">
        <w:rPr>
          <w:rFonts w:ascii="Arial" w:hAnsi="Arial" w:cs="Arial"/>
          <w:lang w:val="mk-MK"/>
        </w:rPr>
        <w:t xml:space="preserve"> </w:t>
      </w:r>
      <w:proofErr w:type="spellStart"/>
      <w:r w:rsidRPr="009220E5">
        <w:rPr>
          <w:rFonts w:ascii="Arial" w:hAnsi="Arial" w:cs="Arial"/>
          <w:lang w:val="mk-MK"/>
        </w:rPr>
        <w:t>by</w:t>
      </w:r>
      <w:proofErr w:type="spellEnd"/>
      <w:r w:rsidRPr="009220E5">
        <w:rPr>
          <w:rFonts w:ascii="Arial" w:hAnsi="Arial" w:cs="Arial"/>
          <w:lang w:val="mk-MK"/>
        </w:rPr>
        <w:t xml:space="preserve"> </w:t>
      </w:r>
      <w:proofErr w:type="spellStart"/>
      <w:r w:rsidRPr="009220E5">
        <w:rPr>
          <w:rFonts w:ascii="Arial" w:hAnsi="Arial" w:cs="Arial"/>
          <w:lang w:val="mk-MK"/>
        </w:rPr>
        <w:t>holding</w:t>
      </w:r>
      <w:proofErr w:type="spellEnd"/>
      <w:r w:rsidRPr="009220E5">
        <w:rPr>
          <w:rFonts w:ascii="Arial" w:hAnsi="Arial" w:cs="Arial"/>
          <w:lang w:val="mk-MK"/>
        </w:rPr>
        <w:t xml:space="preserve"> </w:t>
      </w:r>
      <w:proofErr w:type="spellStart"/>
      <w:r w:rsidRPr="009220E5">
        <w:rPr>
          <w:rFonts w:ascii="Arial" w:hAnsi="Arial" w:cs="Arial"/>
          <w:lang w:val="mk-MK"/>
        </w:rPr>
        <w:t>its</w:t>
      </w:r>
      <w:proofErr w:type="spellEnd"/>
      <w:r w:rsidRPr="009220E5">
        <w:rPr>
          <w:rFonts w:ascii="Arial" w:hAnsi="Arial" w:cs="Arial"/>
          <w:lang w:val="mk-MK"/>
        </w:rPr>
        <w:t xml:space="preserve"> </w:t>
      </w:r>
      <w:proofErr w:type="spellStart"/>
      <w:r w:rsidRPr="009220E5">
        <w:rPr>
          <w:rFonts w:ascii="Arial" w:hAnsi="Arial" w:cs="Arial"/>
          <w:lang w:val="mk-MK"/>
        </w:rPr>
        <w:t>cash</w:t>
      </w:r>
      <w:proofErr w:type="spellEnd"/>
      <w:r w:rsidRPr="009220E5">
        <w:rPr>
          <w:rFonts w:ascii="Arial" w:hAnsi="Arial" w:cs="Arial"/>
          <w:lang w:val="mk-MK"/>
        </w:rPr>
        <w:t xml:space="preserve"> </w:t>
      </w:r>
      <w:proofErr w:type="spellStart"/>
      <w:r w:rsidRPr="009220E5">
        <w:rPr>
          <w:rFonts w:ascii="Arial" w:hAnsi="Arial" w:cs="Arial"/>
          <w:lang w:val="mk-MK"/>
        </w:rPr>
        <w:t>in</w:t>
      </w:r>
      <w:proofErr w:type="spellEnd"/>
      <w:r w:rsidRPr="009220E5">
        <w:rPr>
          <w:rFonts w:ascii="Arial" w:hAnsi="Arial" w:cs="Arial"/>
          <w:lang w:val="mk-MK"/>
        </w:rPr>
        <w:t xml:space="preserve"> </w:t>
      </w:r>
      <w:proofErr w:type="spellStart"/>
      <w:r w:rsidRPr="009220E5">
        <w:rPr>
          <w:rFonts w:ascii="Arial" w:hAnsi="Arial" w:cs="Arial"/>
          <w:lang w:val="mk-MK"/>
        </w:rPr>
        <w:t>accounts</w:t>
      </w:r>
      <w:proofErr w:type="spellEnd"/>
      <w:r w:rsidRPr="009220E5">
        <w:rPr>
          <w:rFonts w:ascii="Arial" w:hAnsi="Arial" w:cs="Arial"/>
          <w:lang w:val="mk-MK"/>
        </w:rPr>
        <w:t xml:space="preserve"> </w:t>
      </w:r>
      <w:proofErr w:type="spellStart"/>
      <w:r w:rsidRPr="009220E5">
        <w:rPr>
          <w:rFonts w:ascii="Arial" w:hAnsi="Arial" w:cs="Arial"/>
          <w:lang w:val="mk-MK"/>
        </w:rPr>
        <w:t>with</w:t>
      </w:r>
      <w:proofErr w:type="spellEnd"/>
      <w:r w:rsidRPr="009220E5">
        <w:rPr>
          <w:rFonts w:ascii="Arial" w:hAnsi="Arial" w:cs="Arial"/>
          <w:lang w:val="mk-MK"/>
        </w:rPr>
        <w:t xml:space="preserve"> NBRNM </w:t>
      </w:r>
      <w:proofErr w:type="spellStart"/>
      <w:r w:rsidRPr="009220E5">
        <w:rPr>
          <w:rFonts w:ascii="Arial" w:hAnsi="Arial" w:cs="Arial"/>
          <w:lang w:val="mk-MK"/>
        </w:rPr>
        <w:t>and</w:t>
      </w:r>
      <w:proofErr w:type="spellEnd"/>
      <w:r w:rsidRPr="009220E5">
        <w:rPr>
          <w:rFonts w:ascii="Arial" w:hAnsi="Arial" w:cs="Arial"/>
          <w:lang w:val="mk-MK"/>
        </w:rPr>
        <w:t xml:space="preserve"> </w:t>
      </w:r>
      <w:proofErr w:type="spellStart"/>
      <w:r w:rsidRPr="009220E5">
        <w:rPr>
          <w:rFonts w:ascii="Arial" w:hAnsi="Arial" w:cs="Arial"/>
          <w:lang w:val="mk-MK"/>
        </w:rPr>
        <w:t>local</w:t>
      </w:r>
      <w:proofErr w:type="spellEnd"/>
      <w:r w:rsidRPr="009220E5">
        <w:rPr>
          <w:rFonts w:ascii="Arial" w:hAnsi="Arial" w:cs="Arial"/>
          <w:lang w:val="mk-MK"/>
        </w:rPr>
        <w:t xml:space="preserve"> </w:t>
      </w:r>
      <w:proofErr w:type="spellStart"/>
      <w:r w:rsidRPr="009220E5">
        <w:rPr>
          <w:rFonts w:ascii="Arial" w:hAnsi="Arial" w:cs="Arial"/>
          <w:lang w:val="mk-MK"/>
        </w:rPr>
        <w:t>banks</w:t>
      </w:r>
      <w:proofErr w:type="spellEnd"/>
      <w:r w:rsidRPr="009220E5">
        <w:rPr>
          <w:rFonts w:ascii="Arial" w:hAnsi="Arial" w:cs="Arial"/>
          <w:lang w:val="mk-MK"/>
        </w:rPr>
        <w:t xml:space="preserve">, </w:t>
      </w:r>
      <w:proofErr w:type="spellStart"/>
      <w:r w:rsidRPr="009220E5">
        <w:rPr>
          <w:rFonts w:ascii="Arial" w:hAnsi="Arial" w:cs="Arial"/>
          <w:lang w:val="mk-MK"/>
        </w:rPr>
        <w:t>and</w:t>
      </w:r>
      <w:proofErr w:type="spellEnd"/>
      <w:r w:rsidRPr="009220E5">
        <w:rPr>
          <w:rFonts w:ascii="Arial" w:hAnsi="Arial" w:cs="Arial"/>
          <w:lang w:val="mk-MK"/>
        </w:rPr>
        <w:t xml:space="preserve"> </w:t>
      </w:r>
      <w:proofErr w:type="spellStart"/>
      <w:r w:rsidRPr="009220E5">
        <w:rPr>
          <w:rFonts w:ascii="Arial" w:hAnsi="Arial" w:cs="Arial"/>
          <w:lang w:val="mk-MK"/>
        </w:rPr>
        <w:t>investing</w:t>
      </w:r>
      <w:proofErr w:type="spellEnd"/>
      <w:r w:rsidRPr="009220E5">
        <w:rPr>
          <w:rFonts w:ascii="Arial" w:hAnsi="Arial" w:cs="Arial"/>
          <w:lang w:val="mk-MK"/>
        </w:rPr>
        <w:t xml:space="preserve"> </w:t>
      </w:r>
      <w:proofErr w:type="spellStart"/>
      <w:r w:rsidRPr="009220E5">
        <w:rPr>
          <w:rFonts w:ascii="Arial" w:hAnsi="Arial" w:cs="Arial"/>
          <w:lang w:val="mk-MK"/>
        </w:rPr>
        <w:t>in</w:t>
      </w:r>
      <w:proofErr w:type="spellEnd"/>
      <w:r w:rsidRPr="009220E5">
        <w:rPr>
          <w:rFonts w:ascii="Arial" w:hAnsi="Arial" w:cs="Arial"/>
          <w:lang w:val="mk-MK"/>
        </w:rPr>
        <w:t xml:space="preserve"> </w:t>
      </w:r>
      <w:proofErr w:type="spellStart"/>
      <w:r w:rsidRPr="009220E5">
        <w:rPr>
          <w:rFonts w:ascii="Arial" w:hAnsi="Arial" w:cs="Arial"/>
          <w:lang w:val="mk-MK"/>
        </w:rPr>
        <w:t>highly</w:t>
      </w:r>
      <w:proofErr w:type="spellEnd"/>
      <w:r w:rsidRPr="009220E5">
        <w:rPr>
          <w:rFonts w:ascii="Arial" w:hAnsi="Arial" w:cs="Arial"/>
          <w:lang w:val="mk-MK"/>
        </w:rPr>
        <w:t xml:space="preserve"> </w:t>
      </w:r>
      <w:proofErr w:type="spellStart"/>
      <w:r w:rsidRPr="009220E5">
        <w:rPr>
          <w:rFonts w:ascii="Arial" w:hAnsi="Arial" w:cs="Arial"/>
          <w:lang w:val="mk-MK"/>
        </w:rPr>
        <w:t>liquid</w:t>
      </w:r>
      <w:proofErr w:type="spellEnd"/>
      <w:r w:rsidRPr="009220E5">
        <w:rPr>
          <w:rFonts w:ascii="Arial" w:hAnsi="Arial" w:cs="Arial"/>
          <w:lang w:val="mk-MK"/>
        </w:rPr>
        <w:t xml:space="preserve"> </w:t>
      </w:r>
      <w:proofErr w:type="spellStart"/>
      <w:r w:rsidRPr="009220E5">
        <w:rPr>
          <w:rFonts w:ascii="Arial" w:hAnsi="Arial" w:cs="Arial"/>
          <w:lang w:val="mk-MK"/>
        </w:rPr>
        <w:t>securities</w:t>
      </w:r>
      <w:proofErr w:type="spellEnd"/>
      <w:r w:rsidRPr="009220E5">
        <w:rPr>
          <w:rFonts w:ascii="Arial" w:hAnsi="Arial" w:cs="Arial"/>
          <w:lang w:val="mk-MK"/>
        </w:rPr>
        <w:t xml:space="preserve">. </w:t>
      </w:r>
      <w:proofErr w:type="spellStart"/>
      <w:r w:rsidRPr="009220E5">
        <w:rPr>
          <w:rFonts w:ascii="Arial" w:hAnsi="Arial" w:cs="Arial"/>
          <w:lang w:val="mk-MK"/>
        </w:rPr>
        <w:t>The</w:t>
      </w:r>
      <w:proofErr w:type="spellEnd"/>
      <w:r w:rsidRPr="009220E5">
        <w:rPr>
          <w:rFonts w:ascii="Arial" w:hAnsi="Arial" w:cs="Arial"/>
          <w:lang w:val="mk-MK"/>
        </w:rPr>
        <w:t xml:space="preserve"> </w:t>
      </w:r>
      <w:proofErr w:type="spellStart"/>
      <w:r w:rsidRPr="009220E5">
        <w:rPr>
          <w:rFonts w:ascii="Arial" w:hAnsi="Arial" w:cs="Arial"/>
          <w:lang w:val="mk-MK"/>
        </w:rPr>
        <w:t>Fund’s</w:t>
      </w:r>
      <w:proofErr w:type="spellEnd"/>
      <w:r w:rsidRPr="009220E5">
        <w:rPr>
          <w:rFonts w:ascii="Arial" w:hAnsi="Arial" w:cs="Arial"/>
          <w:lang w:val="mk-MK"/>
        </w:rPr>
        <w:t xml:space="preserve"> </w:t>
      </w:r>
      <w:proofErr w:type="spellStart"/>
      <w:r w:rsidRPr="009220E5">
        <w:rPr>
          <w:rFonts w:ascii="Arial" w:hAnsi="Arial" w:cs="Arial"/>
          <w:lang w:val="mk-MK"/>
        </w:rPr>
        <w:t>policy</w:t>
      </w:r>
      <w:proofErr w:type="spellEnd"/>
      <w:r w:rsidRPr="009220E5">
        <w:rPr>
          <w:rFonts w:ascii="Arial" w:hAnsi="Arial" w:cs="Arial"/>
          <w:lang w:val="mk-MK"/>
        </w:rPr>
        <w:t xml:space="preserve"> </w:t>
      </w:r>
      <w:proofErr w:type="spellStart"/>
      <w:r w:rsidRPr="009220E5">
        <w:rPr>
          <w:rFonts w:ascii="Arial" w:hAnsi="Arial" w:cs="Arial"/>
          <w:lang w:val="mk-MK"/>
        </w:rPr>
        <w:t>limits</w:t>
      </w:r>
      <w:proofErr w:type="spellEnd"/>
      <w:r w:rsidRPr="009220E5">
        <w:rPr>
          <w:rFonts w:ascii="Arial" w:hAnsi="Arial" w:cs="Arial"/>
          <w:lang w:val="mk-MK"/>
        </w:rPr>
        <w:t xml:space="preserve"> </w:t>
      </w:r>
      <w:proofErr w:type="spellStart"/>
      <w:r w:rsidRPr="009220E5">
        <w:rPr>
          <w:rFonts w:ascii="Arial" w:hAnsi="Arial" w:cs="Arial"/>
          <w:lang w:val="mk-MK"/>
        </w:rPr>
        <w:t>these</w:t>
      </w:r>
      <w:proofErr w:type="spellEnd"/>
      <w:r w:rsidRPr="009220E5">
        <w:rPr>
          <w:rFonts w:ascii="Arial" w:hAnsi="Arial" w:cs="Arial"/>
          <w:lang w:val="mk-MK"/>
        </w:rPr>
        <w:t xml:space="preserve"> </w:t>
      </w:r>
      <w:proofErr w:type="spellStart"/>
      <w:r w:rsidRPr="009220E5">
        <w:rPr>
          <w:rFonts w:ascii="Arial" w:hAnsi="Arial" w:cs="Arial"/>
          <w:lang w:val="mk-MK"/>
        </w:rPr>
        <w:t>placements</w:t>
      </w:r>
      <w:proofErr w:type="spellEnd"/>
      <w:r w:rsidRPr="009220E5">
        <w:rPr>
          <w:rFonts w:ascii="Arial" w:hAnsi="Arial" w:cs="Arial"/>
          <w:lang w:val="mk-MK"/>
        </w:rPr>
        <w:t xml:space="preserve"> </w:t>
      </w:r>
      <w:proofErr w:type="spellStart"/>
      <w:r w:rsidRPr="009220E5">
        <w:rPr>
          <w:rFonts w:ascii="Arial" w:hAnsi="Arial" w:cs="Arial"/>
          <w:lang w:val="mk-MK"/>
        </w:rPr>
        <w:t>up</w:t>
      </w:r>
      <w:proofErr w:type="spellEnd"/>
      <w:r w:rsidRPr="009220E5">
        <w:rPr>
          <w:rFonts w:ascii="Arial" w:hAnsi="Arial" w:cs="Arial"/>
          <w:lang w:val="mk-MK"/>
        </w:rPr>
        <w:t xml:space="preserve"> </w:t>
      </w:r>
      <w:proofErr w:type="spellStart"/>
      <w:r w:rsidRPr="009220E5">
        <w:rPr>
          <w:rFonts w:ascii="Arial" w:hAnsi="Arial" w:cs="Arial"/>
          <w:lang w:val="mk-MK"/>
        </w:rPr>
        <w:t>to</w:t>
      </w:r>
      <w:proofErr w:type="spellEnd"/>
      <w:r w:rsidRPr="009220E5">
        <w:rPr>
          <w:rFonts w:ascii="Arial" w:hAnsi="Arial" w:cs="Arial"/>
          <w:lang w:val="mk-MK"/>
        </w:rPr>
        <w:t xml:space="preserve"> 99% </w:t>
      </w:r>
      <w:proofErr w:type="spellStart"/>
      <w:r w:rsidRPr="009220E5">
        <w:rPr>
          <w:rFonts w:ascii="Arial" w:hAnsi="Arial" w:cs="Arial"/>
          <w:lang w:val="mk-MK"/>
        </w:rPr>
        <w:t>of</w:t>
      </w:r>
      <w:proofErr w:type="spellEnd"/>
      <w:r w:rsidRPr="009220E5">
        <w:rPr>
          <w:rFonts w:ascii="Arial" w:hAnsi="Arial" w:cs="Arial"/>
          <w:lang w:val="mk-MK"/>
        </w:rPr>
        <w:t xml:space="preserve"> </w:t>
      </w:r>
      <w:proofErr w:type="spellStart"/>
      <w:r w:rsidRPr="009220E5">
        <w:rPr>
          <w:rFonts w:ascii="Arial" w:hAnsi="Arial" w:cs="Arial"/>
          <w:lang w:val="mk-MK"/>
        </w:rPr>
        <w:t>the</w:t>
      </w:r>
      <w:proofErr w:type="spellEnd"/>
      <w:r w:rsidRPr="009220E5">
        <w:rPr>
          <w:rFonts w:ascii="Arial" w:hAnsi="Arial" w:cs="Arial"/>
          <w:lang w:val="mk-MK"/>
        </w:rPr>
        <w:t xml:space="preserve"> </w:t>
      </w:r>
      <w:proofErr w:type="spellStart"/>
      <w:r w:rsidRPr="009220E5">
        <w:rPr>
          <w:rFonts w:ascii="Arial" w:hAnsi="Arial" w:cs="Arial"/>
          <w:lang w:val="mk-MK"/>
        </w:rPr>
        <w:t>total</w:t>
      </w:r>
      <w:proofErr w:type="spellEnd"/>
      <w:r w:rsidRPr="009220E5">
        <w:rPr>
          <w:rFonts w:ascii="Arial" w:hAnsi="Arial" w:cs="Arial"/>
          <w:lang w:val="mk-MK"/>
        </w:rPr>
        <w:t xml:space="preserve"> </w:t>
      </w:r>
      <w:proofErr w:type="spellStart"/>
      <w:r w:rsidRPr="009220E5">
        <w:rPr>
          <w:rFonts w:ascii="Arial" w:hAnsi="Arial" w:cs="Arial"/>
          <w:lang w:val="mk-MK"/>
        </w:rPr>
        <w:t>of</w:t>
      </w:r>
      <w:proofErr w:type="spellEnd"/>
      <w:r w:rsidRPr="009220E5">
        <w:rPr>
          <w:rFonts w:ascii="Arial" w:hAnsi="Arial" w:cs="Arial"/>
          <w:lang w:val="mk-MK"/>
        </w:rPr>
        <w:t xml:space="preserve"> </w:t>
      </w:r>
      <w:proofErr w:type="spellStart"/>
      <w:r w:rsidRPr="009220E5">
        <w:rPr>
          <w:rFonts w:ascii="Arial" w:hAnsi="Arial" w:cs="Arial"/>
          <w:lang w:val="mk-MK"/>
        </w:rPr>
        <w:t>its</w:t>
      </w:r>
      <w:proofErr w:type="spellEnd"/>
      <w:r w:rsidRPr="009220E5">
        <w:rPr>
          <w:rFonts w:ascii="Arial" w:hAnsi="Arial" w:cs="Arial"/>
          <w:lang w:val="mk-MK"/>
        </w:rPr>
        <w:t xml:space="preserve"> </w:t>
      </w:r>
      <w:proofErr w:type="spellStart"/>
      <w:r w:rsidRPr="009220E5">
        <w:rPr>
          <w:rFonts w:ascii="Arial" w:hAnsi="Arial" w:cs="Arial"/>
          <w:lang w:val="mk-MK"/>
        </w:rPr>
        <w:t>cash</w:t>
      </w:r>
      <w:proofErr w:type="spellEnd"/>
      <w:r w:rsidRPr="009220E5">
        <w:rPr>
          <w:rFonts w:ascii="Arial" w:hAnsi="Arial" w:cs="Arial"/>
          <w:lang w:val="mk-MK"/>
        </w:rPr>
        <w:t xml:space="preserve">, </w:t>
      </w:r>
      <w:proofErr w:type="spellStart"/>
      <w:r w:rsidRPr="009220E5">
        <w:rPr>
          <w:rFonts w:ascii="Arial" w:hAnsi="Arial" w:cs="Arial"/>
          <w:lang w:val="mk-MK"/>
        </w:rPr>
        <w:t>cash</w:t>
      </w:r>
      <w:proofErr w:type="spellEnd"/>
      <w:r w:rsidRPr="009220E5">
        <w:rPr>
          <w:rFonts w:ascii="Arial" w:hAnsi="Arial" w:cs="Arial"/>
          <w:lang w:val="mk-MK"/>
        </w:rPr>
        <w:t xml:space="preserve"> </w:t>
      </w:r>
      <w:proofErr w:type="spellStart"/>
      <w:r w:rsidRPr="009220E5">
        <w:rPr>
          <w:rFonts w:ascii="Arial" w:hAnsi="Arial" w:cs="Arial"/>
          <w:lang w:val="mk-MK"/>
        </w:rPr>
        <w:t>equivalents</w:t>
      </w:r>
      <w:proofErr w:type="spellEnd"/>
      <w:r w:rsidRPr="009220E5">
        <w:rPr>
          <w:rFonts w:ascii="Arial" w:hAnsi="Arial" w:cs="Arial"/>
          <w:lang w:val="mk-MK"/>
        </w:rPr>
        <w:t xml:space="preserve"> </w:t>
      </w:r>
      <w:proofErr w:type="spellStart"/>
      <w:r w:rsidRPr="009220E5">
        <w:rPr>
          <w:rFonts w:ascii="Arial" w:hAnsi="Arial" w:cs="Arial"/>
          <w:lang w:val="mk-MK"/>
        </w:rPr>
        <w:t>and</w:t>
      </w:r>
      <w:proofErr w:type="spellEnd"/>
      <w:r w:rsidRPr="009220E5">
        <w:rPr>
          <w:rFonts w:ascii="Arial" w:hAnsi="Arial" w:cs="Arial"/>
          <w:lang w:val="mk-MK"/>
        </w:rPr>
        <w:t xml:space="preserve"> </w:t>
      </w:r>
      <w:proofErr w:type="spellStart"/>
      <w:r w:rsidRPr="009220E5">
        <w:rPr>
          <w:rFonts w:ascii="Arial" w:hAnsi="Arial" w:cs="Arial"/>
          <w:lang w:val="mk-MK"/>
        </w:rPr>
        <w:t>investments</w:t>
      </w:r>
      <w:proofErr w:type="spellEnd"/>
      <w:r w:rsidRPr="009220E5">
        <w:rPr>
          <w:rFonts w:ascii="Arial" w:hAnsi="Arial" w:cs="Arial"/>
          <w:lang w:val="mk-MK"/>
        </w:rPr>
        <w:t xml:space="preserve">. </w:t>
      </w:r>
      <w:proofErr w:type="spellStart"/>
      <w:r w:rsidRPr="009220E5">
        <w:rPr>
          <w:rFonts w:ascii="Arial" w:hAnsi="Arial" w:cs="Arial"/>
          <w:lang w:val="mk-MK"/>
        </w:rPr>
        <w:t>In</w:t>
      </w:r>
      <w:proofErr w:type="spellEnd"/>
      <w:r w:rsidRPr="009220E5">
        <w:rPr>
          <w:rFonts w:ascii="Arial" w:hAnsi="Arial" w:cs="Arial"/>
          <w:lang w:val="mk-MK"/>
        </w:rPr>
        <w:t xml:space="preserve"> </w:t>
      </w:r>
      <w:proofErr w:type="spellStart"/>
      <w:r w:rsidRPr="009220E5">
        <w:rPr>
          <w:rFonts w:ascii="Arial" w:hAnsi="Arial" w:cs="Arial"/>
          <w:lang w:val="mk-MK"/>
        </w:rPr>
        <w:t>case</w:t>
      </w:r>
      <w:proofErr w:type="spellEnd"/>
      <w:r w:rsidRPr="009220E5">
        <w:rPr>
          <w:rFonts w:ascii="Arial" w:hAnsi="Arial" w:cs="Arial"/>
          <w:lang w:val="mk-MK"/>
        </w:rPr>
        <w:t xml:space="preserve"> </w:t>
      </w:r>
      <w:proofErr w:type="spellStart"/>
      <w:r w:rsidRPr="009220E5">
        <w:rPr>
          <w:rFonts w:ascii="Arial" w:hAnsi="Arial" w:cs="Arial"/>
          <w:lang w:val="mk-MK"/>
        </w:rPr>
        <w:t>of</w:t>
      </w:r>
      <w:proofErr w:type="spellEnd"/>
      <w:r w:rsidRPr="009220E5">
        <w:rPr>
          <w:rFonts w:ascii="Arial" w:hAnsi="Arial" w:cs="Arial"/>
          <w:lang w:val="mk-MK"/>
        </w:rPr>
        <w:t xml:space="preserve"> a </w:t>
      </w:r>
      <w:proofErr w:type="spellStart"/>
      <w:r w:rsidRPr="009220E5">
        <w:rPr>
          <w:rFonts w:ascii="Arial" w:hAnsi="Arial" w:cs="Arial"/>
          <w:lang w:val="mk-MK"/>
        </w:rPr>
        <w:t>risk</w:t>
      </w:r>
      <w:proofErr w:type="spellEnd"/>
      <w:r w:rsidRPr="009220E5">
        <w:rPr>
          <w:rFonts w:ascii="Arial" w:hAnsi="Arial" w:cs="Arial"/>
          <w:lang w:val="mk-MK"/>
        </w:rPr>
        <w:t xml:space="preserve"> </w:t>
      </w:r>
      <w:proofErr w:type="spellStart"/>
      <w:r w:rsidRPr="009220E5">
        <w:rPr>
          <w:rFonts w:ascii="Arial" w:hAnsi="Arial" w:cs="Arial"/>
          <w:lang w:val="mk-MK"/>
        </w:rPr>
        <w:t>event</w:t>
      </w:r>
      <w:proofErr w:type="spellEnd"/>
      <w:r w:rsidRPr="009220E5">
        <w:rPr>
          <w:rFonts w:ascii="Arial" w:hAnsi="Arial" w:cs="Arial"/>
          <w:lang w:val="mk-MK"/>
        </w:rPr>
        <w:t xml:space="preserve">, </w:t>
      </w:r>
      <w:proofErr w:type="spellStart"/>
      <w:r w:rsidRPr="009220E5">
        <w:rPr>
          <w:rFonts w:ascii="Arial" w:hAnsi="Arial" w:cs="Arial"/>
          <w:lang w:val="mk-MK"/>
        </w:rPr>
        <w:t>these</w:t>
      </w:r>
      <w:proofErr w:type="spellEnd"/>
      <w:r w:rsidRPr="009220E5">
        <w:rPr>
          <w:rFonts w:ascii="Arial" w:hAnsi="Arial" w:cs="Arial"/>
          <w:lang w:val="mk-MK"/>
        </w:rPr>
        <w:t xml:space="preserve"> </w:t>
      </w:r>
      <w:proofErr w:type="spellStart"/>
      <w:r w:rsidRPr="009220E5">
        <w:rPr>
          <w:rFonts w:ascii="Arial" w:hAnsi="Arial" w:cs="Arial"/>
          <w:lang w:val="mk-MK"/>
        </w:rPr>
        <w:t>assets</w:t>
      </w:r>
      <w:proofErr w:type="spellEnd"/>
      <w:r w:rsidRPr="009220E5">
        <w:rPr>
          <w:rFonts w:ascii="Arial" w:hAnsi="Arial" w:cs="Arial"/>
          <w:lang w:val="mk-MK"/>
        </w:rPr>
        <w:t xml:space="preserve"> </w:t>
      </w:r>
      <w:proofErr w:type="spellStart"/>
      <w:r w:rsidRPr="009220E5">
        <w:rPr>
          <w:rFonts w:ascii="Arial" w:hAnsi="Arial" w:cs="Arial"/>
          <w:lang w:val="mk-MK"/>
        </w:rPr>
        <w:t>can</w:t>
      </w:r>
      <w:proofErr w:type="spellEnd"/>
      <w:r w:rsidRPr="009220E5">
        <w:rPr>
          <w:rFonts w:ascii="Arial" w:hAnsi="Arial" w:cs="Arial"/>
          <w:lang w:val="mk-MK"/>
        </w:rPr>
        <w:t xml:space="preserve"> </w:t>
      </w:r>
      <w:proofErr w:type="spellStart"/>
      <w:r w:rsidRPr="009220E5">
        <w:rPr>
          <w:rFonts w:ascii="Arial" w:hAnsi="Arial" w:cs="Arial"/>
          <w:lang w:val="mk-MK"/>
        </w:rPr>
        <w:t>be</w:t>
      </w:r>
      <w:proofErr w:type="spellEnd"/>
      <w:r w:rsidRPr="009220E5">
        <w:rPr>
          <w:rFonts w:ascii="Arial" w:hAnsi="Arial" w:cs="Arial"/>
          <w:lang w:val="mk-MK"/>
        </w:rPr>
        <w:t xml:space="preserve"> </w:t>
      </w:r>
      <w:proofErr w:type="spellStart"/>
      <w:r w:rsidRPr="009220E5">
        <w:rPr>
          <w:rFonts w:ascii="Arial" w:hAnsi="Arial" w:cs="Arial"/>
          <w:lang w:val="mk-MK"/>
        </w:rPr>
        <w:t>used</w:t>
      </w:r>
      <w:proofErr w:type="spellEnd"/>
      <w:r w:rsidRPr="009220E5">
        <w:rPr>
          <w:rFonts w:ascii="Arial" w:hAnsi="Arial" w:cs="Arial"/>
          <w:lang w:val="mk-MK"/>
        </w:rPr>
        <w:t xml:space="preserve"> </w:t>
      </w:r>
      <w:proofErr w:type="spellStart"/>
      <w:r w:rsidRPr="009220E5">
        <w:rPr>
          <w:rFonts w:ascii="Arial" w:hAnsi="Arial" w:cs="Arial"/>
          <w:lang w:val="mk-MK"/>
        </w:rPr>
        <w:t>for</w:t>
      </w:r>
      <w:proofErr w:type="spellEnd"/>
      <w:r w:rsidRPr="009220E5">
        <w:rPr>
          <w:rFonts w:ascii="Arial" w:hAnsi="Arial" w:cs="Arial"/>
          <w:lang w:val="mk-MK"/>
        </w:rPr>
        <w:t xml:space="preserve"> </w:t>
      </w:r>
      <w:proofErr w:type="spellStart"/>
      <w:r w:rsidRPr="009220E5">
        <w:rPr>
          <w:rFonts w:ascii="Arial" w:hAnsi="Arial" w:cs="Arial"/>
          <w:lang w:val="mk-MK"/>
        </w:rPr>
        <w:t>indemnification</w:t>
      </w:r>
      <w:proofErr w:type="spellEnd"/>
      <w:r w:rsidRPr="009220E5">
        <w:rPr>
          <w:rFonts w:ascii="Arial" w:hAnsi="Arial" w:cs="Arial"/>
          <w:lang w:val="mk-MK"/>
        </w:rPr>
        <w:t xml:space="preserve"> </w:t>
      </w:r>
      <w:proofErr w:type="spellStart"/>
      <w:r w:rsidRPr="009220E5">
        <w:rPr>
          <w:rFonts w:ascii="Arial" w:hAnsi="Arial" w:cs="Arial"/>
          <w:lang w:val="mk-MK"/>
        </w:rPr>
        <w:t>of</w:t>
      </w:r>
      <w:proofErr w:type="spellEnd"/>
      <w:r w:rsidRPr="009220E5">
        <w:rPr>
          <w:rFonts w:ascii="Arial" w:hAnsi="Arial" w:cs="Arial"/>
          <w:lang w:val="mk-MK"/>
        </w:rPr>
        <w:t xml:space="preserve"> </w:t>
      </w:r>
      <w:proofErr w:type="spellStart"/>
      <w:r w:rsidRPr="009220E5">
        <w:rPr>
          <w:rFonts w:ascii="Arial" w:hAnsi="Arial" w:cs="Arial"/>
          <w:lang w:val="mk-MK"/>
        </w:rPr>
        <w:t>the</w:t>
      </w:r>
      <w:proofErr w:type="spellEnd"/>
      <w:r w:rsidRPr="009220E5">
        <w:rPr>
          <w:rFonts w:ascii="Arial" w:hAnsi="Arial" w:cs="Arial"/>
          <w:lang w:val="mk-MK"/>
        </w:rPr>
        <w:t xml:space="preserve"> </w:t>
      </w:r>
      <w:proofErr w:type="spellStart"/>
      <w:r w:rsidRPr="009220E5">
        <w:rPr>
          <w:rFonts w:ascii="Arial" w:hAnsi="Arial" w:cs="Arial"/>
          <w:lang w:val="mk-MK"/>
        </w:rPr>
        <w:t>depositors</w:t>
      </w:r>
      <w:proofErr w:type="spellEnd"/>
      <w:r w:rsidR="00815E65" w:rsidRPr="00CE3053">
        <w:rPr>
          <w:rFonts w:ascii="Arial" w:hAnsi="Arial" w:cs="Arial"/>
          <w:lang w:val="mk-MK"/>
        </w:rPr>
        <w:t>.</w:t>
      </w:r>
    </w:p>
    <w:p w14:paraId="233F1AEE" w14:textId="78142C92" w:rsidR="00815E65" w:rsidRPr="00CE3053" w:rsidRDefault="0013376F" w:rsidP="00815E65">
      <w:pPr>
        <w:pStyle w:val="BodyText"/>
        <w:spacing w:after="0"/>
        <w:jc w:val="both"/>
        <w:rPr>
          <w:rFonts w:ascii="Arial" w:hAnsi="Arial" w:cs="Arial"/>
          <w:lang w:val="mk-MK"/>
        </w:rPr>
      </w:pPr>
      <w:r>
        <w:rPr>
          <w:rFonts w:ascii="Arial" w:hAnsi="Arial" w:cs="Arial"/>
          <w:lang w:val="en-US"/>
        </w:rPr>
        <w:t>As of</w:t>
      </w:r>
      <w:r w:rsidR="00815E65" w:rsidRPr="00CE3053">
        <w:rPr>
          <w:rFonts w:ascii="Arial" w:hAnsi="Arial" w:cs="Arial"/>
          <w:lang w:val="mk-MK"/>
        </w:rPr>
        <w:t xml:space="preserve"> 31 </w:t>
      </w:r>
      <w:r>
        <w:rPr>
          <w:rFonts w:ascii="Arial" w:hAnsi="Arial" w:cs="Arial"/>
          <w:lang w:val="en-US"/>
        </w:rPr>
        <w:t>December</w:t>
      </w:r>
      <w:r w:rsidR="006A2587">
        <w:rPr>
          <w:rFonts w:ascii="Arial" w:hAnsi="Arial" w:cs="Arial"/>
          <w:lang w:val="mk-MK"/>
        </w:rPr>
        <w:t>,</w:t>
      </w:r>
      <w:r w:rsidR="00815E65" w:rsidRPr="00CE3053">
        <w:rPr>
          <w:rFonts w:ascii="Arial" w:hAnsi="Arial" w:cs="Arial"/>
          <w:lang w:val="mk-MK"/>
        </w:rPr>
        <w:t xml:space="preserve"> 202</w:t>
      </w:r>
      <w:r w:rsidR="000B3E49" w:rsidRPr="00CE3053">
        <w:rPr>
          <w:rFonts w:ascii="Arial" w:hAnsi="Arial" w:cs="Arial"/>
          <w:lang w:val="mk-MK"/>
        </w:rPr>
        <w:t>1</w:t>
      </w:r>
      <w:r w:rsidR="00815E65" w:rsidRPr="00CE3053">
        <w:rPr>
          <w:rFonts w:ascii="Arial" w:hAnsi="Arial" w:cs="Arial"/>
          <w:lang w:val="mk-MK"/>
        </w:rPr>
        <w:t xml:space="preserve"> </w:t>
      </w:r>
      <w:r>
        <w:rPr>
          <w:rFonts w:ascii="Arial" w:hAnsi="Arial" w:cs="Arial"/>
          <w:lang w:val="en-US"/>
        </w:rPr>
        <w:t>and</w:t>
      </w:r>
      <w:r w:rsidR="00815E65" w:rsidRPr="00CE3053">
        <w:rPr>
          <w:rFonts w:ascii="Arial" w:hAnsi="Arial" w:cs="Arial"/>
          <w:lang w:val="mk-MK"/>
        </w:rPr>
        <w:t xml:space="preserve"> 20</w:t>
      </w:r>
      <w:r w:rsidR="000B3E49" w:rsidRPr="00CE3053">
        <w:rPr>
          <w:rFonts w:ascii="Arial" w:hAnsi="Arial" w:cs="Arial"/>
          <w:lang w:val="mk-MK"/>
        </w:rPr>
        <w:t>20</w:t>
      </w:r>
      <w:r w:rsidR="00815E65" w:rsidRPr="00CE3053">
        <w:rPr>
          <w:rFonts w:ascii="Arial" w:hAnsi="Arial" w:cs="Arial"/>
          <w:lang w:val="mk-MK"/>
        </w:rPr>
        <w:t xml:space="preserve">, </w:t>
      </w:r>
      <w:proofErr w:type="spellStart"/>
      <w:r w:rsidR="0082460A" w:rsidRPr="0082460A">
        <w:rPr>
          <w:rFonts w:ascii="Arial" w:hAnsi="Arial" w:cs="Arial"/>
          <w:lang w:val="mk-MK"/>
        </w:rPr>
        <w:t>the</w:t>
      </w:r>
      <w:proofErr w:type="spellEnd"/>
      <w:r w:rsidR="0082460A" w:rsidRPr="0082460A">
        <w:rPr>
          <w:rFonts w:ascii="Arial" w:hAnsi="Arial" w:cs="Arial"/>
          <w:lang w:val="mk-MK"/>
        </w:rPr>
        <w:t xml:space="preserve"> </w:t>
      </w:r>
      <w:proofErr w:type="spellStart"/>
      <w:r w:rsidR="0082460A" w:rsidRPr="0082460A">
        <w:rPr>
          <w:rFonts w:ascii="Arial" w:hAnsi="Arial" w:cs="Arial"/>
          <w:lang w:val="mk-MK"/>
        </w:rPr>
        <w:t>Fund’s</w:t>
      </w:r>
      <w:proofErr w:type="spellEnd"/>
      <w:r w:rsidR="0082460A" w:rsidRPr="0082460A">
        <w:rPr>
          <w:rFonts w:ascii="Arial" w:hAnsi="Arial" w:cs="Arial"/>
          <w:lang w:val="mk-MK"/>
        </w:rPr>
        <w:t xml:space="preserve"> </w:t>
      </w:r>
      <w:proofErr w:type="spellStart"/>
      <w:r w:rsidR="0082460A" w:rsidRPr="0082460A">
        <w:rPr>
          <w:rFonts w:ascii="Arial" w:hAnsi="Arial" w:cs="Arial"/>
          <w:lang w:val="mk-MK"/>
        </w:rPr>
        <w:t>liabilities</w:t>
      </w:r>
      <w:proofErr w:type="spellEnd"/>
      <w:r w:rsidR="0082460A" w:rsidRPr="0082460A">
        <w:rPr>
          <w:rFonts w:ascii="Arial" w:hAnsi="Arial" w:cs="Arial"/>
          <w:lang w:val="mk-MK"/>
        </w:rPr>
        <w:t xml:space="preserve"> </w:t>
      </w:r>
      <w:proofErr w:type="spellStart"/>
      <w:r w:rsidR="0082460A" w:rsidRPr="0082460A">
        <w:rPr>
          <w:rFonts w:ascii="Arial" w:hAnsi="Arial" w:cs="Arial"/>
          <w:lang w:val="mk-MK"/>
        </w:rPr>
        <w:t>have</w:t>
      </w:r>
      <w:proofErr w:type="spellEnd"/>
      <w:r w:rsidR="0082460A" w:rsidRPr="0082460A">
        <w:rPr>
          <w:rFonts w:ascii="Arial" w:hAnsi="Arial" w:cs="Arial"/>
          <w:lang w:val="mk-MK"/>
        </w:rPr>
        <w:t xml:space="preserve"> a </w:t>
      </w:r>
      <w:proofErr w:type="spellStart"/>
      <w:r w:rsidR="0082460A" w:rsidRPr="0082460A">
        <w:rPr>
          <w:rFonts w:ascii="Arial" w:hAnsi="Arial" w:cs="Arial"/>
          <w:lang w:val="mk-MK"/>
        </w:rPr>
        <w:t>contractual</w:t>
      </w:r>
      <w:proofErr w:type="spellEnd"/>
      <w:r w:rsidR="0082460A" w:rsidRPr="0082460A">
        <w:rPr>
          <w:rFonts w:ascii="Arial" w:hAnsi="Arial" w:cs="Arial"/>
          <w:lang w:val="mk-MK"/>
        </w:rPr>
        <w:t xml:space="preserve"> </w:t>
      </w:r>
      <w:proofErr w:type="spellStart"/>
      <w:r w:rsidR="0082460A" w:rsidRPr="0082460A">
        <w:rPr>
          <w:rFonts w:ascii="Arial" w:hAnsi="Arial" w:cs="Arial"/>
          <w:lang w:val="mk-MK"/>
        </w:rPr>
        <w:t>maturity</w:t>
      </w:r>
      <w:proofErr w:type="spellEnd"/>
      <w:r w:rsidR="0082460A" w:rsidRPr="0082460A">
        <w:rPr>
          <w:rFonts w:ascii="Arial" w:hAnsi="Arial" w:cs="Arial"/>
          <w:lang w:val="mk-MK"/>
        </w:rPr>
        <w:t xml:space="preserve"> (</w:t>
      </w:r>
      <w:proofErr w:type="spellStart"/>
      <w:r w:rsidR="0082460A" w:rsidRPr="0082460A">
        <w:rPr>
          <w:rFonts w:ascii="Arial" w:hAnsi="Arial" w:cs="Arial"/>
          <w:lang w:val="mk-MK"/>
        </w:rPr>
        <w:t>including</w:t>
      </w:r>
      <w:proofErr w:type="spellEnd"/>
      <w:r w:rsidR="0082460A" w:rsidRPr="0082460A">
        <w:rPr>
          <w:rFonts w:ascii="Arial" w:hAnsi="Arial" w:cs="Arial"/>
          <w:lang w:val="mk-MK"/>
        </w:rPr>
        <w:t xml:space="preserve"> </w:t>
      </w:r>
      <w:proofErr w:type="spellStart"/>
      <w:r w:rsidR="0082460A" w:rsidRPr="0082460A">
        <w:rPr>
          <w:rFonts w:ascii="Arial" w:hAnsi="Arial" w:cs="Arial"/>
          <w:lang w:val="mk-MK"/>
        </w:rPr>
        <w:t>interest</w:t>
      </w:r>
      <w:proofErr w:type="spellEnd"/>
      <w:r w:rsidR="0082460A" w:rsidRPr="0082460A">
        <w:rPr>
          <w:rFonts w:ascii="Arial" w:hAnsi="Arial" w:cs="Arial"/>
          <w:lang w:val="mk-MK"/>
        </w:rPr>
        <w:t xml:space="preserve"> </w:t>
      </w:r>
      <w:proofErr w:type="spellStart"/>
      <w:r w:rsidR="0082460A" w:rsidRPr="0082460A">
        <w:rPr>
          <w:rFonts w:ascii="Arial" w:hAnsi="Arial" w:cs="Arial"/>
          <w:lang w:val="mk-MK"/>
        </w:rPr>
        <w:t>payments</w:t>
      </w:r>
      <w:proofErr w:type="spellEnd"/>
      <w:r w:rsidR="0082460A" w:rsidRPr="0082460A">
        <w:rPr>
          <w:rFonts w:ascii="Arial" w:hAnsi="Arial" w:cs="Arial"/>
          <w:lang w:val="mk-MK"/>
        </w:rPr>
        <w:t xml:space="preserve">, </w:t>
      </w:r>
      <w:proofErr w:type="spellStart"/>
      <w:r w:rsidR="0082460A" w:rsidRPr="0082460A">
        <w:rPr>
          <w:rFonts w:ascii="Arial" w:hAnsi="Arial" w:cs="Arial"/>
          <w:lang w:val="mk-MK"/>
        </w:rPr>
        <w:t>if</w:t>
      </w:r>
      <w:proofErr w:type="spellEnd"/>
      <w:r w:rsidR="0082460A" w:rsidRPr="0082460A">
        <w:rPr>
          <w:rFonts w:ascii="Arial" w:hAnsi="Arial" w:cs="Arial"/>
          <w:lang w:val="mk-MK"/>
        </w:rPr>
        <w:t xml:space="preserve"> </w:t>
      </w:r>
      <w:proofErr w:type="spellStart"/>
      <w:r w:rsidR="0082460A" w:rsidRPr="0082460A">
        <w:rPr>
          <w:rFonts w:ascii="Arial" w:hAnsi="Arial" w:cs="Arial"/>
          <w:lang w:val="mk-MK"/>
        </w:rPr>
        <w:t>appropriate</w:t>
      </w:r>
      <w:proofErr w:type="spellEnd"/>
      <w:r w:rsidR="0082460A" w:rsidRPr="0082460A">
        <w:rPr>
          <w:rFonts w:ascii="Arial" w:hAnsi="Arial" w:cs="Arial"/>
          <w:lang w:val="mk-MK"/>
        </w:rPr>
        <w:t xml:space="preserve">), </w:t>
      </w:r>
      <w:proofErr w:type="spellStart"/>
      <w:r w:rsidR="0082460A" w:rsidRPr="0082460A">
        <w:rPr>
          <w:rFonts w:ascii="Arial" w:hAnsi="Arial" w:cs="Arial"/>
          <w:lang w:val="mk-MK"/>
        </w:rPr>
        <w:t>as</w:t>
      </w:r>
      <w:proofErr w:type="spellEnd"/>
      <w:r w:rsidR="0082460A" w:rsidRPr="0082460A">
        <w:rPr>
          <w:rFonts w:ascii="Arial" w:hAnsi="Arial" w:cs="Arial"/>
          <w:lang w:val="mk-MK"/>
        </w:rPr>
        <w:t xml:space="preserve"> </w:t>
      </w:r>
      <w:proofErr w:type="spellStart"/>
      <w:r w:rsidR="0082460A" w:rsidRPr="0082460A">
        <w:rPr>
          <w:rFonts w:ascii="Arial" w:hAnsi="Arial" w:cs="Arial"/>
          <w:lang w:val="mk-MK"/>
        </w:rPr>
        <w:t>follows</w:t>
      </w:r>
      <w:proofErr w:type="spellEnd"/>
      <w:r w:rsidR="00815E65" w:rsidRPr="00CE3053">
        <w:rPr>
          <w:rFonts w:ascii="Arial" w:hAnsi="Arial" w:cs="Arial"/>
          <w:lang w:val="mk-MK"/>
        </w:rPr>
        <w:t>:</w:t>
      </w:r>
    </w:p>
    <w:tbl>
      <w:tblPr>
        <w:tblW w:w="8640" w:type="dxa"/>
        <w:tblInd w:w="86" w:type="dxa"/>
        <w:tblLook w:val="01E0" w:firstRow="1" w:lastRow="1" w:firstColumn="1" w:lastColumn="1" w:noHBand="0" w:noVBand="0"/>
      </w:tblPr>
      <w:tblGrid>
        <w:gridCol w:w="4518"/>
        <w:gridCol w:w="1533"/>
        <w:gridCol w:w="1296"/>
        <w:gridCol w:w="1293"/>
      </w:tblGrid>
      <w:tr w:rsidR="00815E65" w:rsidRPr="001E6526" w14:paraId="04A496B4" w14:textId="77777777" w:rsidTr="00815E65">
        <w:trPr>
          <w:trHeight w:val="216"/>
        </w:trPr>
        <w:tc>
          <w:tcPr>
            <w:tcW w:w="2615" w:type="pct"/>
            <w:tcMar>
              <w:left w:w="58" w:type="dxa"/>
              <w:right w:w="58" w:type="dxa"/>
            </w:tcMar>
            <w:vAlign w:val="bottom"/>
          </w:tcPr>
          <w:p w14:paraId="46F8E5E4" w14:textId="77777777" w:rsidR="00815E65" w:rsidRPr="00CE3053" w:rsidRDefault="00815E65" w:rsidP="00815E65">
            <w:pPr>
              <w:pStyle w:val="TableText"/>
              <w:jc w:val="both"/>
              <w:rPr>
                <w:rFonts w:ascii="Arial" w:hAnsi="Arial"/>
                <w:sz w:val="18"/>
                <w:lang w:val="mk-MK"/>
              </w:rPr>
            </w:pPr>
          </w:p>
        </w:tc>
        <w:tc>
          <w:tcPr>
            <w:tcW w:w="887" w:type="pct"/>
            <w:tcMar>
              <w:left w:w="58" w:type="dxa"/>
              <w:right w:w="58" w:type="dxa"/>
            </w:tcMar>
            <w:vAlign w:val="bottom"/>
          </w:tcPr>
          <w:p w14:paraId="559835F7" w14:textId="541EBA30" w:rsidR="00815E65" w:rsidRPr="0082460A" w:rsidRDefault="0082460A" w:rsidP="00F93B95">
            <w:pPr>
              <w:pStyle w:val="TableText"/>
              <w:jc w:val="right"/>
              <w:rPr>
                <w:rFonts w:ascii="Arial" w:hAnsi="Arial"/>
                <w:noProof/>
                <w:sz w:val="18"/>
                <w:lang w:val="en-US"/>
              </w:rPr>
            </w:pPr>
            <w:r>
              <w:rPr>
                <w:rFonts w:ascii="Arial" w:hAnsi="Arial"/>
                <w:noProof/>
                <w:sz w:val="18"/>
                <w:lang w:val="en-US"/>
              </w:rPr>
              <w:t>Current</w:t>
            </w:r>
          </w:p>
        </w:tc>
        <w:tc>
          <w:tcPr>
            <w:tcW w:w="1498" w:type="pct"/>
            <w:gridSpan w:val="2"/>
            <w:tcMar>
              <w:left w:w="58" w:type="dxa"/>
              <w:right w:w="58" w:type="dxa"/>
            </w:tcMar>
            <w:vAlign w:val="bottom"/>
          </w:tcPr>
          <w:p w14:paraId="4B5B3246" w14:textId="1F12A6FF" w:rsidR="00815E65" w:rsidRPr="0082460A" w:rsidRDefault="0082460A" w:rsidP="00F93B95">
            <w:pPr>
              <w:pStyle w:val="TableText"/>
              <w:jc w:val="right"/>
              <w:rPr>
                <w:rFonts w:ascii="Arial" w:hAnsi="Arial"/>
                <w:noProof/>
                <w:sz w:val="18"/>
                <w:lang w:val="en-US"/>
              </w:rPr>
            </w:pPr>
            <w:r>
              <w:rPr>
                <w:rFonts w:ascii="Arial" w:hAnsi="Arial"/>
                <w:noProof/>
                <w:sz w:val="18"/>
                <w:lang w:val="en-US"/>
              </w:rPr>
              <w:t>Non-current</w:t>
            </w:r>
          </w:p>
        </w:tc>
      </w:tr>
      <w:tr w:rsidR="00815E65" w:rsidRPr="001E6526" w14:paraId="3CC0CCDE" w14:textId="77777777" w:rsidTr="00815E65">
        <w:trPr>
          <w:trHeight w:val="216"/>
        </w:trPr>
        <w:tc>
          <w:tcPr>
            <w:tcW w:w="2615" w:type="pct"/>
            <w:tcMar>
              <w:left w:w="58" w:type="dxa"/>
              <w:right w:w="58" w:type="dxa"/>
            </w:tcMar>
            <w:vAlign w:val="bottom"/>
          </w:tcPr>
          <w:p w14:paraId="393620C0" w14:textId="77777777" w:rsidR="00815E65" w:rsidRPr="00CE3053" w:rsidRDefault="00815E65" w:rsidP="00815E65">
            <w:pPr>
              <w:pStyle w:val="TableText"/>
              <w:jc w:val="both"/>
              <w:rPr>
                <w:rFonts w:ascii="Arial" w:hAnsi="Arial"/>
                <w:sz w:val="18"/>
                <w:lang w:val="mk-MK"/>
              </w:rPr>
            </w:pPr>
          </w:p>
        </w:tc>
        <w:tc>
          <w:tcPr>
            <w:tcW w:w="887" w:type="pct"/>
            <w:tcMar>
              <w:left w:w="58" w:type="dxa"/>
              <w:right w:w="58" w:type="dxa"/>
            </w:tcMar>
            <w:vAlign w:val="bottom"/>
          </w:tcPr>
          <w:p w14:paraId="6C9349C7" w14:textId="4BA09510" w:rsidR="00815E65" w:rsidRPr="0082460A" w:rsidRDefault="00815E65" w:rsidP="00F93B95">
            <w:pPr>
              <w:pStyle w:val="TableText"/>
              <w:jc w:val="right"/>
              <w:rPr>
                <w:rFonts w:ascii="Arial" w:hAnsi="Arial"/>
                <w:noProof/>
                <w:sz w:val="18"/>
                <w:lang w:val="en-US"/>
              </w:rPr>
            </w:pPr>
            <w:r w:rsidRPr="00CE3053">
              <w:rPr>
                <w:rFonts w:ascii="Arial" w:hAnsi="Arial"/>
                <w:noProof/>
                <w:sz w:val="18"/>
                <w:lang w:val="mk-MK"/>
              </w:rPr>
              <w:t xml:space="preserve">1 </w:t>
            </w:r>
            <w:r w:rsidR="0082460A">
              <w:rPr>
                <w:rFonts w:ascii="Arial" w:hAnsi="Arial"/>
                <w:noProof/>
                <w:sz w:val="18"/>
                <w:lang w:val="en-US"/>
              </w:rPr>
              <w:t xml:space="preserve">to </w:t>
            </w:r>
            <w:r w:rsidRPr="001E6526">
              <w:rPr>
                <w:rFonts w:ascii="Arial" w:hAnsi="Arial"/>
                <w:noProof/>
                <w:sz w:val="18"/>
                <w:lang w:val="mk-MK"/>
              </w:rPr>
              <w:t xml:space="preserve">2 </w:t>
            </w:r>
            <w:r w:rsidR="0082460A">
              <w:rPr>
                <w:rFonts w:ascii="Arial" w:hAnsi="Arial"/>
                <w:noProof/>
                <w:sz w:val="18"/>
                <w:lang w:val="en-US"/>
              </w:rPr>
              <w:t>months</w:t>
            </w:r>
          </w:p>
        </w:tc>
        <w:tc>
          <w:tcPr>
            <w:tcW w:w="750" w:type="pct"/>
            <w:tcMar>
              <w:left w:w="58" w:type="dxa"/>
              <w:right w:w="58" w:type="dxa"/>
            </w:tcMar>
            <w:vAlign w:val="bottom"/>
          </w:tcPr>
          <w:p w14:paraId="698243F0" w14:textId="3ECDDA36" w:rsidR="00815E65" w:rsidRPr="0082460A" w:rsidRDefault="00815E65" w:rsidP="00F93B95">
            <w:pPr>
              <w:pStyle w:val="TableText"/>
              <w:jc w:val="right"/>
              <w:rPr>
                <w:rFonts w:ascii="Arial" w:hAnsi="Arial"/>
                <w:noProof/>
                <w:sz w:val="18"/>
                <w:lang w:val="en-US"/>
              </w:rPr>
            </w:pPr>
            <w:r w:rsidRPr="001E6526">
              <w:rPr>
                <w:rFonts w:ascii="Arial" w:hAnsi="Arial"/>
                <w:noProof/>
                <w:sz w:val="18"/>
                <w:lang w:val="mk-MK"/>
              </w:rPr>
              <w:t>1</w:t>
            </w:r>
            <w:r w:rsidR="002D1B7D">
              <w:rPr>
                <w:rFonts w:ascii="Arial" w:hAnsi="Arial"/>
                <w:noProof/>
                <w:sz w:val="18"/>
                <w:lang w:val="mk-MK"/>
              </w:rPr>
              <w:t xml:space="preserve"> </w:t>
            </w:r>
            <w:r w:rsidR="0082460A">
              <w:rPr>
                <w:rFonts w:ascii="Arial" w:hAnsi="Arial"/>
                <w:noProof/>
                <w:sz w:val="18"/>
                <w:lang w:val="en-US"/>
              </w:rPr>
              <w:t>to</w:t>
            </w:r>
            <w:r w:rsidRPr="001E6526">
              <w:rPr>
                <w:rFonts w:ascii="Arial" w:hAnsi="Arial"/>
                <w:noProof/>
                <w:sz w:val="18"/>
                <w:lang w:val="mk-MK"/>
              </w:rPr>
              <w:t xml:space="preserve"> 5 </w:t>
            </w:r>
            <w:r w:rsidR="0082460A">
              <w:rPr>
                <w:rFonts w:ascii="Arial" w:hAnsi="Arial"/>
                <w:noProof/>
                <w:sz w:val="18"/>
                <w:lang w:val="en-US"/>
              </w:rPr>
              <w:t>years</w:t>
            </w:r>
          </w:p>
        </w:tc>
        <w:tc>
          <w:tcPr>
            <w:tcW w:w="748" w:type="pct"/>
            <w:tcMar>
              <w:left w:w="58" w:type="dxa"/>
              <w:right w:w="58" w:type="dxa"/>
            </w:tcMar>
            <w:vAlign w:val="bottom"/>
          </w:tcPr>
          <w:p w14:paraId="457536B6" w14:textId="4173F8E9" w:rsidR="00815E65" w:rsidRPr="0082460A" w:rsidRDefault="0082460A" w:rsidP="00F93B95">
            <w:pPr>
              <w:pStyle w:val="TableText"/>
              <w:jc w:val="right"/>
              <w:rPr>
                <w:rFonts w:ascii="Arial" w:hAnsi="Arial"/>
                <w:noProof/>
                <w:sz w:val="18"/>
                <w:lang w:val="en-US"/>
              </w:rPr>
            </w:pPr>
            <w:r>
              <w:rPr>
                <w:rFonts w:ascii="Arial" w:hAnsi="Arial"/>
                <w:noProof/>
                <w:sz w:val="18"/>
                <w:lang w:val="en-US"/>
              </w:rPr>
              <w:t>Over</w:t>
            </w:r>
            <w:r w:rsidR="00815E65" w:rsidRPr="00CE3053">
              <w:rPr>
                <w:rFonts w:ascii="Arial" w:hAnsi="Arial"/>
                <w:noProof/>
                <w:sz w:val="18"/>
                <w:lang w:val="mk-MK"/>
              </w:rPr>
              <w:t xml:space="preserve"> </w:t>
            </w:r>
            <w:r w:rsidR="00815E65" w:rsidRPr="001E6526">
              <w:rPr>
                <w:rFonts w:ascii="Arial" w:hAnsi="Arial"/>
                <w:noProof/>
                <w:sz w:val="18"/>
                <w:lang w:val="mk-MK"/>
              </w:rPr>
              <w:t xml:space="preserve">5 </w:t>
            </w:r>
            <w:r>
              <w:rPr>
                <w:rFonts w:ascii="Arial" w:hAnsi="Arial"/>
                <w:noProof/>
                <w:sz w:val="18"/>
                <w:lang w:val="en-US"/>
              </w:rPr>
              <w:t>years</w:t>
            </w:r>
          </w:p>
        </w:tc>
      </w:tr>
      <w:tr w:rsidR="00815E65" w:rsidRPr="001E6526" w14:paraId="404FBF34" w14:textId="77777777" w:rsidTr="00815E65">
        <w:trPr>
          <w:trHeight w:val="216"/>
        </w:trPr>
        <w:tc>
          <w:tcPr>
            <w:tcW w:w="2615" w:type="pct"/>
            <w:tcMar>
              <w:left w:w="58" w:type="dxa"/>
              <w:right w:w="58" w:type="dxa"/>
            </w:tcMar>
            <w:vAlign w:val="bottom"/>
          </w:tcPr>
          <w:p w14:paraId="4B8037F1" w14:textId="4465E882" w:rsidR="00815E65" w:rsidRPr="00CE3053" w:rsidRDefault="00815E65" w:rsidP="00F93B95">
            <w:pPr>
              <w:pStyle w:val="TableText"/>
              <w:spacing w:after="0"/>
              <w:jc w:val="both"/>
              <w:rPr>
                <w:rFonts w:ascii="Arial" w:hAnsi="Arial"/>
                <w:bCs/>
                <w:sz w:val="18"/>
                <w:lang w:val="mk-MK"/>
              </w:rPr>
            </w:pPr>
            <w:r w:rsidRPr="00CE3053">
              <w:rPr>
                <w:rFonts w:ascii="Arial" w:hAnsi="Arial"/>
                <w:bCs/>
                <w:sz w:val="18"/>
                <w:lang w:val="mk-MK"/>
              </w:rPr>
              <w:t xml:space="preserve">31 </w:t>
            </w:r>
            <w:r w:rsidR="0082460A">
              <w:rPr>
                <w:rFonts w:ascii="Arial" w:hAnsi="Arial"/>
                <w:bCs/>
                <w:sz w:val="18"/>
                <w:lang w:val="en-US"/>
              </w:rPr>
              <w:t>December</w:t>
            </w:r>
            <w:r w:rsidRPr="00CE3053">
              <w:rPr>
                <w:rFonts w:ascii="Arial" w:hAnsi="Arial"/>
                <w:bCs/>
                <w:sz w:val="18"/>
                <w:lang w:val="mk-MK"/>
              </w:rPr>
              <w:t xml:space="preserve"> 202</w:t>
            </w:r>
            <w:r w:rsidR="00E22987" w:rsidRPr="00CE3053">
              <w:rPr>
                <w:rFonts w:ascii="Arial" w:hAnsi="Arial"/>
                <w:bCs/>
                <w:sz w:val="18"/>
                <w:lang w:val="mk-MK"/>
              </w:rPr>
              <w:t>1</w:t>
            </w:r>
          </w:p>
        </w:tc>
        <w:tc>
          <w:tcPr>
            <w:tcW w:w="887" w:type="pct"/>
            <w:tcMar>
              <w:left w:w="58" w:type="dxa"/>
              <w:right w:w="58" w:type="dxa"/>
            </w:tcMar>
            <w:vAlign w:val="bottom"/>
          </w:tcPr>
          <w:p w14:paraId="10EEE37B" w14:textId="48D2DC19" w:rsidR="00815E65" w:rsidRPr="00CE3053" w:rsidRDefault="00815E65" w:rsidP="00F93B95">
            <w:pPr>
              <w:pStyle w:val="TableText"/>
              <w:spacing w:after="0"/>
              <w:jc w:val="right"/>
              <w:rPr>
                <w:rFonts w:ascii="Arial" w:hAnsi="Arial"/>
                <w:sz w:val="18"/>
                <w:lang w:val="mk-MK"/>
              </w:rPr>
            </w:pPr>
            <w:r w:rsidRPr="00CE3053">
              <w:rPr>
                <w:rFonts w:ascii="Arial" w:hAnsi="Arial"/>
                <w:sz w:val="18"/>
                <w:lang w:val="mk-MK"/>
              </w:rPr>
              <w:t xml:space="preserve">(000 </w:t>
            </w:r>
            <w:proofErr w:type="spellStart"/>
            <w:r w:rsidR="0082460A">
              <w:rPr>
                <w:rFonts w:ascii="Arial" w:hAnsi="Arial"/>
                <w:sz w:val="18"/>
                <w:lang w:val="en-US"/>
              </w:rPr>
              <w:t>mkd</w:t>
            </w:r>
            <w:proofErr w:type="spellEnd"/>
            <w:r w:rsidRPr="00CE3053">
              <w:rPr>
                <w:rFonts w:ascii="Arial" w:hAnsi="Arial"/>
                <w:sz w:val="18"/>
                <w:lang w:val="mk-MK"/>
              </w:rPr>
              <w:t>)</w:t>
            </w:r>
          </w:p>
        </w:tc>
        <w:tc>
          <w:tcPr>
            <w:tcW w:w="750" w:type="pct"/>
            <w:tcMar>
              <w:left w:w="58" w:type="dxa"/>
              <w:right w:w="58" w:type="dxa"/>
            </w:tcMar>
            <w:vAlign w:val="bottom"/>
          </w:tcPr>
          <w:p w14:paraId="3799B1BD" w14:textId="39346B91" w:rsidR="00815E65" w:rsidRPr="00CE3053" w:rsidRDefault="00815E65" w:rsidP="00F93B95">
            <w:pPr>
              <w:pStyle w:val="TableText"/>
              <w:spacing w:after="0"/>
              <w:jc w:val="right"/>
              <w:rPr>
                <w:rFonts w:ascii="Arial" w:hAnsi="Arial"/>
                <w:sz w:val="18"/>
                <w:lang w:val="mk-MK"/>
              </w:rPr>
            </w:pPr>
            <w:r w:rsidRPr="00CE3053">
              <w:rPr>
                <w:rFonts w:ascii="Arial" w:hAnsi="Arial"/>
                <w:sz w:val="18"/>
                <w:lang w:val="mk-MK"/>
              </w:rPr>
              <w:t xml:space="preserve">(000 </w:t>
            </w:r>
            <w:proofErr w:type="spellStart"/>
            <w:r w:rsidR="0082460A">
              <w:rPr>
                <w:rFonts w:ascii="Arial" w:hAnsi="Arial"/>
                <w:sz w:val="18"/>
                <w:lang w:val="en-US"/>
              </w:rPr>
              <w:t>mkd</w:t>
            </w:r>
            <w:proofErr w:type="spellEnd"/>
            <w:r w:rsidRPr="00CE3053">
              <w:rPr>
                <w:rFonts w:ascii="Arial" w:hAnsi="Arial"/>
                <w:sz w:val="18"/>
                <w:lang w:val="mk-MK"/>
              </w:rPr>
              <w:t>)</w:t>
            </w:r>
          </w:p>
        </w:tc>
        <w:tc>
          <w:tcPr>
            <w:tcW w:w="748" w:type="pct"/>
            <w:tcMar>
              <w:left w:w="58" w:type="dxa"/>
              <w:right w:w="58" w:type="dxa"/>
            </w:tcMar>
            <w:vAlign w:val="bottom"/>
          </w:tcPr>
          <w:p w14:paraId="1E446126" w14:textId="7DE619D3" w:rsidR="00815E65" w:rsidRPr="00CE3053" w:rsidRDefault="00815E65" w:rsidP="00F93B95">
            <w:pPr>
              <w:pStyle w:val="TableText"/>
              <w:spacing w:after="0"/>
              <w:jc w:val="right"/>
              <w:rPr>
                <w:rFonts w:ascii="Arial" w:hAnsi="Arial"/>
                <w:sz w:val="18"/>
                <w:lang w:val="mk-MK"/>
              </w:rPr>
            </w:pPr>
            <w:r w:rsidRPr="00CE3053">
              <w:rPr>
                <w:rFonts w:ascii="Arial" w:hAnsi="Arial"/>
                <w:sz w:val="18"/>
                <w:lang w:val="mk-MK"/>
              </w:rPr>
              <w:t xml:space="preserve">(000 </w:t>
            </w:r>
            <w:proofErr w:type="spellStart"/>
            <w:r w:rsidR="0082460A">
              <w:rPr>
                <w:rFonts w:ascii="Arial" w:hAnsi="Arial"/>
                <w:sz w:val="18"/>
                <w:lang w:val="en-US"/>
              </w:rPr>
              <w:t>mkd</w:t>
            </w:r>
            <w:proofErr w:type="spellEnd"/>
            <w:r w:rsidRPr="00CE3053">
              <w:rPr>
                <w:rFonts w:ascii="Arial" w:hAnsi="Arial"/>
                <w:sz w:val="18"/>
                <w:lang w:val="mk-MK"/>
              </w:rPr>
              <w:t>)</w:t>
            </w:r>
          </w:p>
        </w:tc>
      </w:tr>
      <w:tr w:rsidR="00815E65" w:rsidRPr="001E6526" w14:paraId="2162F38D" w14:textId="77777777" w:rsidTr="00815E65">
        <w:trPr>
          <w:trHeight w:val="216"/>
        </w:trPr>
        <w:tc>
          <w:tcPr>
            <w:tcW w:w="2615" w:type="pct"/>
            <w:tcMar>
              <w:left w:w="58" w:type="dxa"/>
              <w:right w:w="58" w:type="dxa"/>
            </w:tcMar>
            <w:vAlign w:val="bottom"/>
          </w:tcPr>
          <w:p w14:paraId="4E6703E8" w14:textId="77777777" w:rsidR="00815E65" w:rsidRPr="00CE3053" w:rsidRDefault="00815E65" w:rsidP="00F93B95">
            <w:pPr>
              <w:pStyle w:val="TableText"/>
              <w:spacing w:after="0"/>
              <w:jc w:val="both"/>
              <w:rPr>
                <w:rFonts w:ascii="Arial" w:hAnsi="Arial"/>
                <w:sz w:val="18"/>
                <w:lang w:val="mk-MK"/>
              </w:rPr>
            </w:pPr>
          </w:p>
        </w:tc>
        <w:tc>
          <w:tcPr>
            <w:tcW w:w="887" w:type="pct"/>
            <w:tcMar>
              <w:left w:w="58" w:type="dxa"/>
              <w:right w:w="58" w:type="dxa"/>
            </w:tcMar>
            <w:vAlign w:val="bottom"/>
          </w:tcPr>
          <w:p w14:paraId="610DC933" w14:textId="77777777" w:rsidR="00815E65" w:rsidRPr="00CE3053" w:rsidRDefault="00815E65" w:rsidP="00F93B95">
            <w:pPr>
              <w:pStyle w:val="TableText"/>
              <w:spacing w:after="0"/>
              <w:jc w:val="right"/>
              <w:rPr>
                <w:rFonts w:ascii="Arial" w:hAnsi="Arial"/>
                <w:sz w:val="18"/>
                <w:lang w:val="mk-MK"/>
              </w:rPr>
            </w:pPr>
          </w:p>
        </w:tc>
        <w:tc>
          <w:tcPr>
            <w:tcW w:w="750" w:type="pct"/>
            <w:tcMar>
              <w:left w:w="58" w:type="dxa"/>
              <w:right w:w="58" w:type="dxa"/>
            </w:tcMar>
            <w:vAlign w:val="bottom"/>
          </w:tcPr>
          <w:p w14:paraId="68EC9546" w14:textId="77777777" w:rsidR="00815E65" w:rsidRPr="00CE3053" w:rsidRDefault="00815E65" w:rsidP="00F93B95">
            <w:pPr>
              <w:pStyle w:val="TableText"/>
              <w:spacing w:after="0"/>
              <w:jc w:val="right"/>
              <w:rPr>
                <w:rFonts w:ascii="Arial" w:hAnsi="Arial"/>
                <w:sz w:val="18"/>
                <w:lang w:val="mk-MK"/>
              </w:rPr>
            </w:pPr>
          </w:p>
        </w:tc>
        <w:tc>
          <w:tcPr>
            <w:tcW w:w="748" w:type="pct"/>
            <w:tcMar>
              <w:left w:w="58" w:type="dxa"/>
              <w:right w:w="58" w:type="dxa"/>
            </w:tcMar>
            <w:vAlign w:val="bottom"/>
          </w:tcPr>
          <w:p w14:paraId="57277FE9" w14:textId="77777777" w:rsidR="00815E65" w:rsidRPr="00CE3053" w:rsidRDefault="00815E65" w:rsidP="00F93B95">
            <w:pPr>
              <w:pStyle w:val="TableText"/>
              <w:spacing w:after="0"/>
              <w:jc w:val="right"/>
              <w:rPr>
                <w:rFonts w:ascii="Arial" w:hAnsi="Arial"/>
                <w:sz w:val="18"/>
                <w:lang w:val="mk-MK"/>
              </w:rPr>
            </w:pPr>
          </w:p>
        </w:tc>
      </w:tr>
      <w:tr w:rsidR="00815E65" w:rsidRPr="001E6526" w14:paraId="1F103AAC" w14:textId="77777777" w:rsidTr="00815E65">
        <w:trPr>
          <w:trHeight w:val="216"/>
        </w:trPr>
        <w:tc>
          <w:tcPr>
            <w:tcW w:w="2615" w:type="pct"/>
            <w:tcMar>
              <w:left w:w="58" w:type="dxa"/>
              <w:right w:w="58" w:type="dxa"/>
            </w:tcMar>
            <w:vAlign w:val="bottom"/>
          </w:tcPr>
          <w:p w14:paraId="6C261CE5" w14:textId="0022DC5F" w:rsidR="00815E65" w:rsidRPr="0082460A" w:rsidRDefault="0082460A" w:rsidP="00F93B95">
            <w:pPr>
              <w:pStyle w:val="TableText"/>
              <w:spacing w:after="0"/>
              <w:jc w:val="both"/>
              <w:rPr>
                <w:rFonts w:ascii="Arial" w:hAnsi="Arial"/>
                <w:sz w:val="18"/>
                <w:lang w:val="en-US"/>
              </w:rPr>
            </w:pPr>
            <w:r>
              <w:rPr>
                <w:rFonts w:ascii="Arial" w:hAnsi="Arial"/>
                <w:sz w:val="18"/>
                <w:lang w:val="en-US"/>
              </w:rPr>
              <w:t>Claims payables</w:t>
            </w:r>
          </w:p>
        </w:tc>
        <w:tc>
          <w:tcPr>
            <w:tcW w:w="887" w:type="pct"/>
            <w:tcMar>
              <w:left w:w="58" w:type="dxa"/>
              <w:right w:w="58" w:type="dxa"/>
            </w:tcMar>
            <w:vAlign w:val="bottom"/>
          </w:tcPr>
          <w:p w14:paraId="0D2F71A2" w14:textId="39679C9A" w:rsidR="00815E65" w:rsidRPr="00CE3053" w:rsidRDefault="007679BA" w:rsidP="00F93B95">
            <w:pPr>
              <w:spacing w:after="0"/>
              <w:jc w:val="right"/>
              <w:rPr>
                <w:rFonts w:ascii="Arial" w:hAnsi="Arial" w:cs="Arial"/>
                <w:color w:val="000000"/>
                <w:lang w:val="mk-MK"/>
              </w:rPr>
            </w:pPr>
            <w:r w:rsidRPr="00CE3053">
              <w:rPr>
                <w:rFonts w:ascii="Arial" w:hAnsi="Arial" w:cs="Arial"/>
                <w:color w:val="000000"/>
                <w:lang w:val="mk-MK"/>
              </w:rPr>
              <w:t>416,884</w:t>
            </w:r>
          </w:p>
        </w:tc>
        <w:tc>
          <w:tcPr>
            <w:tcW w:w="750" w:type="pct"/>
            <w:tcMar>
              <w:left w:w="58" w:type="dxa"/>
              <w:right w:w="58" w:type="dxa"/>
            </w:tcMar>
            <w:vAlign w:val="bottom"/>
          </w:tcPr>
          <w:p w14:paraId="702711D1" w14:textId="77777777" w:rsidR="00815E65" w:rsidRPr="00CE3053" w:rsidRDefault="00815E65" w:rsidP="00F93B95">
            <w:pPr>
              <w:pStyle w:val="TableText"/>
              <w:spacing w:after="0"/>
              <w:jc w:val="right"/>
              <w:rPr>
                <w:rFonts w:ascii="Arial" w:hAnsi="Arial"/>
                <w:sz w:val="18"/>
                <w:lang w:val="mk-MK"/>
              </w:rPr>
            </w:pPr>
            <w:r w:rsidRPr="00CE3053">
              <w:rPr>
                <w:rFonts w:ascii="Arial" w:hAnsi="Arial"/>
                <w:sz w:val="18"/>
                <w:lang w:val="mk-MK"/>
              </w:rPr>
              <w:t>-</w:t>
            </w:r>
          </w:p>
        </w:tc>
        <w:tc>
          <w:tcPr>
            <w:tcW w:w="748" w:type="pct"/>
            <w:tcMar>
              <w:left w:w="58" w:type="dxa"/>
              <w:right w:w="58" w:type="dxa"/>
            </w:tcMar>
            <w:vAlign w:val="bottom"/>
          </w:tcPr>
          <w:p w14:paraId="25E36115" w14:textId="77777777" w:rsidR="00815E65" w:rsidRPr="00CE3053" w:rsidRDefault="00815E65" w:rsidP="00F93B95">
            <w:pPr>
              <w:pStyle w:val="TableText"/>
              <w:spacing w:after="0"/>
              <w:jc w:val="right"/>
              <w:rPr>
                <w:rFonts w:ascii="Arial" w:hAnsi="Arial"/>
                <w:sz w:val="18"/>
                <w:lang w:val="mk-MK"/>
              </w:rPr>
            </w:pPr>
            <w:r w:rsidRPr="00CE3053">
              <w:rPr>
                <w:rFonts w:ascii="Arial" w:hAnsi="Arial"/>
                <w:sz w:val="18"/>
                <w:lang w:val="mk-MK"/>
              </w:rPr>
              <w:t>-</w:t>
            </w:r>
          </w:p>
        </w:tc>
      </w:tr>
      <w:tr w:rsidR="00815E65" w:rsidRPr="001E6526" w14:paraId="53C5CA58" w14:textId="77777777" w:rsidTr="00815E65">
        <w:trPr>
          <w:trHeight w:val="216"/>
        </w:trPr>
        <w:tc>
          <w:tcPr>
            <w:tcW w:w="2615" w:type="pct"/>
            <w:tcBorders>
              <w:bottom w:val="single" w:sz="4" w:space="0" w:color="auto"/>
            </w:tcBorders>
            <w:tcMar>
              <w:left w:w="58" w:type="dxa"/>
              <w:right w:w="58" w:type="dxa"/>
            </w:tcMar>
            <w:vAlign w:val="bottom"/>
          </w:tcPr>
          <w:p w14:paraId="4CA79C5E" w14:textId="6539B88C" w:rsidR="00815E65" w:rsidRPr="0082460A" w:rsidRDefault="0082460A" w:rsidP="00F93B95">
            <w:pPr>
              <w:pStyle w:val="TableText"/>
              <w:spacing w:after="0"/>
              <w:jc w:val="both"/>
              <w:rPr>
                <w:rFonts w:ascii="Arial" w:hAnsi="Arial"/>
                <w:sz w:val="18"/>
                <w:lang w:val="en-US"/>
              </w:rPr>
            </w:pPr>
            <w:r>
              <w:rPr>
                <w:rFonts w:ascii="Arial" w:hAnsi="Arial"/>
                <w:sz w:val="18"/>
                <w:lang w:val="en-US"/>
              </w:rPr>
              <w:t>Other payables</w:t>
            </w:r>
          </w:p>
        </w:tc>
        <w:tc>
          <w:tcPr>
            <w:tcW w:w="887" w:type="pct"/>
            <w:tcBorders>
              <w:bottom w:val="single" w:sz="4" w:space="0" w:color="auto"/>
            </w:tcBorders>
            <w:tcMar>
              <w:left w:w="58" w:type="dxa"/>
              <w:right w:w="58" w:type="dxa"/>
            </w:tcMar>
            <w:vAlign w:val="bottom"/>
          </w:tcPr>
          <w:p w14:paraId="5526B1B7" w14:textId="0F066E65" w:rsidR="00815E65" w:rsidRPr="00CE3053" w:rsidRDefault="007679BA" w:rsidP="00F93B95">
            <w:pPr>
              <w:spacing w:after="0"/>
              <w:jc w:val="right"/>
              <w:rPr>
                <w:rFonts w:ascii="Arial" w:hAnsi="Arial" w:cs="Arial"/>
                <w:color w:val="000000"/>
                <w:lang w:val="mk-MK"/>
              </w:rPr>
            </w:pPr>
            <w:r w:rsidRPr="00CE3053">
              <w:rPr>
                <w:rFonts w:ascii="Arial" w:hAnsi="Arial" w:cs="Arial"/>
                <w:color w:val="000000"/>
                <w:lang w:val="mk-MK"/>
              </w:rPr>
              <w:t>72</w:t>
            </w:r>
          </w:p>
        </w:tc>
        <w:tc>
          <w:tcPr>
            <w:tcW w:w="750" w:type="pct"/>
            <w:tcBorders>
              <w:bottom w:val="single" w:sz="4" w:space="0" w:color="auto"/>
            </w:tcBorders>
            <w:tcMar>
              <w:left w:w="58" w:type="dxa"/>
              <w:right w:w="58" w:type="dxa"/>
            </w:tcMar>
            <w:vAlign w:val="bottom"/>
          </w:tcPr>
          <w:p w14:paraId="487CA514" w14:textId="77777777" w:rsidR="00815E65" w:rsidRPr="001E6526" w:rsidRDefault="00815E65" w:rsidP="00F93B95">
            <w:pPr>
              <w:pStyle w:val="TableText"/>
              <w:spacing w:after="0"/>
              <w:jc w:val="right"/>
              <w:rPr>
                <w:rFonts w:ascii="Arial" w:hAnsi="Arial"/>
                <w:sz w:val="18"/>
                <w:lang w:val="mk-MK"/>
              </w:rPr>
            </w:pPr>
            <w:r w:rsidRPr="001E6526">
              <w:rPr>
                <w:rFonts w:ascii="Arial" w:hAnsi="Arial"/>
                <w:sz w:val="18"/>
                <w:lang w:val="mk-MK"/>
              </w:rPr>
              <w:t>-</w:t>
            </w:r>
          </w:p>
        </w:tc>
        <w:tc>
          <w:tcPr>
            <w:tcW w:w="748" w:type="pct"/>
            <w:tcBorders>
              <w:bottom w:val="single" w:sz="4" w:space="0" w:color="auto"/>
            </w:tcBorders>
            <w:tcMar>
              <w:left w:w="58" w:type="dxa"/>
              <w:right w:w="58" w:type="dxa"/>
            </w:tcMar>
            <w:vAlign w:val="bottom"/>
          </w:tcPr>
          <w:p w14:paraId="70D5C3CF" w14:textId="77777777" w:rsidR="00815E65" w:rsidRPr="001E6526" w:rsidRDefault="00815E65" w:rsidP="00F93B95">
            <w:pPr>
              <w:pStyle w:val="TableText"/>
              <w:spacing w:after="0"/>
              <w:jc w:val="right"/>
              <w:rPr>
                <w:rFonts w:ascii="Arial" w:hAnsi="Arial"/>
                <w:sz w:val="18"/>
                <w:lang w:val="mk-MK"/>
              </w:rPr>
            </w:pPr>
            <w:r w:rsidRPr="001E6526">
              <w:rPr>
                <w:rFonts w:ascii="Arial" w:hAnsi="Arial"/>
                <w:sz w:val="18"/>
                <w:lang w:val="mk-MK"/>
              </w:rPr>
              <w:t>-</w:t>
            </w:r>
          </w:p>
        </w:tc>
      </w:tr>
      <w:tr w:rsidR="00815E65" w:rsidRPr="001E6526" w14:paraId="136356A6" w14:textId="77777777" w:rsidTr="00815E65">
        <w:trPr>
          <w:trHeight w:val="150"/>
        </w:trPr>
        <w:tc>
          <w:tcPr>
            <w:tcW w:w="2615" w:type="pct"/>
            <w:tcBorders>
              <w:top w:val="single" w:sz="4" w:space="0" w:color="auto"/>
              <w:bottom w:val="double" w:sz="4" w:space="0" w:color="auto"/>
            </w:tcBorders>
            <w:tcMar>
              <w:left w:w="58" w:type="dxa"/>
              <w:right w:w="58" w:type="dxa"/>
            </w:tcMar>
            <w:vAlign w:val="bottom"/>
          </w:tcPr>
          <w:p w14:paraId="65F06C68" w14:textId="77777777" w:rsidR="00815E65" w:rsidRPr="00CE3053" w:rsidRDefault="00815E65" w:rsidP="00F93B95">
            <w:pPr>
              <w:pStyle w:val="TableText"/>
              <w:spacing w:after="0"/>
              <w:jc w:val="both"/>
              <w:rPr>
                <w:rFonts w:ascii="Arial" w:hAnsi="Arial"/>
                <w:b/>
                <w:bCs/>
                <w:sz w:val="18"/>
                <w:lang w:val="mk-MK"/>
              </w:rPr>
            </w:pPr>
          </w:p>
        </w:tc>
        <w:tc>
          <w:tcPr>
            <w:tcW w:w="887" w:type="pct"/>
            <w:tcBorders>
              <w:top w:val="single" w:sz="4" w:space="0" w:color="auto"/>
              <w:bottom w:val="double" w:sz="4" w:space="0" w:color="auto"/>
            </w:tcBorders>
            <w:tcMar>
              <w:left w:w="58" w:type="dxa"/>
              <w:right w:w="58" w:type="dxa"/>
            </w:tcMar>
            <w:vAlign w:val="bottom"/>
          </w:tcPr>
          <w:p w14:paraId="537BB4D6" w14:textId="1AF32CD3" w:rsidR="00815E65" w:rsidRPr="00CE3053" w:rsidRDefault="007679BA" w:rsidP="00F93B95">
            <w:pPr>
              <w:spacing w:after="0"/>
              <w:jc w:val="right"/>
              <w:rPr>
                <w:rFonts w:ascii="Arial" w:hAnsi="Arial" w:cs="Arial"/>
                <w:b/>
                <w:bCs/>
                <w:color w:val="000000"/>
                <w:lang w:val="mk-MK"/>
              </w:rPr>
            </w:pPr>
            <w:r w:rsidRPr="00CE3053">
              <w:rPr>
                <w:rFonts w:ascii="Arial" w:hAnsi="Arial" w:cs="Arial"/>
                <w:b/>
                <w:bCs/>
                <w:color w:val="000000"/>
                <w:lang w:val="mk-MK"/>
              </w:rPr>
              <w:t>416,956</w:t>
            </w:r>
          </w:p>
        </w:tc>
        <w:tc>
          <w:tcPr>
            <w:tcW w:w="750" w:type="pct"/>
            <w:tcBorders>
              <w:top w:val="single" w:sz="4" w:space="0" w:color="auto"/>
              <w:bottom w:val="double" w:sz="4" w:space="0" w:color="auto"/>
            </w:tcBorders>
            <w:tcMar>
              <w:left w:w="58" w:type="dxa"/>
              <w:right w:w="58" w:type="dxa"/>
            </w:tcMar>
            <w:vAlign w:val="bottom"/>
          </w:tcPr>
          <w:p w14:paraId="4BD55487" w14:textId="77777777" w:rsidR="00815E65" w:rsidRPr="00CE3053" w:rsidRDefault="00815E65" w:rsidP="00F93B95">
            <w:pPr>
              <w:pStyle w:val="TableText"/>
              <w:spacing w:after="0"/>
              <w:jc w:val="right"/>
              <w:rPr>
                <w:rFonts w:ascii="Arial" w:hAnsi="Arial"/>
                <w:b/>
                <w:bCs/>
                <w:sz w:val="18"/>
                <w:lang w:val="mk-MK"/>
              </w:rPr>
            </w:pPr>
            <w:r w:rsidRPr="00CE3053">
              <w:rPr>
                <w:rFonts w:ascii="Arial" w:hAnsi="Arial"/>
                <w:b/>
                <w:bCs/>
                <w:sz w:val="18"/>
                <w:lang w:val="mk-MK"/>
              </w:rPr>
              <w:t>-</w:t>
            </w:r>
          </w:p>
        </w:tc>
        <w:tc>
          <w:tcPr>
            <w:tcW w:w="748" w:type="pct"/>
            <w:tcBorders>
              <w:top w:val="single" w:sz="4" w:space="0" w:color="auto"/>
              <w:bottom w:val="double" w:sz="4" w:space="0" w:color="auto"/>
            </w:tcBorders>
            <w:tcMar>
              <w:left w:w="58" w:type="dxa"/>
              <w:right w:w="58" w:type="dxa"/>
            </w:tcMar>
            <w:vAlign w:val="bottom"/>
          </w:tcPr>
          <w:p w14:paraId="52189044" w14:textId="77777777" w:rsidR="00815E65" w:rsidRPr="00CE3053" w:rsidRDefault="00815E65" w:rsidP="00F93B95">
            <w:pPr>
              <w:pStyle w:val="TableText"/>
              <w:spacing w:after="0"/>
              <w:jc w:val="right"/>
              <w:rPr>
                <w:rFonts w:ascii="Arial" w:hAnsi="Arial"/>
                <w:b/>
                <w:bCs/>
                <w:sz w:val="18"/>
                <w:lang w:val="mk-MK"/>
              </w:rPr>
            </w:pPr>
            <w:r w:rsidRPr="00CE3053">
              <w:rPr>
                <w:rFonts w:ascii="Arial" w:hAnsi="Arial"/>
                <w:b/>
                <w:bCs/>
                <w:sz w:val="18"/>
                <w:lang w:val="mk-MK"/>
              </w:rPr>
              <w:t>-</w:t>
            </w:r>
          </w:p>
        </w:tc>
      </w:tr>
      <w:tr w:rsidR="00815E65" w:rsidRPr="001E6526" w14:paraId="6789448D" w14:textId="77777777" w:rsidTr="00815E65">
        <w:trPr>
          <w:trHeight w:val="21"/>
        </w:trPr>
        <w:tc>
          <w:tcPr>
            <w:tcW w:w="2615" w:type="pct"/>
            <w:tcBorders>
              <w:top w:val="double" w:sz="4" w:space="0" w:color="auto"/>
            </w:tcBorders>
            <w:tcMar>
              <w:left w:w="58" w:type="dxa"/>
              <w:right w:w="58" w:type="dxa"/>
            </w:tcMar>
            <w:vAlign w:val="bottom"/>
          </w:tcPr>
          <w:p w14:paraId="64FFDEE4" w14:textId="77777777" w:rsidR="00815E65" w:rsidRPr="00CE3053" w:rsidRDefault="00815E65" w:rsidP="00F93B95">
            <w:pPr>
              <w:pStyle w:val="TableText"/>
              <w:spacing w:after="0"/>
              <w:jc w:val="both"/>
              <w:rPr>
                <w:rFonts w:ascii="Arial" w:hAnsi="Arial"/>
                <w:b/>
                <w:bCs/>
                <w:sz w:val="18"/>
                <w:lang w:val="mk-MK"/>
              </w:rPr>
            </w:pPr>
          </w:p>
        </w:tc>
        <w:tc>
          <w:tcPr>
            <w:tcW w:w="887" w:type="pct"/>
            <w:tcBorders>
              <w:top w:val="double" w:sz="4" w:space="0" w:color="auto"/>
            </w:tcBorders>
            <w:tcMar>
              <w:left w:w="58" w:type="dxa"/>
              <w:right w:w="58" w:type="dxa"/>
            </w:tcMar>
            <w:vAlign w:val="bottom"/>
          </w:tcPr>
          <w:p w14:paraId="4716C0B2" w14:textId="77777777" w:rsidR="00815E65" w:rsidRPr="00CE3053" w:rsidRDefault="00815E65" w:rsidP="00F93B95">
            <w:pPr>
              <w:spacing w:after="0"/>
              <w:jc w:val="both"/>
              <w:rPr>
                <w:rFonts w:ascii="Arial" w:hAnsi="Arial" w:cs="Arial"/>
                <w:b/>
                <w:bCs/>
                <w:color w:val="000000"/>
                <w:lang w:val="mk-MK"/>
              </w:rPr>
            </w:pPr>
          </w:p>
        </w:tc>
        <w:tc>
          <w:tcPr>
            <w:tcW w:w="750" w:type="pct"/>
            <w:tcBorders>
              <w:top w:val="double" w:sz="4" w:space="0" w:color="auto"/>
            </w:tcBorders>
            <w:tcMar>
              <w:left w:w="58" w:type="dxa"/>
              <w:right w:w="58" w:type="dxa"/>
            </w:tcMar>
            <w:vAlign w:val="bottom"/>
          </w:tcPr>
          <w:p w14:paraId="4EEB4DC5" w14:textId="77777777" w:rsidR="00815E65" w:rsidRPr="00CE3053" w:rsidRDefault="00815E65" w:rsidP="00F93B95">
            <w:pPr>
              <w:pStyle w:val="TableText"/>
              <w:spacing w:after="0"/>
              <w:jc w:val="both"/>
              <w:rPr>
                <w:rFonts w:ascii="Arial" w:hAnsi="Arial"/>
                <w:b/>
                <w:bCs/>
                <w:sz w:val="18"/>
                <w:lang w:val="mk-MK"/>
              </w:rPr>
            </w:pPr>
          </w:p>
        </w:tc>
        <w:tc>
          <w:tcPr>
            <w:tcW w:w="748" w:type="pct"/>
            <w:tcBorders>
              <w:top w:val="double" w:sz="4" w:space="0" w:color="auto"/>
            </w:tcBorders>
            <w:tcMar>
              <w:left w:w="58" w:type="dxa"/>
              <w:right w:w="58" w:type="dxa"/>
            </w:tcMar>
            <w:vAlign w:val="bottom"/>
          </w:tcPr>
          <w:p w14:paraId="341367FE" w14:textId="77777777" w:rsidR="00815E65" w:rsidRPr="00CE3053" w:rsidRDefault="00815E65" w:rsidP="00F93B95">
            <w:pPr>
              <w:pStyle w:val="TableText"/>
              <w:spacing w:after="0"/>
              <w:jc w:val="both"/>
              <w:rPr>
                <w:rFonts w:ascii="Arial" w:hAnsi="Arial"/>
                <w:b/>
                <w:bCs/>
                <w:sz w:val="18"/>
                <w:lang w:val="mk-MK"/>
              </w:rPr>
            </w:pPr>
          </w:p>
        </w:tc>
      </w:tr>
      <w:tr w:rsidR="00815E65" w:rsidRPr="001E6526" w14:paraId="486F4A87" w14:textId="77777777" w:rsidTr="00815E65">
        <w:trPr>
          <w:trHeight w:val="216"/>
        </w:trPr>
        <w:tc>
          <w:tcPr>
            <w:tcW w:w="2615" w:type="pct"/>
            <w:tcMar>
              <w:left w:w="58" w:type="dxa"/>
              <w:right w:w="58" w:type="dxa"/>
            </w:tcMar>
            <w:vAlign w:val="bottom"/>
          </w:tcPr>
          <w:p w14:paraId="1817C7CA" w14:textId="77777777" w:rsidR="00815E65" w:rsidRPr="00CE3053" w:rsidRDefault="00815E65" w:rsidP="00F93B95">
            <w:pPr>
              <w:pStyle w:val="TableText"/>
              <w:spacing w:after="0"/>
              <w:jc w:val="both"/>
              <w:rPr>
                <w:rFonts w:ascii="Arial" w:hAnsi="Arial"/>
                <w:b/>
                <w:bCs/>
                <w:sz w:val="18"/>
                <w:lang w:val="mk-MK"/>
              </w:rPr>
            </w:pPr>
          </w:p>
        </w:tc>
        <w:tc>
          <w:tcPr>
            <w:tcW w:w="887" w:type="pct"/>
            <w:tcMar>
              <w:left w:w="58" w:type="dxa"/>
              <w:right w:w="58" w:type="dxa"/>
            </w:tcMar>
            <w:vAlign w:val="bottom"/>
          </w:tcPr>
          <w:p w14:paraId="63585FCE" w14:textId="77777777" w:rsidR="00815E65" w:rsidRPr="00CE3053" w:rsidRDefault="00815E65" w:rsidP="00F93B95">
            <w:pPr>
              <w:pStyle w:val="TableText"/>
              <w:spacing w:after="0"/>
              <w:jc w:val="both"/>
              <w:rPr>
                <w:rFonts w:ascii="Arial" w:hAnsi="Arial"/>
                <w:b/>
                <w:bCs/>
                <w:sz w:val="18"/>
                <w:lang w:val="mk-MK"/>
              </w:rPr>
            </w:pPr>
          </w:p>
        </w:tc>
        <w:tc>
          <w:tcPr>
            <w:tcW w:w="750" w:type="pct"/>
            <w:tcMar>
              <w:left w:w="58" w:type="dxa"/>
              <w:right w:w="58" w:type="dxa"/>
            </w:tcMar>
            <w:vAlign w:val="bottom"/>
          </w:tcPr>
          <w:p w14:paraId="5060505B" w14:textId="77777777" w:rsidR="00815E65" w:rsidRPr="00CE3053" w:rsidRDefault="00815E65" w:rsidP="00F93B95">
            <w:pPr>
              <w:pStyle w:val="TableText"/>
              <w:spacing w:after="0"/>
              <w:jc w:val="both"/>
              <w:rPr>
                <w:rFonts w:ascii="Arial" w:hAnsi="Arial"/>
                <w:b/>
                <w:bCs/>
                <w:sz w:val="18"/>
                <w:lang w:val="mk-MK"/>
              </w:rPr>
            </w:pPr>
          </w:p>
        </w:tc>
        <w:tc>
          <w:tcPr>
            <w:tcW w:w="748" w:type="pct"/>
            <w:tcMar>
              <w:left w:w="58" w:type="dxa"/>
              <w:right w:w="58" w:type="dxa"/>
            </w:tcMar>
            <w:vAlign w:val="bottom"/>
          </w:tcPr>
          <w:p w14:paraId="19F789D4" w14:textId="77777777" w:rsidR="00815E65" w:rsidRPr="00CE3053" w:rsidRDefault="00815E65" w:rsidP="00F93B95">
            <w:pPr>
              <w:pStyle w:val="TableText"/>
              <w:spacing w:after="0"/>
              <w:jc w:val="both"/>
              <w:rPr>
                <w:rFonts w:ascii="Arial" w:hAnsi="Arial"/>
                <w:b/>
                <w:bCs/>
                <w:sz w:val="18"/>
                <w:lang w:val="mk-MK"/>
              </w:rPr>
            </w:pPr>
          </w:p>
        </w:tc>
      </w:tr>
      <w:tr w:rsidR="00815E65" w:rsidRPr="001E6526" w14:paraId="0AEC4E6B" w14:textId="77777777" w:rsidTr="00815E65">
        <w:trPr>
          <w:trHeight w:val="216"/>
        </w:trPr>
        <w:tc>
          <w:tcPr>
            <w:tcW w:w="2615" w:type="pct"/>
            <w:tcMar>
              <w:left w:w="58" w:type="dxa"/>
              <w:right w:w="58" w:type="dxa"/>
            </w:tcMar>
            <w:vAlign w:val="bottom"/>
          </w:tcPr>
          <w:p w14:paraId="708B05F1" w14:textId="2A9FCC88" w:rsidR="00815E65" w:rsidRPr="00CE3053" w:rsidRDefault="00815E65" w:rsidP="00F93B95">
            <w:pPr>
              <w:pStyle w:val="TableText"/>
              <w:spacing w:after="0"/>
              <w:jc w:val="both"/>
              <w:rPr>
                <w:rFonts w:ascii="Arial" w:hAnsi="Arial"/>
                <w:bCs/>
                <w:sz w:val="18"/>
                <w:lang w:val="mk-MK"/>
              </w:rPr>
            </w:pPr>
            <w:r w:rsidRPr="00CE3053">
              <w:rPr>
                <w:rFonts w:ascii="Arial" w:hAnsi="Arial"/>
                <w:bCs/>
                <w:sz w:val="18"/>
                <w:lang w:val="mk-MK"/>
              </w:rPr>
              <w:t xml:space="preserve"> 31 </w:t>
            </w:r>
            <w:r w:rsidR="0082460A">
              <w:rPr>
                <w:rFonts w:ascii="Arial" w:hAnsi="Arial"/>
                <w:bCs/>
                <w:sz w:val="18"/>
                <w:lang w:val="en-US"/>
              </w:rPr>
              <w:t>December</w:t>
            </w:r>
            <w:r w:rsidRPr="00CE3053">
              <w:rPr>
                <w:rFonts w:ascii="Arial" w:hAnsi="Arial"/>
                <w:bCs/>
                <w:sz w:val="18"/>
                <w:lang w:val="mk-MK"/>
              </w:rPr>
              <w:t xml:space="preserve"> 20</w:t>
            </w:r>
            <w:r w:rsidR="00E22987" w:rsidRPr="00CE3053">
              <w:rPr>
                <w:rFonts w:ascii="Arial" w:hAnsi="Arial"/>
                <w:bCs/>
                <w:sz w:val="18"/>
                <w:lang w:val="mk-MK"/>
              </w:rPr>
              <w:t>20</w:t>
            </w:r>
          </w:p>
        </w:tc>
        <w:tc>
          <w:tcPr>
            <w:tcW w:w="887" w:type="pct"/>
            <w:tcMar>
              <w:left w:w="58" w:type="dxa"/>
              <w:right w:w="58" w:type="dxa"/>
            </w:tcMar>
            <w:vAlign w:val="bottom"/>
          </w:tcPr>
          <w:p w14:paraId="206FD3C8" w14:textId="77777777" w:rsidR="00815E65" w:rsidRPr="00CE3053" w:rsidRDefault="00815E65" w:rsidP="00F93B95">
            <w:pPr>
              <w:pStyle w:val="TableText"/>
              <w:spacing w:after="0"/>
              <w:jc w:val="both"/>
              <w:rPr>
                <w:rFonts w:ascii="Arial" w:hAnsi="Arial"/>
                <w:sz w:val="18"/>
                <w:lang w:val="mk-MK"/>
              </w:rPr>
            </w:pPr>
          </w:p>
        </w:tc>
        <w:tc>
          <w:tcPr>
            <w:tcW w:w="750" w:type="pct"/>
            <w:tcMar>
              <w:left w:w="58" w:type="dxa"/>
              <w:right w:w="58" w:type="dxa"/>
            </w:tcMar>
            <w:vAlign w:val="bottom"/>
          </w:tcPr>
          <w:p w14:paraId="7D1C626A" w14:textId="77777777" w:rsidR="00815E65" w:rsidRPr="00CE3053" w:rsidRDefault="00815E65" w:rsidP="00F93B95">
            <w:pPr>
              <w:pStyle w:val="TableText"/>
              <w:spacing w:after="0"/>
              <w:jc w:val="both"/>
              <w:rPr>
                <w:rFonts w:ascii="Arial" w:hAnsi="Arial"/>
                <w:sz w:val="18"/>
                <w:lang w:val="mk-MK"/>
              </w:rPr>
            </w:pPr>
          </w:p>
        </w:tc>
        <w:tc>
          <w:tcPr>
            <w:tcW w:w="748" w:type="pct"/>
            <w:tcMar>
              <w:left w:w="58" w:type="dxa"/>
              <w:right w:w="58" w:type="dxa"/>
            </w:tcMar>
            <w:vAlign w:val="bottom"/>
          </w:tcPr>
          <w:p w14:paraId="44F876A4" w14:textId="77777777" w:rsidR="00815E65" w:rsidRPr="00CE3053" w:rsidRDefault="00815E65" w:rsidP="00F93B95">
            <w:pPr>
              <w:pStyle w:val="TableText"/>
              <w:spacing w:after="0"/>
              <w:jc w:val="both"/>
              <w:rPr>
                <w:rFonts w:ascii="Arial" w:hAnsi="Arial"/>
                <w:sz w:val="18"/>
                <w:lang w:val="mk-MK"/>
              </w:rPr>
            </w:pPr>
          </w:p>
        </w:tc>
      </w:tr>
      <w:tr w:rsidR="00815E65" w:rsidRPr="001E6526" w14:paraId="3F34CF52" w14:textId="77777777" w:rsidTr="00815E65">
        <w:trPr>
          <w:trHeight w:val="216"/>
        </w:trPr>
        <w:tc>
          <w:tcPr>
            <w:tcW w:w="2615" w:type="pct"/>
            <w:tcMar>
              <w:left w:w="58" w:type="dxa"/>
              <w:right w:w="58" w:type="dxa"/>
            </w:tcMar>
            <w:vAlign w:val="bottom"/>
          </w:tcPr>
          <w:p w14:paraId="2689145F" w14:textId="77777777" w:rsidR="00815E65" w:rsidRPr="00CE3053" w:rsidRDefault="00815E65" w:rsidP="00F93B95">
            <w:pPr>
              <w:pStyle w:val="TableText"/>
              <w:spacing w:after="0"/>
              <w:jc w:val="both"/>
              <w:rPr>
                <w:rFonts w:ascii="Arial" w:hAnsi="Arial"/>
                <w:sz w:val="18"/>
                <w:lang w:val="mk-MK"/>
              </w:rPr>
            </w:pPr>
          </w:p>
        </w:tc>
        <w:tc>
          <w:tcPr>
            <w:tcW w:w="887" w:type="pct"/>
            <w:tcMar>
              <w:left w:w="58" w:type="dxa"/>
              <w:right w:w="58" w:type="dxa"/>
            </w:tcMar>
            <w:vAlign w:val="bottom"/>
          </w:tcPr>
          <w:p w14:paraId="73DF4E82" w14:textId="77777777" w:rsidR="00815E65" w:rsidRPr="00CE3053" w:rsidRDefault="00815E65" w:rsidP="00F93B95">
            <w:pPr>
              <w:pStyle w:val="TableText"/>
              <w:spacing w:after="0"/>
              <w:jc w:val="both"/>
              <w:rPr>
                <w:rFonts w:ascii="Arial" w:hAnsi="Arial"/>
                <w:sz w:val="18"/>
                <w:lang w:val="mk-MK"/>
              </w:rPr>
            </w:pPr>
          </w:p>
        </w:tc>
        <w:tc>
          <w:tcPr>
            <w:tcW w:w="750" w:type="pct"/>
            <w:tcMar>
              <w:left w:w="58" w:type="dxa"/>
              <w:right w:w="58" w:type="dxa"/>
            </w:tcMar>
            <w:vAlign w:val="bottom"/>
          </w:tcPr>
          <w:p w14:paraId="58D3D4CD" w14:textId="77777777" w:rsidR="00815E65" w:rsidRPr="00CE3053" w:rsidRDefault="00815E65" w:rsidP="00F93B95">
            <w:pPr>
              <w:pStyle w:val="TableText"/>
              <w:spacing w:after="0"/>
              <w:jc w:val="both"/>
              <w:rPr>
                <w:rFonts w:ascii="Arial" w:hAnsi="Arial"/>
                <w:sz w:val="18"/>
                <w:lang w:val="mk-MK"/>
              </w:rPr>
            </w:pPr>
          </w:p>
        </w:tc>
        <w:tc>
          <w:tcPr>
            <w:tcW w:w="748" w:type="pct"/>
            <w:tcMar>
              <w:left w:w="58" w:type="dxa"/>
              <w:right w:w="58" w:type="dxa"/>
            </w:tcMar>
            <w:vAlign w:val="bottom"/>
          </w:tcPr>
          <w:p w14:paraId="519794D0" w14:textId="77777777" w:rsidR="00815E65" w:rsidRPr="00CE3053" w:rsidRDefault="00815E65" w:rsidP="00F93B95">
            <w:pPr>
              <w:pStyle w:val="TableText"/>
              <w:spacing w:after="0"/>
              <w:jc w:val="both"/>
              <w:rPr>
                <w:rFonts w:ascii="Arial" w:hAnsi="Arial"/>
                <w:sz w:val="18"/>
                <w:lang w:val="mk-MK"/>
              </w:rPr>
            </w:pPr>
          </w:p>
        </w:tc>
      </w:tr>
      <w:tr w:rsidR="00815E65" w:rsidRPr="001E6526" w14:paraId="07B2B2F9" w14:textId="77777777" w:rsidTr="00815E65">
        <w:trPr>
          <w:trHeight w:val="216"/>
        </w:trPr>
        <w:tc>
          <w:tcPr>
            <w:tcW w:w="2615" w:type="pct"/>
            <w:tcMar>
              <w:left w:w="58" w:type="dxa"/>
              <w:right w:w="58" w:type="dxa"/>
            </w:tcMar>
            <w:vAlign w:val="bottom"/>
          </w:tcPr>
          <w:p w14:paraId="68025BDF" w14:textId="24D46464" w:rsidR="00815E65" w:rsidRPr="0082460A" w:rsidRDefault="0082460A" w:rsidP="00F93B95">
            <w:pPr>
              <w:pStyle w:val="TableText"/>
              <w:spacing w:after="0"/>
              <w:jc w:val="both"/>
              <w:rPr>
                <w:rFonts w:ascii="Arial" w:hAnsi="Arial"/>
                <w:sz w:val="18"/>
                <w:lang w:val="en-US"/>
              </w:rPr>
            </w:pPr>
            <w:r>
              <w:rPr>
                <w:rFonts w:ascii="Arial" w:hAnsi="Arial"/>
                <w:sz w:val="18"/>
                <w:lang w:val="en-US"/>
              </w:rPr>
              <w:t>Claims payables</w:t>
            </w:r>
          </w:p>
        </w:tc>
        <w:tc>
          <w:tcPr>
            <w:tcW w:w="887" w:type="pct"/>
            <w:tcMar>
              <w:left w:w="58" w:type="dxa"/>
              <w:right w:w="58" w:type="dxa"/>
            </w:tcMar>
            <w:vAlign w:val="bottom"/>
          </w:tcPr>
          <w:p w14:paraId="3D8B671C" w14:textId="183DF0A9" w:rsidR="00815E65" w:rsidRPr="001E6526" w:rsidRDefault="00E22987" w:rsidP="00F93B95">
            <w:pPr>
              <w:spacing w:after="0"/>
              <w:jc w:val="right"/>
              <w:rPr>
                <w:rFonts w:ascii="Arial" w:hAnsi="Arial" w:cs="Arial"/>
                <w:color w:val="000000"/>
                <w:lang w:val="mk-MK"/>
              </w:rPr>
            </w:pPr>
            <w:r w:rsidRPr="00CE3053">
              <w:rPr>
                <w:rFonts w:ascii="Arial" w:hAnsi="Arial" w:cs="Arial"/>
                <w:color w:val="000000"/>
                <w:lang w:val="mk-MK"/>
              </w:rPr>
              <w:t>621,156</w:t>
            </w:r>
          </w:p>
        </w:tc>
        <w:tc>
          <w:tcPr>
            <w:tcW w:w="750" w:type="pct"/>
            <w:tcMar>
              <w:left w:w="58" w:type="dxa"/>
              <w:right w:w="58" w:type="dxa"/>
            </w:tcMar>
            <w:vAlign w:val="bottom"/>
          </w:tcPr>
          <w:p w14:paraId="27FF62A2" w14:textId="77777777" w:rsidR="00815E65" w:rsidRPr="00CE3053" w:rsidRDefault="00815E65" w:rsidP="00F93B95">
            <w:pPr>
              <w:pStyle w:val="TableText"/>
              <w:spacing w:after="0"/>
              <w:jc w:val="right"/>
              <w:rPr>
                <w:rFonts w:ascii="Arial" w:hAnsi="Arial"/>
                <w:sz w:val="18"/>
                <w:lang w:val="mk-MK"/>
              </w:rPr>
            </w:pPr>
            <w:r w:rsidRPr="00CE3053">
              <w:rPr>
                <w:rFonts w:ascii="Arial" w:hAnsi="Arial"/>
                <w:sz w:val="18"/>
                <w:lang w:val="mk-MK"/>
              </w:rPr>
              <w:t>-</w:t>
            </w:r>
          </w:p>
        </w:tc>
        <w:tc>
          <w:tcPr>
            <w:tcW w:w="748" w:type="pct"/>
            <w:tcMar>
              <w:left w:w="58" w:type="dxa"/>
              <w:right w:w="58" w:type="dxa"/>
            </w:tcMar>
            <w:vAlign w:val="bottom"/>
          </w:tcPr>
          <w:p w14:paraId="0B77A2F1" w14:textId="77777777" w:rsidR="00815E65" w:rsidRPr="00CE3053" w:rsidRDefault="00815E65" w:rsidP="00F93B95">
            <w:pPr>
              <w:pStyle w:val="TableText"/>
              <w:spacing w:after="0"/>
              <w:jc w:val="right"/>
              <w:rPr>
                <w:rFonts w:ascii="Arial" w:hAnsi="Arial"/>
                <w:sz w:val="18"/>
                <w:lang w:val="mk-MK"/>
              </w:rPr>
            </w:pPr>
            <w:r w:rsidRPr="00CE3053">
              <w:rPr>
                <w:rFonts w:ascii="Arial" w:hAnsi="Arial"/>
                <w:sz w:val="18"/>
                <w:lang w:val="mk-MK"/>
              </w:rPr>
              <w:t>-</w:t>
            </w:r>
          </w:p>
        </w:tc>
      </w:tr>
      <w:tr w:rsidR="00815E65" w:rsidRPr="001E6526" w14:paraId="21BD8C76" w14:textId="77777777" w:rsidTr="00815E65">
        <w:trPr>
          <w:trHeight w:val="216"/>
        </w:trPr>
        <w:tc>
          <w:tcPr>
            <w:tcW w:w="2615" w:type="pct"/>
            <w:tcBorders>
              <w:bottom w:val="single" w:sz="4" w:space="0" w:color="auto"/>
            </w:tcBorders>
            <w:tcMar>
              <w:left w:w="58" w:type="dxa"/>
              <w:right w:w="58" w:type="dxa"/>
            </w:tcMar>
            <w:vAlign w:val="bottom"/>
          </w:tcPr>
          <w:p w14:paraId="6D88AF81" w14:textId="576BEED8" w:rsidR="00815E65" w:rsidRPr="0082460A" w:rsidRDefault="0082460A" w:rsidP="00F93B95">
            <w:pPr>
              <w:pStyle w:val="TableText"/>
              <w:spacing w:after="0"/>
              <w:jc w:val="both"/>
              <w:rPr>
                <w:rFonts w:ascii="Arial" w:hAnsi="Arial"/>
                <w:sz w:val="18"/>
                <w:lang w:val="en-US"/>
              </w:rPr>
            </w:pPr>
            <w:r>
              <w:rPr>
                <w:rFonts w:ascii="Arial" w:hAnsi="Arial"/>
                <w:sz w:val="18"/>
                <w:lang w:val="en-US"/>
              </w:rPr>
              <w:t>Other payables</w:t>
            </w:r>
          </w:p>
        </w:tc>
        <w:tc>
          <w:tcPr>
            <w:tcW w:w="887" w:type="pct"/>
            <w:tcBorders>
              <w:bottom w:val="single" w:sz="4" w:space="0" w:color="auto"/>
            </w:tcBorders>
            <w:tcMar>
              <w:left w:w="58" w:type="dxa"/>
              <w:right w:w="58" w:type="dxa"/>
            </w:tcMar>
            <w:vAlign w:val="bottom"/>
          </w:tcPr>
          <w:p w14:paraId="2FC1D8C8" w14:textId="49FDB373" w:rsidR="00815E65" w:rsidRPr="001E6526" w:rsidRDefault="00E22987" w:rsidP="00F93B95">
            <w:pPr>
              <w:spacing w:after="0"/>
              <w:jc w:val="right"/>
              <w:rPr>
                <w:rFonts w:ascii="Arial" w:hAnsi="Arial" w:cs="Arial"/>
                <w:color w:val="000000"/>
                <w:lang w:val="mk-MK"/>
              </w:rPr>
            </w:pPr>
            <w:r w:rsidRPr="00CE3053">
              <w:rPr>
                <w:rFonts w:ascii="Arial" w:hAnsi="Arial" w:cs="Arial"/>
                <w:color w:val="000000"/>
                <w:lang w:val="mk-MK"/>
              </w:rPr>
              <w:t>68</w:t>
            </w:r>
          </w:p>
        </w:tc>
        <w:tc>
          <w:tcPr>
            <w:tcW w:w="750" w:type="pct"/>
            <w:tcBorders>
              <w:bottom w:val="single" w:sz="4" w:space="0" w:color="auto"/>
            </w:tcBorders>
            <w:tcMar>
              <w:left w:w="58" w:type="dxa"/>
              <w:right w:w="58" w:type="dxa"/>
            </w:tcMar>
            <w:vAlign w:val="bottom"/>
          </w:tcPr>
          <w:p w14:paraId="3AA6404E" w14:textId="77777777" w:rsidR="00815E65" w:rsidRPr="001E6526" w:rsidRDefault="00815E65" w:rsidP="00F93B95">
            <w:pPr>
              <w:pStyle w:val="TableText"/>
              <w:spacing w:after="0"/>
              <w:jc w:val="right"/>
              <w:rPr>
                <w:rFonts w:ascii="Arial" w:hAnsi="Arial"/>
                <w:sz w:val="18"/>
                <w:lang w:val="mk-MK"/>
              </w:rPr>
            </w:pPr>
            <w:r w:rsidRPr="001E6526">
              <w:rPr>
                <w:rFonts w:ascii="Arial" w:hAnsi="Arial"/>
                <w:sz w:val="18"/>
                <w:lang w:val="mk-MK"/>
              </w:rPr>
              <w:t>-</w:t>
            </w:r>
          </w:p>
        </w:tc>
        <w:tc>
          <w:tcPr>
            <w:tcW w:w="748" w:type="pct"/>
            <w:tcBorders>
              <w:bottom w:val="single" w:sz="4" w:space="0" w:color="auto"/>
            </w:tcBorders>
            <w:tcMar>
              <w:left w:w="58" w:type="dxa"/>
              <w:right w:w="58" w:type="dxa"/>
            </w:tcMar>
            <w:vAlign w:val="bottom"/>
          </w:tcPr>
          <w:p w14:paraId="16FDCD66" w14:textId="77777777" w:rsidR="00815E65" w:rsidRPr="001E6526" w:rsidRDefault="00815E65" w:rsidP="00F93B95">
            <w:pPr>
              <w:pStyle w:val="TableText"/>
              <w:spacing w:after="0"/>
              <w:jc w:val="right"/>
              <w:rPr>
                <w:rFonts w:ascii="Arial" w:hAnsi="Arial"/>
                <w:sz w:val="18"/>
                <w:lang w:val="mk-MK"/>
              </w:rPr>
            </w:pPr>
            <w:r w:rsidRPr="001E6526">
              <w:rPr>
                <w:rFonts w:ascii="Arial" w:hAnsi="Arial"/>
                <w:sz w:val="18"/>
                <w:lang w:val="mk-MK"/>
              </w:rPr>
              <w:t>-</w:t>
            </w:r>
          </w:p>
        </w:tc>
      </w:tr>
      <w:tr w:rsidR="00815E65" w:rsidRPr="001E6526" w14:paraId="1F04072D" w14:textId="77777777" w:rsidTr="00815E65">
        <w:trPr>
          <w:trHeight w:val="216"/>
        </w:trPr>
        <w:tc>
          <w:tcPr>
            <w:tcW w:w="2615" w:type="pct"/>
            <w:tcBorders>
              <w:top w:val="single" w:sz="4" w:space="0" w:color="auto"/>
              <w:bottom w:val="double" w:sz="4" w:space="0" w:color="auto"/>
            </w:tcBorders>
            <w:tcMar>
              <w:left w:w="58" w:type="dxa"/>
              <w:right w:w="58" w:type="dxa"/>
            </w:tcMar>
            <w:vAlign w:val="bottom"/>
          </w:tcPr>
          <w:p w14:paraId="7FC24C80" w14:textId="77777777" w:rsidR="00815E65" w:rsidRPr="00CE3053" w:rsidRDefault="00815E65" w:rsidP="00F93B95">
            <w:pPr>
              <w:pStyle w:val="TableText"/>
              <w:spacing w:after="0"/>
              <w:jc w:val="both"/>
              <w:rPr>
                <w:rFonts w:ascii="Arial" w:hAnsi="Arial"/>
                <w:b/>
                <w:bCs/>
                <w:sz w:val="18"/>
                <w:lang w:val="mk-MK"/>
              </w:rPr>
            </w:pPr>
          </w:p>
        </w:tc>
        <w:tc>
          <w:tcPr>
            <w:tcW w:w="887" w:type="pct"/>
            <w:tcBorders>
              <w:top w:val="single" w:sz="4" w:space="0" w:color="auto"/>
              <w:bottom w:val="double" w:sz="4" w:space="0" w:color="auto"/>
            </w:tcBorders>
            <w:tcMar>
              <w:left w:w="58" w:type="dxa"/>
              <w:right w:w="58" w:type="dxa"/>
            </w:tcMar>
            <w:vAlign w:val="bottom"/>
          </w:tcPr>
          <w:p w14:paraId="5BFDCF32" w14:textId="245A272B" w:rsidR="00815E65" w:rsidRPr="00CE3053" w:rsidRDefault="007679BA" w:rsidP="00F93B95">
            <w:pPr>
              <w:spacing w:after="0"/>
              <w:jc w:val="right"/>
              <w:rPr>
                <w:rFonts w:ascii="Arial" w:hAnsi="Arial" w:cs="Arial"/>
                <w:b/>
                <w:bCs/>
                <w:color w:val="000000"/>
                <w:lang w:val="mk-MK"/>
              </w:rPr>
            </w:pPr>
            <w:r w:rsidRPr="00CE3053">
              <w:rPr>
                <w:rFonts w:ascii="Arial" w:hAnsi="Arial" w:cs="Arial"/>
                <w:b/>
                <w:bCs/>
                <w:color w:val="000000"/>
                <w:lang w:val="mk-MK"/>
              </w:rPr>
              <w:t>621,224</w:t>
            </w:r>
          </w:p>
        </w:tc>
        <w:tc>
          <w:tcPr>
            <w:tcW w:w="750" w:type="pct"/>
            <w:tcBorders>
              <w:top w:val="single" w:sz="4" w:space="0" w:color="auto"/>
              <w:bottom w:val="double" w:sz="4" w:space="0" w:color="auto"/>
            </w:tcBorders>
            <w:tcMar>
              <w:left w:w="58" w:type="dxa"/>
              <w:right w:w="58" w:type="dxa"/>
            </w:tcMar>
            <w:vAlign w:val="bottom"/>
          </w:tcPr>
          <w:p w14:paraId="3302A561" w14:textId="77777777" w:rsidR="00815E65" w:rsidRPr="00CE3053" w:rsidRDefault="00815E65" w:rsidP="00F93B95">
            <w:pPr>
              <w:pStyle w:val="TableText"/>
              <w:spacing w:after="0"/>
              <w:jc w:val="right"/>
              <w:rPr>
                <w:rFonts w:ascii="Arial" w:hAnsi="Arial"/>
                <w:b/>
                <w:bCs/>
                <w:sz w:val="18"/>
                <w:lang w:val="mk-MK"/>
              </w:rPr>
            </w:pPr>
            <w:r w:rsidRPr="00CE3053">
              <w:rPr>
                <w:rFonts w:ascii="Arial" w:hAnsi="Arial"/>
                <w:b/>
                <w:bCs/>
                <w:sz w:val="18"/>
                <w:lang w:val="mk-MK"/>
              </w:rPr>
              <w:t>-</w:t>
            </w:r>
          </w:p>
        </w:tc>
        <w:tc>
          <w:tcPr>
            <w:tcW w:w="748" w:type="pct"/>
            <w:tcBorders>
              <w:top w:val="single" w:sz="4" w:space="0" w:color="auto"/>
              <w:bottom w:val="double" w:sz="4" w:space="0" w:color="auto"/>
            </w:tcBorders>
            <w:tcMar>
              <w:left w:w="58" w:type="dxa"/>
              <w:right w:w="58" w:type="dxa"/>
            </w:tcMar>
            <w:vAlign w:val="bottom"/>
          </w:tcPr>
          <w:p w14:paraId="078F4984" w14:textId="77777777" w:rsidR="00815E65" w:rsidRPr="00CE3053" w:rsidRDefault="00815E65" w:rsidP="00F93B95">
            <w:pPr>
              <w:pStyle w:val="TableText"/>
              <w:spacing w:after="0"/>
              <w:jc w:val="right"/>
              <w:rPr>
                <w:rFonts w:ascii="Arial" w:hAnsi="Arial"/>
                <w:b/>
                <w:bCs/>
                <w:sz w:val="18"/>
                <w:lang w:val="mk-MK"/>
              </w:rPr>
            </w:pPr>
            <w:r w:rsidRPr="00CE3053">
              <w:rPr>
                <w:rFonts w:ascii="Arial" w:hAnsi="Arial"/>
                <w:b/>
                <w:bCs/>
                <w:sz w:val="18"/>
                <w:lang w:val="mk-MK"/>
              </w:rPr>
              <w:t>-</w:t>
            </w:r>
          </w:p>
        </w:tc>
      </w:tr>
    </w:tbl>
    <w:p w14:paraId="789401FE" w14:textId="77777777" w:rsidR="00815E65" w:rsidRPr="00CE3053" w:rsidRDefault="00815E65" w:rsidP="00815E65">
      <w:pPr>
        <w:pStyle w:val="NumberedHeading2"/>
        <w:numPr>
          <w:ilvl w:val="0"/>
          <w:numId w:val="0"/>
        </w:numPr>
        <w:ind w:left="360"/>
        <w:jc w:val="both"/>
        <w:rPr>
          <w:rFonts w:ascii="Arial" w:hAnsi="Arial" w:cs="Arial"/>
          <w:b/>
          <w:color w:val="4F2D7F"/>
          <w:sz w:val="18"/>
          <w:szCs w:val="18"/>
          <w:lang w:val="mk-MK"/>
        </w:rPr>
      </w:pPr>
    </w:p>
    <w:p w14:paraId="611D5366" w14:textId="449C6C3A" w:rsidR="00815E65" w:rsidRPr="00CE3053" w:rsidRDefault="0066526C" w:rsidP="0061511C">
      <w:pPr>
        <w:pStyle w:val="NumberedHeading2"/>
        <w:numPr>
          <w:ilvl w:val="1"/>
          <w:numId w:val="22"/>
        </w:numPr>
        <w:spacing w:before="0" w:after="0" w:line="260" w:lineRule="atLeast"/>
        <w:jc w:val="both"/>
        <w:rPr>
          <w:rFonts w:ascii="Arial" w:hAnsi="Arial" w:cs="Arial"/>
          <w:b/>
          <w:color w:val="4F2D7F"/>
          <w:sz w:val="18"/>
          <w:szCs w:val="18"/>
          <w:lang w:val="mk-MK"/>
        </w:rPr>
      </w:pPr>
      <w:r>
        <w:rPr>
          <w:rFonts w:ascii="Arial" w:hAnsi="Arial" w:cs="Arial"/>
          <w:b/>
          <w:color w:val="4F2D7F"/>
          <w:sz w:val="18"/>
          <w:szCs w:val="18"/>
          <w:lang w:val="en-US"/>
        </w:rPr>
        <w:t>Fair value estimation</w:t>
      </w:r>
    </w:p>
    <w:p w14:paraId="3D156013" w14:textId="19939C42" w:rsidR="00815E65" w:rsidRPr="001E6526" w:rsidRDefault="00012683" w:rsidP="0025712C">
      <w:pPr>
        <w:pStyle w:val="BodyText"/>
        <w:spacing w:afterLines="100" w:after="240"/>
        <w:jc w:val="both"/>
        <w:rPr>
          <w:rFonts w:ascii="Arial" w:hAnsi="Arial" w:cs="Arial"/>
          <w:lang w:val="mk-MK"/>
        </w:rPr>
      </w:pPr>
      <w:proofErr w:type="spellStart"/>
      <w:r w:rsidRPr="00012683">
        <w:rPr>
          <w:rFonts w:ascii="Arial" w:hAnsi="Arial" w:cs="Arial"/>
          <w:lang w:val="mk-MK"/>
        </w:rPr>
        <w:t>Fair</w:t>
      </w:r>
      <w:proofErr w:type="spellEnd"/>
      <w:r w:rsidRPr="00012683">
        <w:rPr>
          <w:rFonts w:ascii="Arial" w:hAnsi="Arial" w:cs="Arial"/>
          <w:lang w:val="mk-MK"/>
        </w:rPr>
        <w:t xml:space="preserve"> </w:t>
      </w:r>
      <w:proofErr w:type="spellStart"/>
      <w:r w:rsidRPr="00012683">
        <w:rPr>
          <w:rFonts w:ascii="Arial" w:hAnsi="Arial" w:cs="Arial"/>
          <w:lang w:val="mk-MK"/>
        </w:rPr>
        <w:t>value</w:t>
      </w:r>
      <w:proofErr w:type="spellEnd"/>
      <w:r w:rsidRPr="00012683">
        <w:rPr>
          <w:rFonts w:ascii="Arial" w:hAnsi="Arial" w:cs="Arial"/>
          <w:lang w:val="mk-MK"/>
        </w:rPr>
        <w:t xml:space="preserve"> </w:t>
      </w:r>
      <w:proofErr w:type="spellStart"/>
      <w:r w:rsidRPr="00012683">
        <w:rPr>
          <w:rFonts w:ascii="Arial" w:hAnsi="Arial" w:cs="Arial"/>
          <w:lang w:val="mk-MK"/>
        </w:rPr>
        <w:t>represents</w:t>
      </w:r>
      <w:proofErr w:type="spellEnd"/>
      <w:r w:rsidRPr="00012683">
        <w:rPr>
          <w:rFonts w:ascii="Arial" w:hAnsi="Arial" w:cs="Arial"/>
          <w:lang w:val="mk-MK"/>
        </w:rPr>
        <w:t xml:space="preserve"> </w:t>
      </w:r>
      <w:proofErr w:type="spellStart"/>
      <w:r w:rsidRPr="00012683">
        <w:rPr>
          <w:rFonts w:ascii="Arial" w:hAnsi="Arial" w:cs="Arial"/>
          <w:lang w:val="mk-MK"/>
        </w:rPr>
        <w:t>the</w:t>
      </w:r>
      <w:proofErr w:type="spellEnd"/>
      <w:r w:rsidRPr="00012683">
        <w:rPr>
          <w:rFonts w:ascii="Arial" w:hAnsi="Arial" w:cs="Arial"/>
          <w:lang w:val="mk-MK"/>
        </w:rPr>
        <w:t xml:space="preserve"> </w:t>
      </w:r>
      <w:proofErr w:type="spellStart"/>
      <w:r w:rsidRPr="00012683">
        <w:rPr>
          <w:rFonts w:ascii="Arial" w:hAnsi="Arial" w:cs="Arial"/>
          <w:lang w:val="mk-MK"/>
        </w:rPr>
        <w:t>amount</w:t>
      </w:r>
      <w:proofErr w:type="spellEnd"/>
      <w:r w:rsidRPr="00012683">
        <w:rPr>
          <w:rFonts w:ascii="Arial" w:hAnsi="Arial" w:cs="Arial"/>
          <w:lang w:val="mk-MK"/>
        </w:rPr>
        <w:t xml:space="preserve"> </w:t>
      </w:r>
      <w:proofErr w:type="spellStart"/>
      <w:r w:rsidRPr="00012683">
        <w:rPr>
          <w:rFonts w:ascii="Arial" w:hAnsi="Arial" w:cs="Arial"/>
          <w:lang w:val="mk-MK"/>
        </w:rPr>
        <w:t>at</w:t>
      </w:r>
      <w:proofErr w:type="spellEnd"/>
      <w:r w:rsidRPr="00012683">
        <w:rPr>
          <w:rFonts w:ascii="Arial" w:hAnsi="Arial" w:cs="Arial"/>
          <w:lang w:val="mk-MK"/>
        </w:rPr>
        <w:t xml:space="preserve"> </w:t>
      </w:r>
      <w:proofErr w:type="spellStart"/>
      <w:r w:rsidRPr="00012683">
        <w:rPr>
          <w:rFonts w:ascii="Arial" w:hAnsi="Arial" w:cs="Arial"/>
          <w:lang w:val="mk-MK"/>
        </w:rPr>
        <w:t>which</w:t>
      </w:r>
      <w:proofErr w:type="spellEnd"/>
      <w:r w:rsidRPr="00012683">
        <w:rPr>
          <w:rFonts w:ascii="Arial" w:hAnsi="Arial" w:cs="Arial"/>
          <w:lang w:val="mk-MK"/>
        </w:rPr>
        <w:t xml:space="preserve"> </w:t>
      </w:r>
      <w:proofErr w:type="spellStart"/>
      <w:r w:rsidRPr="00012683">
        <w:rPr>
          <w:rFonts w:ascii="Arial" w:hAnsi="Arial" w:cs="Arial"/>
          <w:lang w:val="mk-MK"/>
        </w:rPr>
        <w:t>an</w:t>
      </w:r>
      <w:proofErr w:type="spellEnd"/>
      <w:r w:rsidRPr="00012683">
        <w:rPr>
          <w:rFonts w:ascii="Arial" w:hAnsi="Arial" w:cs="Arial"/>
          <w:lang w:val="mk-MK"/>
        </w:rPr>
        <w:t xml:space="preserve"> </w:t>
      </w:r>
      <w:proofErr w:type="spellStart"/>
      <w:r w:rsidRPr="00012683">
        <w:rPr>
          <w:rFonts w:ascii="Arial" w:hAnsi="Arial" w:cs="Arial"/>
          <w:lang w:val="mk-MK"/>
        </w:rPr>
        <w:t>asset</w:t>
      </w:r>
      <w:proofErr w:type="spellEnd"/>
      <w:r w:rsidRPr="00012683">
        <w:rPr>
          <w:rFonts w:ascii="Arial" w:hAnsi="Arial" w:cs="Arial"/>
          <w:lang w:val="mk-MK"/>
        </w:rPr>
        <w:t xml:space="preserve"> </w:t>
      </w:r>
      <w:proofErr w:type="spellStart"/>
      <w:r w:rsidRPr="00012683">
        <w:rPr>
          <w:rFonts w:ascii="Arial" w:hAnsi="Arial" w:cs="Arial"/>
          <w:lang w:val="mk-MK"/>
        </w:rPr>
        <w:t>could</w:t>
      </w:r>
      <w:proofErr w:type="spellEnd"/>
      <w:r w:rsidRPr="00012683">
        <w:rPr>
          <w:rFonts w:ascii="Arial" w:hAnsi="Arial" w:cs="Arial"/>
          <w:lang w:val="mk-MK"/>
        </w:rPr>
        <w:t xml:space="preserve"> </w:t>
      </w:r>
      <w:proofErr w:type="spellStart"/>
      <w:r w:rsidRPr="00012683">
        <w:rPr>
          <w:rFonts w:ascii="Arial" w:hAnsi="Arial" w:cs="Arial"/>
          <w:lang w:val="mk-MK"/>
        </w:rPr>
        <w:t>be</w:t>
      </w:r>
      <w:proofErr w:type="spellEnd"/>
      <w:r w:rsidRPr="00012683">
        <w:rPr>
          <w:rFonts w:ascii="Arial" w:hAnsi="Arial" w:cs="Arial"/>
          <w:lang w:val="mk-MK"/>
        </w:rPr>
        <w:t xml:space="preserve"> </w:t>
      </w:r>
      <w:proofErr w:type="spellStart"/>
      <w:r w:rsidRPr="00012683">
        <w:rPr>
          <w:rFonts w:ascii="Arial" w:hAnsi="Arial" w:cs="Arial"/>
          <w:lang w:val="mk-MK"/>
        </w:rPr>
        <w:t>replaced</w:t>
      </w:r>
      <w:proofErr w:type="spellEnd"/>
      <w:r w:rsidRPr="00012683">
        <w:rPr>
          <w:rFonts w:ascii="Arial" w:hAnsi="Arial" w:cs="Arial"/>
          <w:lang w:val="mk-MK"/>
        </w:rPr>
        <w:t xml:space="preserve"> </w:t>
      </w:r>
      <w:proofErr w:type="spellStart"/>
      <w:r w:rsidRPr="00012683">
        <w:rPr>
          <w:rFonts w:ascii="Arial" w:hAnsi="Arial" w:cs="Arial"/>
          <w:lang w:val="mk-MK"/>
        </w:rPr>
        <w:t>or</w:t>
      </w:r>
      <w:proofErr w:type="spellEnd"/>
      <w:r w:rsidRPr="00012683">
        <w:rPr>
          <w:rFonts w:ascii="Arial" w:hAnsi="Arial" w:cs="Arial"/>
          <w:lang w:val="mk-MK"/>
        </w:rPr>
        <w:t xml:space="preserve"> a </w:t>
      </w:r>
      <w:proofErr w:type="spellStart"/>
      <w:r w:rsidRPr="00012683">
        <w:rPr>
          <w:rFonts w:ascii="Arial" w:hAnsi="Arial" w:cs="Arial"/>
          <w:lang w:val="mk-MK"/>
        </w:rPr>
        <w:t>liability</w:t>
      </w:r>
      <w:proofErr w:type="spellEnd"/>
      <w:r w:rsidRPr="00012683">
        <w:rPr>
          <w:rFonts w:ascii="Arial" w:hAnsi="Arial" w:cs="Arial"/>
          <w:lang w:val="mk-MK"/>
        </w:rPr>
        <w:t xml:space="preserve"> </w:t>
      </w:r>
      <w:proofErr w:type="spellStart"/>
      <w:r w:rsidRPr="00012683">
        <w:rPr>
          <w:rFonts w:ascii="Arial" w:hAnsi="Arial" w:cs="Arial"/>
          <w:lang w:val="mk-MK"/>
        </w:rPr>
        <w:t>settled</w:t>
      </w:r>
      <w:proofErr w:type="spellEnd"/>
      <w:r w:rsidRPr="00012683">
        <w:rPr>
          <w:rFonts w:ascii="Arial" w:hAnsi="Arial" w:cs="Arial"/>
          <w:lang w:val="mk-MK"/>
        </w:rPr>
        <w:t xml:space="preserve"> </w:t>
      </w:r>
      <w:proofErr w:type="spellStart"/>
      <w:r w:rsidRPr="00012683">
        <w:rPr>
          <w:rFonts w:ascii="Arial" w:hAnsi="Arial" w:cs="Arial"/>
          <w:lang w:val="mk-MK"/>
        </w:rPr>
        <w:t>on</w:t>
      </w:r>
      <w:proofErr w:type="spellEnd"/>
      <w:r w:rsidRPr="00012683">
        <w:rPr>
          <w:rFonts w:ascii="Arial" w:hAnsi="Arial" w:cs="Arial"/>
          <w:lang w:val="mk-MK"/>
        </w:rPr>
        <w:t xml:space="preserve"> </w:t>
      </w:r>
      <w:proofErr w:type="spellStart"/>
      <w:r w:rsidRPr="00012683">
        <w:rPr>
          <w:rFonts w:ascii="Arial" w:hAnsi="Arial" w:cs="Arial"/>
          <w:lang w:val="mk-MK"/>
        </w:rPr>
        <w:t>an</w:t>
      </w:r>
      <w:proofErr w:type="spellEnd"/>
      <w:r w:rsidRPr="00012683">
        <w:rPr>
          <w:rFonts w:ascii="Arial" w:hAnsi="Arial" w:cs="Arial"/>
          <w:lang w:val="mk-MK"/>
        </w:rPr>
        <w:t xml:space="preserve"> </w:t>
      </w:r>
      <w:proofErr w:type="spellStart"/>
      <w:r w:rsidRPr="00012683">
        <w:rPr>
          <w:rFonts w:ascii="Arial" w:hAnsi="Arial" w:cs="Arial"/>
          <w:lang w:val="mk-MK"/>
        </w:rPr>
        <w:t>arm’s</w:t>
      </w:r>
      <w:proofErr w:type="spellEnd"/>
      <w:r w:rsidRPr="00012683">
        <w:rPr>
          <w:rFonts w:ascii="Arial" w:hAnsi="Arial" w:cs="Arial"/>
          <w:lang w:val="mk-MK"/>
        </w:rPr>
        <w:t xml:space="preserve"> </w:t>
      </w:r>
      <w:proofErr w:type="spellStart"/>
      <w:r w:rsidRPr="00012683">
        <w:rPr>
          <w:rFonts w:ascii="Arial" w:hAnsi="Arial" w:cs="Arial"/>
          <w:lang w:val="mk-MK"/>
        </w:rPr>
        <w:t>length</w:t>
      </w:r>
      <w:proofErr w:type="spellEnd"/>
      <w:r w:rsidRPr="00012683">
        <w:rPr>
          <w:rFonts w:ascii="Arial" w:hAnsi="Arial" w:cs="Arial"/>
          <w:lang w:val="mk-MK"/>
        </w:rPr>
        <w:t xml:space="preserve"> </w:t>
      </w:r>
      <w:proofErr w:type="spellStart"/>
      <w:r w:rsidRPr="00012683">
        <w:rPr>
          <w:rFonts w:ascii="Arial" w:hAnsi="Arial" w:cs="Arial"/>
          <w:lang w:val="mk-MK"/>
        </w:rPr>
        <w:t>basis</w:t>
      </w:r>
      <w:proofErr w:type="spellEnd"/>
      <w:r w:rsidRPr="00012683">
        <w:rPr>
          <w:rFonts w:ascii="Arial" w:hAnsi="Arial" w:cs="Arial"/>
          <w:lang w:val="mk-MK"/>
        </w:rPr>
        <w:t xml:space="preserve">. </w:t>
      </w:r>
      <w:proofErr w:type="spellStart"/>
      <w:r w:rsidRPr="00012683">
        <w:rPr>
          <w:rFonts w:ascii="Arial" w:hAnsi="Arial" w:cs="Arial"/>
          <w:lang w:val="mk-MK"/>
        </w:rPr>
        <w:t>Fair</w:t>
      </w:r>
      <w:proofErr w:type="spellEnd"/>
      <w:r w:rsidRPr="00012683">
        <w:rPr>
          <w:rFonts w:ascii="Arial" w:hAnsi="Arial" w:cs="Arial"/>
          <w:lang w:val="mk-MK"/>
        </w:rPr>
        <w:t xml:space="preserve"> </w:t>
      </w:r>
      <w:proofErr w:type="spellStart"/>
      <w:r w:rsidRPr="00012683">
        <w:rPr>
          <w:rFonts w:ascii="Arial" w:hAnsi="Arial" w:cs="Arial"/>
          <w:lang w:val="mk-MK"/>
        </w:rPr>
        <w:t>values</w:t>
      </w:r>
      <w:proofErr w:type="spellEnd"/>
      <w:r w:rsidRPr="00012683">
        <w:rPr>
          <w:rFonts w:ascii="Arial" w:hAnsi="Arial" w:cs="Arial"/>
          <w:lang w:val="mk-MK"/>
        </w:rPr>
        <w:t xml:space="preserve"> </w:t>
      </w:r>
      <w:proofErr w:type="spellStart"/>
      <w:r w:rsidRPr="00012683">
        <w:rPr>
          <w:rFonts w:ascii="Arial" w:hAnsi="Arial" w:cs="Arial"/>
          <w:lang w:val="mk-MK"/>
        </w:rPr>
        <w:t>have</w:t>
      </w:r>
      <w:proofErr w:type="spellEnd"/>
      <w:r w:rsidRPr="00012683">
        <w:rPr>
          <w:rFonts w:ascii="Arial" w:hAnsi="Arial" w:cs="Arial"/>
          <w:lang w:val="mk-MK"/>
        </w:rPr>
        <w:t xml:space="preserve"> </w:t>
      </w:r>
      <w:proofErr w:type="spellStart"/>
      <w:r w:rsidRPr="00012683">
        <w:rPr>
          <w:rFonts w:ascii="Arial" w:hAnsi="Arial" w:cs="Arial"/>
          <w:lang w:val="mk-MK"/>
        </w:rPr>
        <w:t>been</w:t>
      </w:r>
      <w:proofErr w:type="spellEnd"/>
      <w:r w:rsidRPr="00012683">
        <w:rPr>
          <w:rFonts w:ascii="Arial" w:hAnsi="Arial" w:cs="Arial"/>
          <w:lang w:val="mk-MK"/>
        </w:rPr>
        <w:t xml:space="preserve"> </w:t>
      </w:r>
      <w:proofErr w:type="spellStart"/>
      <w:r w:rsidRPr="00012683">
        <w:rPr>
          <w:rFonts w:ascii="Arial" w:hAnsi="Arial" w:cs="Arial"/>
          <w:lang w:val="mk-MK"/>
        </w:rPr>
        <w:t>based</w:t>
      </w:r>
      <w:proofErr w:type="spellEnd"/>
      <w:r w:rsidRPr="00012683">
        <w:rPr>
          <w:rFonts w:ascii="Arial" w:hAnsi="Arial" w:cs="Arial"/>
          <w:lang w:val="mk-MK"/>
        </w:rPr>
        <w:t xml:space="preserve"> </w:t>
      </w:r>
      <w:proofErr w:type="spellStart"/>
      <w:r w:rsidRPr="00012683">
        <w:rPr>
          <w:rFonts w:ascii="Arial" w:hAnsi="Arial" w:cs="Arial"/>
          <w:lang w:val="mk-MK"/>
        </w:rPr>
        <w:t>on</w:t>
      </w:r>
      <w:proofErr w:type="spellEnd"/>
      <w:r w:rsidRPr="00012683">
        <w:rPr>
          <w:rFonts w:ascii="Arial" w:hAnsi="Arial" w:cs="Arial"/>
          <w:lang w:val="mk-MK"/>
        </w:rPr>
        <w:t xml:space="preserve"> </w:t>
      </w:r>
      <w:proofErr w:type="spellStart"/>
      <w:r w:rsidRPr="00012683">
        <w:rPr>
          <w:rFonts w:ascii="Arial" w:hAnsi="Arial" w:cs="Arial"/>
          <w:lang w:val="mk-MK"/>
        </w:rPr>
        <w:t>management</w:t>
      </w:r>
      <w:proofErr w:type="spellEnd"/>
      <w:r w:rsidRPr="00012683">
        <w:rPr>
          <w:rFonts w:ascii="Arial" w:hAnsi="Arial" w:cs="Arial"/>
          <w:lang w:val="mk-MK"/>
        </w:rPr>
        <w:t xml:space="preserve"> </w:t>
      </w:r>
      <w:proofErr w:type="spellStart"/>
      <w:r w:rsidRPr="00012683">
        <w:rPr>
          <w:rFonts w:ascii="Arial" w:hAnsi="Arial" w:cs="Arial"/>
          <w:lang w:val="mk-MK"/>
        </w:rPr>
        <w:t>assumptions</w:t>
      </w:r>
      <w:proofErr w:type="spellEnd"/>
      <w:r w:rsidRPr="00012683">
        <w:rPr>
          <w:rFonts w:ascii="Arial" w:hAnsi="Arial" w:cs="Arial"/>
          <w:lang w:val="mk-MK"/>
        </w:rPr>
        <w:t xml:space="preserve"> </w:t>
      </w:r>
      <w:proofErr w:type="spellStart"/>
      <w:r w:rsidRPr="00012683">
        <w:rPr>
          <w:rFonts w:ascii="Arial" w:hAnsi="Arial" w:cs="Arial"/>
          <w:lang w:val="mk-MK"/>
        </w:rPr>
        <w:t>according</w:t>
      </w:r>
      <w:proofErr w:type="spellEnd"/>
      <w:r w:rsidRPr="00012683">
        <w:rPr>
          <w:rFonts w:ascii="Arial" w:hAnsi="Arial" w:cs="Arial"/>
          <w:lang w:val="mk-MK"/>
        </w:rPr>
        <w:t xml:space="preserve"> </w:t>
      </w:r>
      <w:proofErr w:type="spellStart"/>
      <w:r w:rsidRPr="00012683">
        <w:rPr>
          <w:rFonts w:ascii="Arial" w:hAnsi="Arial" w:cs="Arial"/>
          <w:lang w:val="mk-MK"/>
        </w:rPr>
        <w:t>to</w:t>
      </w:r>
      <w:proofErr w:type="spellEnd"/>
      <w:r w:rsidRPr="00012683">
        <w:rPr>
          <w:rFonts w:ascii="Arial" w:hAnsi="Arial" w:cs="Arial"/>
          <w:lang w:val="mk-MK"/>
        </w:rPr>
        <w:t xml:space="preserve"> </w:t>
      </w:r>
      <w:proofErr w:type="spellStart"/>
      <w:r w:rsidRPr="00012683">
        <w:rPr>
          <w:rFonts w:ascii="Arial" w:hAnsi="Arial" w:cs="Arial"/>
          <w:lang w:val="mk-MK"/>
        </w:rPr>
        <w:t>the</w:t>
      </w:r>
      <w:proofErr w:type="spellEnd"/>
      <w:r w:rsidRPr="00012683">
        <w:rPr>
          <w:rFonts w:ascii="Arial" w:hAnsi="Arial" w:cs="Arial"/>
          <w:lang w:val="mk-MK"/>
        </w:rPr>
        <w:t xml:space="preserve"> </w:t>
      </w:r>
      <w:proofErr w:type="spellStart"/>
      <w:r w:rsidRPr="00012683">
        <w:rPr>
          <w:rFonts w:ascii="Arial" w:hAnsi="Arial" w:cs="Arial"/>
          <w:lang w:val="mk-MK"/>
        </w:rPr>
        <w:t>type</w:t>
      </w:r>
      <w:proofErr w:type="spellEnd"/>
      <w:r w:rsidRPr="00012683">
        <w:rPr>
          <w:rFonts w:ascii="Arial" w:hAnsi="Arial" w:cs="Arial"/>
          <w:lang w:val="mk-MK"/>
        </w:rPr>
        <w:t xml:space="preserve"> </w:t>
      </w:r>
      <w:proofErr w:type="spellStart"/>
      <w:r w:rsidRPr="00012683">
        <w:rPr>
          <w:rFonts w:ascii="Arial" w:hAnsi="Arial" w:cs="Arial"/>
          <w:lang w:val="mk-MK"/>
        </w:rPr>
        <w:t>of</w:t>
      </w:r>
      <w:proofErr w:type="spellEnd"/>
      <w:r w:rsidRPr="00012683">
        <w:rPr>
          <w:rFonts w:ascii="Arial" w:hAnsi="Arial" w:cs="Arial"/>
          <w:lang w:val="mk-MK"/>
        </w:rPr>
        <w:t xml:space="preserve"> </w:t>
      </w:r>
      <w:proofErr w:type="spellStart"/>
      <w:r w:rsidRPr="00012683">
        <w:rPr>
          <w:rFonts w:ascii="Arial" w:hAnsi="Arial" w:cs="Arial"/>
          <w:lang w:val="mk-MK"/>
        </w:rPr>
        <w:t>the</w:t>
      </w:r>
      <w:proofErr w:type="spellEnd"/>
      <w:r w:rsidRPr="00012683">
        <w:rPr>
          <w:rFonts w:ascii="Arial" w:hAnsi="Arial" w:cs="Arial"/>
          <w:lang w:val="mk-MK"/>
        </w:rPr>
        <w:t xml:space="preserve"> </w:t>
      </w:r>
      <w:proofErr w:type="spellStart"/>
      <w:r w:rsidRPr="00012683">
        <w:rPr>
          <w:rFonts w:ascii="Arial" w:hAnsi="Arial" w:cs="Arial"/>
          <w:lang w:val="mk-MK"/>
        </w:rPr>
        <w:t>asset</w:t>
      </w:r>
      <w:proofErr w:type="spellEnd"/>
      <w:r w:rsidRPr="00012683">
        <w:rPr>
          <w:rFonts w:ascii="Arial" w:hAnsi="Arial" w:cs="Arial"/>
          <w:lang w:val="mk-MK"/>
        </w:rPr>
        <w:t xml:space="preserve"> </w:t>
      </w:r>
      <w:proofErr w:type="spellStart"/>
      <w:r w:rsidRPr="00012683">
        <w:rPr>
          <w:rFonts w:ascii="Arial" w:hAnsi="Arial" w:cs="Arial"/>
          <w:lang w:val="mk-MK"/>
        </w:rPr>
        <w:t>and</w:t>
      </w:r>
      <w:proofErr w:type="spellEnd"/>
      <w:r w:rsidRPr="00012683">
        <w:rPr>
          <w:rFonts w:ascii="Arial" w:hAnsi="Arial" w:cs="Arial"/>
          <w:lang w:val="mk-MK"/>
        </w:rPr>
        <w:t xml:space="preserve"> </w:t>
      </w:r>
      <w:proofErr w:type="spellStart"/>
      <w:r w:rsidRPr="00012683">
        <w:rPr>
          <w:rFonts w:ascii="Arial" w:hAnsi="Arial" w:cs="Arial"/>
          <w:lang w:val="mk-MK"/>
        </w:rPr>
        <w:t>liability</w:t>
      </w:r>
      <w:proofErr w:type="spellEnd"/>
      <w:r w:rsidR="00815E65" w:rsidRPr="001E6526">
        <w:rPr>
          <w:rFonts w:ascii="Arial" w:hAnsi="Arial" w:cs="Arial"/>
          <w:lang w:val="mk-MK"/>
        </w:rPr>
        <w:t>.</w:t>
      </w:r>
    </w:p>
    <w:p w14:paraId="78138194" w14:textId="148D3AD1" w:rsidR="00815E65" w:rsidRPr="009C33E1" w:rsidRDefault="009C33E1" w:rsidP="009C33E1">
      <w:pPr>
        <w:pStyle w:val="ListParagraph"/>
        <w:numPr>
          <w:ilvl w:val="2"/>
          <w:numId w:val="22"/>
        </w:numPr>
        <w:rPr>
          <w:rFonts w:ascii="Arial" w:hAnsi="Arial" w:cs="Arial"/>
          <w:b/>
          <w:color w:val="4F2D7F"/>
        </w:rPr>
      </w:pPr>
      <w:r w:rsidRPr="009C33E1">
        <w:rPr>
          <w:rFonts w:ascii="Arial" w:hAnsi="Arial" w:cs="Arial"/>
          <w:b/>
          <w:color w:val="4F2D7F"/>
        </w:rPr>
        <w:t xml:space="preserve">Financial instruments </w:t>
      </w:r>
      <w:proofErr w:type="spellStart"/>
      <w:r w:rsidRPr="009C33E1">
        <w:rPr>
          <w:rFonts w:ascii="Arial" w:hAnsi="Arial" w:cs="Arial"/>
          <w:b/>
          <w:color w:val="4F2D7F"/>
        </w:rPr>
        <w:t>recognised</w:t>
      </w:r>
      <w:proofErr w:type="spellEnd"/>
      <w:r w:rsidRPr="009C33E1">
        <w:rPr>
          <w:rFonts w:ascii="Arial" w:hAnsi="Arial" w:cs="Arial"/>
          <w:b/>
          <w:color w:val="4F2D7F"/>
        </w:rPr>
        <w:t xml:space="preserve"> at fair value</w:t>
      </w:r>
    </w:p>
    <w:p w14:paraId="1F5F1250" w14:textId="2AD18C87" w:rsidR="00815E65" w:rsidRPr="00CE3053" w:rsidRDefault="00012683" w:rsidP="0025712C">
      <w:pPr>
        <w:pStyle w:val="BodyText"/>
        <w:spacing w:afterLines="100" w:after="240"/>
        <w:jc w:val="both"/>
        <w:rPr>
          <w:rFonts w:ascii="Arial" w:hAnsi="Arial" w:cs="Arial"/>
          <w:lang w:val="mk-MK"/>
        </w:rPr>
      </w:pPr>
      <w:proofErr w:type="spellStart"/>
      <w:r w:rsidRPr="00012683">
        <w:rPr>
          <w:rFonts w:ascii="Arial" w:hAnsi="Arial" w:cs="Arial"/>
          <w:lang w:val="mk-MK"/>
        </w:rPr>
        <w:t>In</w:t>
      </w:r>
      <w:proofErr w:type="spellEnd"/>
      <w:r w:rsidRPr="00012683">
        <w:rPr>
          <w:rFonts w:ascii="Arial" w:hAnsi="Arial" w:cs="Arial"/>
          <w:lang w:val="mk-MK"/>
        </w:rPr>
        <w:t xml:space="preserve"> </w:t>
      </w:r>
      <w:proofErr w:type="spellStart"/>
      <w:r w:rsidRPr="00012683">
        <w:rPr>
          <w:rFonts w:ascii="Arial" w:hAnsi="Arial" w:cs="Arial"/>
          <w:lang w:val="mk-MK"/>
        </w:rPr>
        <w:t>accordance</w:t>
      </w:r>
      <w:proofErr w:type="spellEnd"/>
      <w:r w:rsidRPr="00012683">
        <w:rPr>
          <w:rFonts w:ascii="Arial" w:hAnsi="Arial" w:cs="Arial"/>
          <w:lang w:val="mk-MK"/>
        </w:rPr>
        <w:t xml:space="preserve"> </w:t>
      </w:r>
      <w:proofErr w:type="spellStart"/>
      <w:r w:rsidRPr="00012683">
        <w:rPr>
          <w:rFonts w:ascii="Arial" w:hAnsi="Arial" w:cs="Arial"/>
          <w:lang w:val="mk-MK"/>
        </w:rPr>
        <w:t>with</w:t>
      </w:r>
      <w:proofErr w:type="spellEnd"/>
      <w:r w:rsidRPr="00012683">
        <w:rPr>
          <w:rFonts w:ascii="Arial" w:hAnsi="Arial" w:cs="Arial"/>
          <w:lang w:val="mk-MK"/>
        </w:rPr>
        <w:t xml:space="preserve"> </w:t>
      </w:r>
      <w:r w:rsidRPr="00DD738F">
        <w:rPr>
          <w:rFonts w:ascii="Arial" w:hAnsi="Arial" w:cs="Arial"/>
          <w:lang w:val="mk-MK"/>
        </w:rPr>
        <w:t>IFRS 7</w:t>
      </w:r>
      <w:r w:rsidRPr="00012683">
        <w:rPr>
          <w:rFonts w:ascii="Arial" w:hAnsi="Arial" w:cs="Arial"/>
          <w:lang w:val="mk-MK"/>
        </w:rPr>
        <w:t xml:space="preserve">, </w:t>
      </w:r>
      <w:proofErr w:type="spellStart"/>
      <w:r w:rsidRPr="00012683">
        <w:rPr>
          <w:rFonts w:ascii="Arial" w:hAnsi="Arial" w:cs="Arial"/>
          <w:lang w:val="mk-MK"/>
        </w:rPr>
        <w:t>the</w:t>
      </w:r>
      <w:proofErr w:type="spellEnd"/>
      <w:r w:rsidRPr="00012683">
        <w:rPr>
          <w:rFonts w:ascii="Arial" w:hAnsi="Arial" w:cs="Arial"/>
          <w:lang w:val="mk-MK"/>
        </w:rPr>
        <w:t xml:space="preserve"> </w:t>
      </w:r>
      <w:proofErr w:type="spellStart"/>
      <w:r w:rsidRPr="00012683">
        <w:rPr>
          <w:rFonts w:ascii="Arial" w:hAnsi="Arial" w:cs="Arial"/>
          <w:lang w:val="mk-MK"/>
        </w:rPr>
        <w:t>Fund</w:t>
      </w:r>
      <w:proofErr w:type="spellEnd"/>
      <w:r w:rsidRPr="00012683">
        <w:rPr>
          <w:rFonts w:ascii="Arial" w:hAnsi="Arial" w:cs="Arial"/>
          <w:lang w:val="mk-MK"/>
        </w:rPr>
        <w:t xml:space="preserve"> </w:t>
      </w:r>
      <w:proofErr w:type="spellStart"/>
      <w:r w:rsidRPr="00012683">
        <w:rPr>
          <w:rFonts w:ascii="Arial" w:hAnsi="Arial" w:cs="Arial"/>
          <w:lang w:val="mk-MK"/>
        </w:rPr>
        <w:t>groups</w:t>
      </w:r>
      <w:proofErr w:type="spellEnd"/>
      <w:r w:rsidRPr="00012683">
        <w:rPr>
          <w:rFonts w:ascii="Arial" w:hAnsi="Arial" w:cs="Arial"/>
          <w:lang w:val="mk-MK"/>
        </w:rPr>
        <w:t xml:space="preserve"> </w:t>
      </w:r>
      <w:proofErr w:type="spellStart"/>
      <w:r w:rsidRPr="00012683">
        <w:rPr>
          <w:rFonts w:ascii="Arial" w:hAnsi="Arial" w:cs="Arial"/>
          <w:lang w:val="mk-MK"/>
        </w:rPr>
        <w:t>its</w:t>
      </w:r>
      <w:proofErr w:type="spellEnd"/>
      <w:r w:rsidRPr="00012683">
        <w:rPr>
          <w:rFonts w:ascii="Arial" w:hAnsi="Arial" w:cs="Arial"/>
          <w:lang w:val="mk-MK"/>
        </w:rPr>
        <w:t xml:space="preserve"> </w:t>
      </w:r>
      <w:proofErr w:type="spellStart"/>
      <w:r w:rsidRPr="00012683">
        <w:rPr>
          <w:rFonts w:ascii="Arial" w:hAnsi="Arial" w:cs="Arial"/>
          <w:lang w:val="mk-MK"/>
        </w:rPr>
        <w:t>financial</w:t>
      </w:r>
      <w:proofErr w:type="spellEnd"/>
      <w:r w:rsidRPr="00012683">
        <w:rPr>
          <w:rFonts w:ascii="Arial" w:hAnsi="Arial" w:cs="Arial"/>
          <w:lang w:val="mk-MK"/>
        </w:rPr>
        <w:t xml:space="preserve"> </w:t>
      </w:r>
      <w:proofErr w:type="spellStart"/>
      <w:r w:rsidRPr="00012683">
        <w:rPr>
          <w:rFonts w:ascii="Arial" w:hAnsi="Arial" w:cs="Arial"/>
          <w:lang w:val="mk-MK"/>
        </w:rPr>
        <w:t>assets</w:t>
      </w:r>
      <w:proofErr w:type="spellEnd"/>
      <w:r w:rsidRPr="00012683">
        <w:rPr>
          <w:rFonts w:ascii="Arial" w:hAnsi="Arial" w:cs="Arial"/>
          <w:lang w:val="mk-MK"/>
        </w:rPr>
        <w:t xml:space="preserve"> </w:t>
      </w:r>
      <w:proofErr w:type="spellStart"/>
      <w:r w:rsidRPr="00012683">
        <w:rPr>
          <w:rFonts w:ascii="Arial" w:hAnsi="Arial" w:cs="Arial"/>
          <w:lang w:val="mk-MK"/>
        </w:rPr>
        <w:t>and</w:t>
      </w:r>
      <w:proofErr w:type="spellEnd"/>
      <w:r w:rsidRPr="00012683">
        <w:rPr>
          <w:rFonts w:ascii="Arial" w:hAnsi="Arial" w:cs="Arial"/>
          <w:lang w:val="mk-MK"/>
        </w:rPr>
        <w:t xml:space="preserve"> </w:t>
      </w:r>
      <w:proofErr w:type="spellStart"/>
      <w:r w:rsidRPr="00012683">
        <w:rPr>
          <w:rFonts w:ascii="Arial" w:hAnsi="Arial" w:cs="Arial"/>
          <w:lang w:val="mk-MK"/>
        </w:rPr>
        <w:t>liabilities</w:t>
      </w:r>
      <w:proofErr w:type="spellEnd"/>
      <w:r w:rsidRPr="00012683">
        <w:rPr>
          <w:rFonts w:ascii="Arial" w:hAnsi="Arial" w:cs="Arial"/>
          <w:lang w:val="mk-MK"/>
        </w:rPr>
        <w:t xml:space="preserve"> </w:t>
      </w:r>
      <w:proofErr w:type="spellStart"/>
      <w:r w:rsidRPr="00012683">
        <w:rPr>
          <w:rFonts w:ascii="Arial" w:hAnsi="Arial" w:cs="Arial"/>
          <w:lang w:val="mk-MK"/>
        </w:rPr>
        <w:t>into</w:t>
      </w:r>
      <w:proofErr w:type="spellEnd"/>
      <w:r w:rsidRPr="00012683">
        <w:rPr>
          <w:rFonts w:ascii="Arial" w:hAnsi="Arial" w:cs="Arial"/>
          <w:lang w:val="mk-MK"/>
        </w:rPr>
        <w:t xml:space="preserve"> </w:t>
      </w:r>
      <w:proofErr w:type="spellStart"/>
      <w:r w:rsidRPr="00012683">
        <w:rPr>
          <w:rFonts w:ascii="Arial" w:hAnsi="Arial" w:cs="Arial"/>
          <w:lang w:val="mk-MK"/>
        </w:rPr>
        <w:t>three</w:t>
      </w:r>
      <w:proofErr w:type="spellEnd"/>
      <w:r w:rsidRPr="00012683">
        <w:rPr>
          <w:rFonts w:ascii="Arial" w:hAnsi="Arial" w:cs="Arial"/>
          <w:lang w:val="mk-MK"/>
        </w:rPr>
        <w:t xml:space="preserve"> </w:t>
      </w:r>
      <w:proofErr w:type="spellStart"/>
      <w:r w:rsidRPr="00012683">
        <w:rPr>
          <w:rFonts w:ascii="Arial" w:hAnsi="Arial" w:cs="Arial"/>
          <w:lang w:val="mk-MK"/>
        </w:rPr>
        <w:t>levels</w:t>
      </w:r>
      <w:proofErr w:type="spellEnd"/>
      <w:r w:rsidRPr="00012683">
        <w:rPr>
          <w:rFonts w:ascii="Arial" w:hAnsi="Arial" w:cs="Arial"/>
          <w:lang w:val="mk-MK"/>
        </w:rPr>
        <w:t xml:space="preserve"> </w:t>
      </w:r>
      <w:proofErr w:type="spellStart"/>
      <w:r w:rsidRPr="00012683">
        <w:rPr>
          <w:rFonts w:ascii="Arial" w:hAnsi="Arial" w:cs="Arial"/>
          <w:lang w:val="mk-MK"/>
        </w:rPr>
        <w:t>that</w:t>
      </w:r>
      <w:proofErr w:type="spellEnd"/>
      <w:r w:rsidRPr="00012683">
        <w:rPr>
          <w:rFonts w:ascii="Arial" w:hAnsi="Arial" w:cs="Arial"/>
          <w:lang w:val="mk-MK"/>
        </w:rPr>
        <w:t xml:space="preserve"> </w:t>
      </w:r>
      <w:proofErr w:type="spellStart"/>
      <w:r w:rsidRPr="00012683">
        <w:rPr>
          <w:rFonts w:ascii="Arial" w:hAnsi="Arial" w:cs="Arial"/>
          <w:lang w:val="mk-MK"/>
        </w:rPr>
        <w:t>are</w:t>
      </w:r>
      <w:proofErr w:type="spellEnd"/>
      <w:r w:rsidRPr="00012683">
        <w:rPr>
          <w:rFonts w:ascii="Arial" w:hAnsi="Arial" w:cs="Arial"/>
          <w:lang w:val="mk-MK"/>
        </w:rPr>
        <w:t xml:space="preserve"> </w:t>
      </w:r>
      <w:proofErr w:type="spellStart"/>
      <w:r w:rsidRPr="00012683">
        <w:rPr>
          <w:rFonts w:ascii="Arial" w:hAnsi="Arial" w:cs="Arial"/>
          <w:lang w:val="mk-MK"/>
        </w:rPr>
        <w:t>based</w:t>
      </w:r>
      <w:proofErr w:type="spellEnd"/>
      <w:r w:rsidRPr="00012683">
        <w:rPr>
          <w:rFonts w:ascii="Arial" w:hAnsi="Arial" w:cs="Arial"/>
          <w:lang w:val="mk-MK"/>
        </w:rPr>
        <w:t xml:space="preserve"> </w:t>
      </w:r>
      <w:proofErr w:type="spellStart"/>
      <w:r w:rsidRPr="00012683">
        <w:rPr>
          <w:rFonts w:ascii="Arial" w:hAnsi="Arial" w:cs="Arial"/>
          <w:lang w:val="mk-MK"/>
        </w:rPr>
        <w:t>on</w:t>
      </w:r>
      <w:proofErr w:type="spellEnd"/>
      <w:r w:rsidRPr="00012683">
        <w:rPr>
          <w:rFonts w:ascii="Arial" w:hAnsi="Arial" w:cs="Arial"/>
          <w:lang w:val="mk-MK"/>
        </w:rPr>
        <w:t xml:space="preserve"> </w:t>
      </w:r>
      <w:proofErr w:type="spellStart"/>
      <w:r w:rsidRPr="00012683">
        <w:rPr>
          <w:rFonts w:ascii="Arial" w:hAnsi="Arial" w:cs="Arial"/>
          <w:lang w:val="mk-MK"/>
        </w:rPr>
        <w:t>the</w:t>
      </w:r>
      <w:proofErr w:type="spellEnd"/>
      <w:r w:rsidRPr="00012683">
        <w:rPr>
          <w:rFonts w:ascii="Arial" w:hAnsi="Arial" w:cs="Arial"/>
          <w:lang w:val="mk-MK"/>
        </w:rPr>
        <w:t xml:space="preserve"> </w:t>
      </w:r>
      <w:proofErr w:type="spellStart"/>
      <w:r w:rsidRPr="00012683">
        <w:rPr>
          <w:rFonts w:ascii="Arial" w:hAnsi="Arial" w:cs="Arial"/>
          <w:lang w:val="mk-MK"/>
        </w:rPr>
        <w:t>significance</w:t>
      </w:r>
      <w:proofErr w:type="spellEnd"/>
      <w:r w:rsidRPr="00012683">
        <w:rPr>
          <w:rFonts w:ascii="Arial" w:hAnsi="Arial" w:cs="Arial"/>
          <w:lang w:val="mk-MK"/>
        </w:rPr>
        <w:t xml:space="preserve"> </w:t>
      </w:r>
      <w:proofErr w:type="spellStart"/>
      <w:r w:rsidRPr="00012683">
        <w:rPr>
          <w:rFonts w:ascii="Arial" w:hAnsi="Arial" w:cs="Arial"/>
          <w:lang w:val="mk-MK"/>
        </w:rPr>
        <w:t>of</w:t>
      </w:r>
      <w:proofErr w:type="spellEnd"/>
      <w:r w:rsidRPr="00012683">
        <w:rPr>
          <w:rFonts w:ascii="Arial" w:hAnsi="Arial" w:cs="Arial"/>
          <w:lang w:val="mk-MK"/>
        </w:rPr>
        <w:t xml:space="preserve"> </w:t>
      </w:r>
      <w:proofErr w:type="spellStart"/>
      <w:r w:rsidRPr="00012683">
        <w:rPr>
          <w:rFonts w:ascii="Arial" w:hAnsi="Arial" w:cs="Arial"/>
          <w:lang w:val="mk-MK"/>
        </w:rPr>
        <w:t>the</w:t>
      </w:r>
      <w:proofErr w:type="spellEnd"/>
      <w:r w:rsidRPr="00012683">
        <w:rPr>
          <w:rFonts w:ascii="Arial" w:hAnsi="Arial" w:cs="Arial"/>
          <w:lang w:val="mk-MK"/>
        </w:rPr>
        <w:t xml:space="preserve"> </w:t>
      </w:r>
      <w:proofErr w:type="spellStart"/>
      <w:r w:rsidRPr="00012683">
        <w:rPr>
          <w:rFonts w:ascii="Arial" w:hAnsi="Arial" w:cs="Arial"/>
          <w:lang w:val="mk-MK"/>
        </w:rPr>
        <w:t>incoming</w:t>
      </w:r>
      <w:proofErr w:type="spellEnd"/>
      <w:r w:rsidRPr="00012683">
        <w:rPr>
          <w:rFonts w:ascii="Arial" w:hAnsi="Arial" w:cs="Arial"/>
          <w:lang w:val="mk-MK"/>
        </w:rPr>
        <w:t xml:space="preserve"> </w:t>
      </w:r>
      <w:proofErr w:type="spellStart"/>
      <w:r w:rsidRPr="00012683">
        <w:rPr>
          <w:rFonts w:ascii="Arial" w:hAnsi="Arial" w:cs="Arial"/>
          <w:lang w:val="mk-MK"/>
        </w:rPr>
        <w:t>data</w:t>
      </w:r>
      <w:proofErr w:type="spellEnd"/>
      <w:r w:rsidRPr="00012683">
        <w:rPr>
          <w:rFonts w:ascii="Arial" w:hAnsi="Arial" w:cs="Arial"/>
          <w:lang w:val="mk-MK"/>
        </w:rPr>
        <w:t xml:space="preserve"> </w:t>
      </w:r>
      <w:proofErr w:type="spellStart"/>
      <w:r w:rsidRPr="00012683">
        <w:rPr>
          <w:rFonts w:ascii="Arial" w:hAnsi="Arial" w:cs="Arial"/>
          <w:lang w:val="mk-MK"/>
        </w:rPr>
        <w:t>used</w:t>
      </w:r>
      <w:proofErr w:type="spellEnd"/>
      <w:r w:rsidRPr="00012683">
        <w:rPr>
          <w:rFonts w:ascii="Arial" w:hAnsi="Arial" w:cs="Arial"/>
          <w:lang w:val="mk-MK"/>
        </w:rPr>
        <w:t xml:space="preserve"> </w:t>
      </w:r>
      <w:proofErr w:type="spellStart"/>
      <w:r w:rsidRPr="00012683">
        <w:rPr>
          <w:rFonts w:ascii="Arial" w:hAnsi="Arial" w:cs="Arial"/>
          <w:lang w:val="mk-MK"/>
        </w:rPr>
        <w:t>during</w:t>
      </w:r>
      <w:proofErr w:type="spellEnd"/>
      <w:r w:rsidRPr="00012683">
        <w:rPr>
          <w:rFonts w:ascii="Arial" w:hAnsi="Arial" w:cs="Arial"/>
          <w:lang w:val="mk-MK"/>
        </w:rPr>
        <w:t xml:space="preserve"> </w:t>
      </w:r>
      <w:proofErr w:type="spellStart"/>
      <w:r w:rsidRPr="00012683">
        <w:rPr>
          <w:rFonts w:ascii="Arial" w:hAnsi="Arial" w:cs="Arial"/>
          <w:lang w:val="mk-MK"/>
        </w:rPr>
        <w:t>the</w:t>
      </w:r>
      <w:proofErr w:type="spellEnd"/>
      <w:r w:rsidRPr="00012683">
        <w:rPr>
          <w:rFonts w:ascii="Arial" w:hAnsi="Arial" w:cs="Arial"/>
          <w:lang w:val="mk-MK"/>
        </w:rPr>
        <w:t xml:space="preserve"> </w:t>
      </w:r>
      <w:proofErr w:type="spellStart"/>
      <w:r w:rsidRPr="00012683">
        <w:rPr>
          <w:rFonts w:ascii="Arial" w:hAnsi="Arial" w:cs="Arial"/>
          <w:lang w:val="mk-MK"/>
        </w:rPr>
        <w:t>measurement</w:t>
      </w:r>
      <w:proofErr w:type="spellEnd"/>
      <w:r w:rsidRPr="00012683">
        <w:rPr>
          <w:rFonts w:ascii="Arial" w:hAnsi="Arial" w:cs="Arial"/>
          <w:lang w:val="mk-MK"/>
        </w:rPr>
        <w:t xml:space="preserve"> </w:t>
      </w:r>
      <w:proofErr w:type="spellStart"/>
      <w:r w:rsidRPr="00012683">
        <w:rPr>
          <w:rFonts w:ascii="Arial" w:hAnsi="Arial" w:cs="Arial"/>
          <w:lang w:val="mk-MK"/>
        </w:rPr>
        <w:t>of</w:t>
      </w:r>
      <w:proofErr w:type="spellEnd"/>
      <w:r w:rsidRPr="00012683">
        <w:rPr>
          <w:rFonts w:ascii="Arial" w:hAnsi="Arial" w:cs="Arial"/>
          <w:lang w:val="mk-MK"/>
        </w:rPr>
        <w:t xml:space="preserve"> </w:t>
      </w:r>
      <w:proofErr w:type="spellStart"/>
      <w:r w:rsidRPr="00012683">
        <w:rPr>
          <w:rFonts w:ascii="Arial" w:hAnsi="Arial" w:cs="Arial"/>
          <w:lang w:val="mk-MK"/>
        </w:rPr>
        <w:t>the</w:t>
      </w:r>
      <w:proofErr w:type="spellEnd"/>
      <w:r w:rsidRPr="00012683">
        <w:rPr>
          <w:rFonts w:ascii="Arial" w:hAnsi="Arial" w:cs="Arial"/>
          <w:lang w:val="mk-MK"/>
        </w:rPr>
        <w:t xml:space="preserve"> </w:t>
      </w:r>
      <w:proofErr w:type="spellStart"/>
      <w:r w:rsidRPr="00012683">
        <w:rPr>
          <w:rFonts w:ascii="Arial" w:hAnsi="Arial" w:cs="Arial"/>
          <w:lang w:val="mk-MK"/>
        </w:rPr>
        <w:t>fair</w:t>
      </w:r>
      <w:proofErr w:type="spellEnd"/>
      <w:r w:rsidRPr="00012683">
        <w:rPr>
          <w:rFonts w:ascii="Arial" w:hAnsi="Arial" w:cs="Arial"/>
          <w:lang w:val="mk-MK"/>
        </w:rPr>
        <w:t xml:space="preserve"> </w:t>
      </w:r>
      <w:proofErr w:type="spellStart"/>
      <w:r w:rsidRPr="00012683">
        <w:rPr>
          <w:rFonts w:ascii="Arial" w:hAnsi="Arial" w:cs="Arial"/>
          <w:lang w:val="mk-MK"/>
        </w:rPr>
        <w:t>value</w:t>
      </w:r>
      <w:proofErr w:type="spellEnd"/>
      <w:r w:rsidRPr="00012683">
        <w:rPr>
          <w:rFonts w:ascii="Arial" w:hAnsi="Arial" w:cs="Arial"/>
          <w:lang w:val="mk-MK"/>
        </w:rPr>
        <w:t xml:space="preserve"> </w:t>
      </w:r>
      <w:proofErr w:type="spellStart"/>
      <w:r w:rsidRPr="00012683">
        <w:rPr>
          <w:rFonts w:ascii="Arial" w:hAnsi="Arial" w:cs="Arial"/>
          <w:lang w:val="mk-MK"/>
        </w:rPr>
        <w:t>of</w:t>
      </w:r>
      <w:proofErr w:type="spellEnd"/>
      <w:r w:rsidRPr="00012683">
        <w:rPr>
          <w:rFonts w:ascii="Arial" w:hAnsi="Arial" w:cs="Arial"/>
          <w:lang w:val="mk-MK"/>
        </w:rPr>
        <w:t xml:space="preserve"> </w:t>
      </w:r>
      <w:proofErr w:type="spellStart"/>
      <w:r w:rsidRPr="00012683">
        <w:rPr>
          <w:rFonts w:ascii="Arial" w:hAnsi="Arial" w:cs="Arial"/>
          <w:lang w:val="mk-MK"/>
        </w:rPr>
        <w:t>the</w:t>
      </w:r>
      <w:proofErr w:type="spellEnd"/>
      <w:r w:rsidRPr="00012683">
        <w:rPr>
          <w:rFonts w:ascii="Arial" w:hAnsi="Arial" w:cs="Arial"/>
          <w:lang w:val="mk-MK"/>
        </w:rPr>
        <w:t xml:space="preserve"> </w:t>
      </w:r>
      <w:proofErr w:type="spellStart"/>
      <w:r w:rsidRPr="00012683">
        <w:rPr>
          <w:rFonts w:ascii="Arial" w:hAnsi="Arial" w:cs="Arial"/>
          <w:lang w:val="mk-MK"/>
        </w:rPr>
        <w:t>financial</w:t>
      </w:r>
      <w:proofErr w:type="spellEnd"/>
      <w:r w:rsidRPr="00012683">
        <w:rPr>
          <w:rFonts w:ascii="Arial" w:hAnsi="Arial" w:cs="Arial"/>
          <w:lang w:val="mk-MK"/>
        </w:rPr>
        <w:t xml:space="preserve"> </w:t>
      </w:r>
      <w:proofErr w:type="spellStart"/>
      <w:r w:rsidRPr="00012683">
        <w:rPr>
          <w:rFonts w:ascii="Arial" w:hAnsi="Arial" w:cs="Arial"/>
          <w:lang w:val="mk-MK"/>
        </w:rPr>
        <w:t>assets</w:t>
      </w:r>
      <w:proofErr w:type="spellEnd"/>
      <w:r w:rsidRPr="00012683">
        <w:rPr>
          <w:rFonts w:ascii="Arial" w:hAnsi="Arial" w:cs="Arial"/>
          <w:lang w:val="mk-MK"/>
        </w:rPr>
        <w:t xml:space="preserve">. </w:t>
      </w:r>
      <w:proofErr w:type="spellStart"/>
      <w:r w:rsidRPr="00012683">
        <w:rPr>
          <w:rFonts w:ascii="Arial" w:hAnsi="Arial" w:cs="Arial"/>
          <w:lang w:val="mk-MK"/>
        </w:rPr>
        <w:t>The</w:t>
      </w:r>
      <w:proofErr w:type="spellEnd"/>
      <w:r w:rsidRPr="00012683">
        <w:rPr>
          <w:rFonts w:ascii="Arial" w:hAnsi="Arial" w:cs="Arial"/>
          <w:lang w:val="mk-MK"/>
        </w:rPr>
        <w:t xml:space="preserve"> </w:t>
      </w:r>
      <w:proofErr w:type="spellStart"/>
      <w:r w:rsidRPr="00012683">
        <w:rPr>
          <w:rFonts w:ascii="Arial" w:hAnsi="Arial" w:cs="Arial"/>
          <w:lang w:val="mk-MK"/>
        </w:rPr>
        <w:t>hierarchy</w:t>
      </w:r>
      <w:proofErr w:type="spellEnd"/>
      <w:r w:rsidRPr="00012683">
        <w:rPr>
          <w:rFonts w:ascii="Arial" w:hAnsi="Arial" w:cs="Arial"/>
          <w:lang w:val="mk-MK"/>
        </w:rPr>
        <w:t xml:space="preserve"> </w:t>
      </w:r>
      <w:proofErr w:type="spellStart"/>
      <w:r w:rsidRPr="00012683">
        <w:rPr>
          <w:rFonts w:ascii="Arial" w:hAnsi="Arial" w:cs="Arial"/>
          <w:lang w:val="mk-MK"/>
        </w:rPr>
        <w:t>according</w:t>
      </w:r>
      <w:proofErr w:type="spellEnd"/>
      <w:r w:rsidRPr="00012683">
        <w:rPr>
          <w:rFonts w:ascii="Arial" w:hAnsi="Arial" w:cs="Arial"/>
          <w:lang w:val="mk-MK"/>
        </w:rPr>
        <w:t xml:space="preserve"> </w:t>
      </w:r>
      <w:proofErr w:type="spellStart"/>
      <w:r w:rsidRPr="00012683">
        <w:rPr>
          <w:rFonts w:ascii="Arial" w:hAnsi="Arial" w:cs="Arial"/>
          <w:lang w:val="mk-MK"/>
        </w:rPr>
        <w:t>to</w:t>
      </w:r>
      <w:proofErr w:type="spellEnd"/>
      <w:r w:rsidRPr="00012683">
        <w:rPr>
          <w:rFonts w:ascii="Arial" w:hAnsi="Arial" w:cs="Arial"/>
          <w:lang w:val="mk-MK"/>
        </w:rPr>
        <w:t xml:space="preserve"> </w:t>
      </w:r>
      <w:proofErr w:type="spellStart"/>
      <w:r w:rsidRPr="00012683">
        <w:rPr>
          <w:rFonts w:ascii="Arial" w:hAnsi="Arial" w:cs="Arial"/>
          <w:lang w:val="mk-MK"/>
        </w:rPr>
        <w:t>the</w:t>
      </w:r>
      <w:proofErr w:type="spellEnd"/>
      <w:r w:rsidRPr="00012683">
        <w:rPr>
          <w:rFonts w:ascii="Arial" w:hAnsi="Arial" w:cs="Arial"/>
          <w:lang w:val="mk-MK"/>
        </w:rPr>
        <w:t xml:space="preserve"> </w:t>
      </w:r>
      <w:proofErr w:type="spellStart"/>
      <w:r w:rsidRPr="00012683">
        <w:rPr>
          <w:rFonts w:ascii="Arial" w:hAnsi="Arial" w:cs="Arial"/>
          <w:lang w:val="mk-MK"/>
        </w:rPr>
        <w:t>fair</w:t>
      </w:r>
      <w:proofErr w:type="spellEnd"/>
      <w:r w:rsidRPr="00012683">
        <w:rPr>
          <w:rFonts w:ascii="Arial" w:hAnsi="Arial" w:cs="Arial"/>
          <w:lang w:val="mk-MK"/>
        </w:rPr>
        <w:t xml:space="preserve"> </w:t>
      </w:r>
      <w:proofErr w:type="spellStart"/>
      <w:r w:rsidRPr="00012683">
        <w:rPr>
          <w:rFonts w:ascii="Arial" w:hAnsi="Arial" w:cs="Arial"/>
          <w:lang w:val="mk-MK"/>
        </w:rPr>
        <w:t>value</w:t>
      </w:r>
      <w:proofErr w:type="spellEnd"/>
      <w:r w:rsidRPr="00012683">
        <w:rPr>
          <w:rFonts w:ascii="Arial" w:hAnsi="Arial" w:cs="Arial"/>
          <w:lang w:val="mk-MK"/>
        </w:rPr>
        <w:t xml:space="preserve"> </w:t>
      </w:r>
      <w:proofErr w:type="spellStart"/>
      <w:r w:rsidRPr="00012683">
        <w:rPr>
          <w:rFonts w:ascii="Arial" w:hAnsi="Arial" w:cs="Arial"/>
          <w:lang w:val="mk-MK"/>
        </w:rPr>
        <w:t>is</w:t>
      </w:r>
      <w:proofErr w:type="spellEnd"/>
      <w:r w:rsidRPr="00012683">
        <w:rPr>
          <w:rFonts w:ascii="Arial" w:hAnsi="Arial" w:cs="Arial"/>
          <w:lang w:val="mk-MK"/>
        </w:rPr>
        <w:t xml:space="preserve"> </w:t>
      </w:r>
      <w:proofErr w:type="spellStart"/>
      <w:r w:rsidRPr="00012683">
        <w:rPr>
          <w:rFonts w:ascii="Arial" w:hAnsi="Arial" w:cs="Arial"/>
          <w:lang w:val="mk-MK"/>
        </w:rPr>
        <w:t>determined</w:t>
      </w:r>
      <w:proofErr w:type="spellEnd"/>
      <w:r w:rsidRPr="00012683">
        <w:rPr>
          <w:rFonts w:ascii="Arial" w:hAnsi="Arial" w:cs="Arial"/>
          <w:lang w:val="mk-MK"/>
        </w:rPr>
        <w:t xml:space="preserve"> </w:t>
      </w:r>
      <w:proofErr w:type="spellStart"/>
      <w:r w:rsidRPr="00012683">
        <w:rPr>
          <w:rFonts w:ascii="Arial" w:hAnsi="Arial" w:cs="Arial"/>
          <w:lang w:val="mk-MK"/>
        </w:rPr>
        <w:t>as</w:t>
      </w:r>
      <w:proofErr w:type="spellEnd"/>
      <w:r w:rsidRPr="00012683">
        <w:rPr>
          <w:rFonts w:ascii="Arial" w:hAnsi="Arial" w:cs="Arial"/>
          <w:lang w:val="mk-MK"/>
        </w:rPr>
        <w:t xml:space="preserve"> </w:t>
      </w:r>
      <w:proofErr w:type="spellStart"/>
      <w:r w:rsidRPr="00012683">
        <w:rPr>
          <w:rFonts w:ascii="Arial" w:hAnsi="Arial" w:cs="Arial"/>
          <w:lang w:val="mk-MK"/>
        </w:rPr>
        <w:t>follows</w:t>
      </w:r>
      <w:proofErr w:type="spellEnd"/>
      <w:r w:rsidRPr="00012683">
        <w:rPr>
          <w:rFonts w:ascii="Arial" w:hAnsi="Arial" w:cs="Arial"/>
          <w:lang w:val="mk-MK"/>
        </w:rPr>
        <w:t>:</w:t>
      </w:r>
    </w:p>
    <w:p w14:paraId="3B5D4739" w14:textId="77777777" w:rsidR="00B248F1" w:rsidRPr="00B248F1" w:rsidRDefault="00B248F1" w:rsidP="00B248F1">
      <w:pPr>
        <w:pStyle w:val="BodyText"/>
        <w:numPr>
          <w:ilvl w:val="0"/>
          <w:numId w:val="23"/>
        </w:numPr>
        <w:spacing w:after="0" w:line="280" w:lineRule="atLeast"/>
        <w:jc w:val="both"/>
        <w:rPr>
          <w:rFonts w:ascii="Arial" w:hAnsi="Arial" w:cs="Arial"/>
          <w:lang w:val="mk-MK"/>
        </w:rPr>
      </w:pPr>
      <w:proofErr w:type="spellStart"/>
      <w:r w:rsidRPr="00B248F1">
        <w:rPr>
          <w:rFonts w:ascii="Arial" w:hAnsi="Arial" w:cs="Arial"/>
          <w:lang w:val="mk-MK"/>
        </w:rPr>
        <w:t>Level</w:t>
      </w:r>
      <w:proofErr w:type="spellEnd"/>
      <w:r w:rsidRPr="00B248F1">
        <w:rPr>
          <w:rFonts w:ascii="Arial" w:hAnsi="Arial" w:cs="Arial"/>
          <w:lang w:val="mk-MK"/>
        </w:rPr>
        <w:t xml:space="preserve"> 1: </w:t>
      </w:r>
      <w:proofErr w:type="spellStart"/>
      <w:r w:rsidRPr="00B248F1">
        <w:rPr>
          <w:rFonts w:ascii="Arial" w:hAnsi="Arial" w:cs="Arial"/>
          <w:lang w:val="mk-MK"/>
        </w:rPr>
        <w:t>quoted</w:t>
      </w:r>
      <w:proofErr w:type="spellEnd"/>
      <w:r w:rsidRPr="00B248F1">
        <w:rPr>
          <w:rFonts w:ascii="Arial" w:hAnsi="Arial" w:cs="Arial"/>
          <w:lang w:val="mk-MK"/>
        </w:rPr>
        <w:t xml:space="preserve"> </w:t>
      </w:r>
      <w:proofErr w:type="spellStart"/>
      <w:r w:rsidRPr="00B248F1">
        <w:rPr>
          <w:rFonts w:ascii="Arial" w:hAnsi="Arial" w:cs="Arial"/>
          <w:lang w:val="mk-MK"/>
        </w:rPr>
        <w:t>prices</w:t>
      </w:r>
      <w:proofErr w:type="spellEnd"/>
      <w:r w:rsidRPr="00B248F1">
        <w:rPr>
          <w:rFonts w:ascii="Arial" w:hAnsi="Arial" w:cs="Arial"/>
          <w:lang w:val="mk-MK"/>
        </w:rPr>
        <w:t xml:space="preserve"> (</w:t>
      </w:r>
      <w:proofErr w:type="spellStart"/>
      <w:r w:rsidRPr="00B248F1">
        <w:rPr>
          <w:rFonts w:ascii="Arial" w:hAnsi="Arial" w:cs="Arial"/>
          <w:lang w:val="mk-MK"/>
        </w:rPr>
        <w:t>not</w:t>
      </w:r>
      <w:proofErr w:type="spellEnd"/>
      <w:r w:rsidRPr="00B248F1">
        <w:rPr>
          <w:rFonts w:ascii="Arial" w:hAnsi="Arial" w:cs="Arial"/>
          <w:lang w:val="mk-MK"/>
        </w:rPr>
        <w:t xml:space="preserve"> </w:t>
      </w:r>
      <w:proofErr w:type="spellStart"/>
      <w:r w:rsidRPr="00B248F1">
        <w:rPr>
          <w:rFonts w:ascii="Arial" w:hAnsi="Arial" w:cs="Arial"/>
          <w:lang w:val="mk-MK"/>
        </w:rPr>
        <w:t>adjusted</w:t>
      </w:r>
      <w:proofErr w:type="spellEnd"/>
      <w:r w:rsidRPr="00B248F1">
        <w:rPr>
          <w:rFonts w:ascii="Arial" w:hAnsi="Arial" w:cs="Arial"/>
          <w:lang w:val="mk-MK"/>
        </w:rPr>
        <w:t xml:space="preserve">) </w:t>
      </w:r>
      <w:proofErr w:type="spellStart"/>
      <w:r w:rsidRPr="00B248F1">
        <w:rPr>
          <w:rFonts w:ascii="Arial" w:hAnsi="Arial" w:cs="Arial"/>
          <w:lang w:val="mk-MK"/>
        </w:rPr>
        <w:t>on</w:t>
      </w:r>
      <w:proofErr w:type="spellEnd"/>
      <w:r w:rsidRPr="00B248F1">
        <w:rPr>
          <w:rFonts w:ascii="Arial" w:hAnsi="Arial" w:cs="Arial"/>
          <w:lang w:val="mk-MK"/>
        </w:rPr>
        <w:t xml:space="preserve"> </w:t>
      </w:r>
      <w:proofErr w:type="spellStart"/>
      <w:r w:rsidRPr="00B248F1">
        <w:rPr>
          <w:rFonts w:ascii="Arial" w:hAnsi="Arial" w:cs="Arial"/>
          <w:lang w:val="mk-MK"/>
        </w:rPr>
        <w:t>the</w:t>
      </w:r>
      <w:proofErr w:type="spellEnd"/>
      <w:r w:rsidRPr="00B248F1">
        <w:rPr>
          <w:rFonts w:ascii="Arial" w:hAnsi="Arial" w:cs="Arial"/>
          <w:lang w:val="mk-MK"/>
        </w:rPr>
        <w:t xml:space="preserve"> </w:t>
      </w:r>
      <w:proofErr w:type="spellStart"/>
      <w:r w:rsidRPr="00B248F1">
        <w:rPr>
          <w:rFonts w:ascii="Arial" w:hAnsi="Arial" w:cs="Arial"/>
          <w:lang w:val="mk-MK"/>
        </w:rPr>
        <w:t>active</w:t>
      </w:r>
      <w:proofErr w:type="spellEnd"/>
      <w:r w:rsidRPr="00B248F1">
        <w:rPr>
          <w:rFonts w:ascii="Arial" w:hAnsi="Arial" w:cs="Arial"/>
          <w:lang w:val="mk-MK"/>
        </w:rPr>
        <w:t xml:space="preserve"> </w:t>
      </w:r>
      <w:proofErr w:type="spellStart"/>
      <w:r w:rsidRPr="00B248F1">
        <w:rPr>
          <w:rFonts w:ascii="Arial" w:hAnsi="Arial" w:cs="Arial"/>
          <w:lang w:val="mk-MK"/>
        </w:rPr>
        <w:t>markets</w:t>
      </w:r>
      <w:proofErr w:type="spellEnd"/>
      <w:r w:rsidRPr="00B248F1">
        <w:rPr>
          <w:rFonts w:ascii="Arial" w:hAnsi="Arial" w:cs="Arial"/>
          <w:lang w:val="mk-MK"/>
        </w:rPr>
        <w:t xml:space="preserve"> </w:t>
      </w:r>
      <w:proofErr w:type="spellStart"/>
      <w:r w:rsidRPr="00B248F1">
        <w:rPr>
          <w:rFonts w:ascii="Arial" w:hAnsi="Arial" w:cs="Arial"/>
          <w:lang w:val="mk-MK"/>
        </w:rPr>
        <w:t>for</w:t>
      </w:r>
      <w:proofErr w:type="spellEnd"/>
      <w:r w:rsidRPr="00B248F1">
        <w:rPr>
          <w:rFonts w:ascii="Arial" w:hAnsi="Arial" w:cs="Arial"/>
          <w:lang w:val="mk-MK"/>
        </w:rPr>
        <w:t xml:space="preserve"> </w:t>
      </w:r>
      <w:proofErr w:type="spellStart"/>
      <w:r w:rsidRPr="00B248F1">
        <w:rPr>
          <w:rFonts w:ascii="Arial" w:hAnsi="Arial" w:cs="Arial"/>
          <w:lang w:val="mk-MK"/>
        </w:rPr>
        <w:t>identical</w:t>
      </w:r>
      <w:proofErr w:type="spellEnd"/>
      <w:r w:rsidRPr="00B248F1">
        <w:rPr>
          <w:rFonts w:ascii="Arial" w:hAnsi="Arial" w:cs="Arial"/>
          <w:lang w:val="mk-MK"/>
        </w:rPr>
        <w:t xml:space="preserve"> </w:t>
      </w:r>
      <w:proofErr w:type="spellStart"/>
      <w:r w:rsidRPr="00B248F1">
        <w:rPr>
          <w:rFonts w:ascii="Arial" w:hAnsi="Arial" w:cs="Arial"/>
          <w:lang w:val="mk-MK"/>
        </w:rPr>
        <w:t>assets</w:t>
      </w:r>
      <w:proofErr w:type="spellEnd"/>
      <w:r w:rsidRPr="00B248F1">
        <w:rPr>
          <w:rFonts w:ascii="Arial" w:hAnsi="Arial" w:cs="Arial"/>
          <w:lang w:val="mk-MK"/>
        </w:rPr>
        <w:t xml:space="preserve"> </w:t>
      </w:r>
      <w:proofErr w:type="spellStart"/>
      <w:r w:rsidRPr="00B248F1">
        <w:rPr>
          <w:rFonts w:ascii="Arial" w:hAnsi="Arial" w:cs="Arial"/>
          <w:lang w:val="mk-MK"/>
        </w:rPr>
        <w:t>or</w:t>
      </w:r>
      <w:proofErr w:type="spellEnd"/>
      <w:r w:rsidRPr="00B248F1">
        <w:rPr>
          <w:rFonts w:ascii="Arial" w:hAnsi="Arial" w:cs="Arial"/>
          <w:lang w:val="mk-MK"/>
        </w:rPr>
        <w:t xml:space="preserve"> </w:t>
      </w:r>
      <w:proofErr w:type="spellStart"/>
      <w:r w:rsidRPr="00B248F1">
        <w:rPr>
          <w:rFonts w:ascii="Arial" w:hAnsi="Arial" w:cs="Arial"/>
          <w:lang w:val="mk-MK"/>
        </w:rPr>
        <w:t>liabilities</w:t>
      </w:r>
      <w:proofErr w:type="spellEnd"/>
      <w:r w:rsidRPr="00B248F1">
        <w:rPr>
          <w:rFonts w:ascii="Arial" w:hAnsi="Arial" w:cs="Arial"/>
          <w:lang w:val="mk-MK"/>
        </w:rPr>
        <w:t>;</w:t>
      </w:r>
    </w:p>
    <w:p w14:paraId="0482323F" w14:textId="77777777" w:rsidR="00B248F1" w:rsidRPr="00B248F1" w:rsidRDefault="00B248F1" w:rsidP="00B248F1">
      <w:pPr>
        <w:pStyle w:val="BodyText"/>
        <w:numPr>
          <w:ilvl w:val="0"/>
          <w:numId w:val="23"/>
        </w:numPr>
        <w:spacing w:after="0" w:line="280" w:lineRule="atLeast"/>
        <w:jc w:val="both"/>
        <w:rPr>
          <w:rFonts w:ascii="Arial" w:hAnsi="Arial" w:cs="Arial"/>
          <w:lang w:val="mk-MK"/>
        </w:rPr>
      </w:pPr>
      <w:proofErr w:type="spellStart"/>
      <w:r w:rsidRPr="00B248F1">
        <w:rPr>
          <w:rFonts w:ascii="Arial" w:hAnsi="Arial" w:cs="Arial"/>
          <w:lang w:val="mk-MK"/>
        </w:rPr>
        <w:t>Level</w:t>
      </w:r>
      <w:proofErr w:type="spellEnd"/>
      <w:r w:rsidRPr="00B248F1">
        <w:rPr>
          <w:rFonts w:ascii="Arial" w:hAnsi="Arial" w:cs="Arial"/>
          <w:lang w:val="mk-MK"/>
        </w:rPr>
        <w:t xml:space="preserve"> 2: </w:t>
      </w:r>
      <w:proofErr w:type="spellStart"/>
      <w:r w:rsidRPr="00B248F1">
        <w:rPr>
          <w:rFonts w:ascii="Arial" w:hAnsi="Arial" w:cs="Arial"/>
          <w:lang w:val="mk-MK"/>
        </w:rPr>
        <w:t>input</w:t>
      </w:r>
      <w:proofErr w:type="spellEnd"/>
      <w:r w:rsidRPr="00B248F1">
        <w:rPr>
          <w:rFonts w:ascii="Arial" w:hAnsi="Arial" w:cs="Arial"/>
          <w:lang w:val="mk-MK"/>
        </w:rPr>
        <w:t xml:space="preserve"> </w:t>
      </w:r>
      <w:proofErr w:type="spellStart"/>
      <w:r w:rsidRPr="00B248F1">
        <w:rPr>
          <w:rFonts w:ascii="Arial" w:hAnsi="Arial" w:cs="Arial"/>
          <w:lang w:val="mk-MK"/>
        </w:rPr>
        <w:t>data</w:t>
      </w:r>
      <w:proofErr w:type="spellEnd"/>
      <w:r w:rsidRPr="00B248F1">
        <w:rPr>
          <w:rFonts w:ascii="Arial" w:hAnsi="Arial" w:cs="Arial"/>
          <w:lang w:val="mk-MK"/>
        </w:rPr>
        <w:t xml:space="preserve">, </w:t>
      </w:r>
      <w:proofErr w:type="spellStart"/>
      <w:r w:rsidRPr="00B248F1">
        <w:rPr>
          <w:rFonts w:ascii="Arial" w:hAnsi="Arial" w:cs="Arial"/>
          <w:lang w:val="mk-MK"/>
        </w:rPr>
        <w:t>other</w:t>
      </w:r>
      <w:proofErr w:type="spellEnd"/>
      <w:r w:rsidRPr="00B248F1">
        <w:rPr>
          <w:rFonts w:ascii="Arial" w:hAnsi="Arial" w:cs="Arial"/>
          <w:lang w:val="mk-MK"/>
        </w:rPr>
        <w:t xml:space="preserve"> </w:t>
      </w:r>
      <w:proofErr w:type="spellStart"/>
      <w:r w:rsidRPr="00B248F1">
        <w:rPr>
          <w:rFonts w:ascii="Arial" w:hAnsi="Arial" w:cs="Arial"/>
          <w:lang w:val="mk-MK"/>
        </w:rPr>
        <w:t>than</w:t>
      </w:r>
      <w:proofErr w:type="spellEnd"/>
      <w:r w:rsidRPr="00B248F1">
        <w:rPr>
          <w:rFonts w:ascii="Arial" w:hAnsi="Arial" w:cs="Arial"/>
          <w:lang w:val="mk-MK"/>
        </w:rPr>
        <w:t xml:space="preserve"> </w:t>
      </w:r>
      <w:proofErr w:type="spellStart"/>
      <w:r w:rsidRPr="00B248F1">
        <w:rPr>
          <w:rFonts w:ascii="Arial" w:hAnsi="Arial" w:cs="Arial"/>
          <w:lang w:val="mk-MK"/>
        </w:rPr>
        <w:t>quoted</w:t>
      </w:r>
      <w:proofErr w:type="spellEnd"/>
      <w:r w:rsidRPr="00B248F1">
        <w:rPr>
          <w:rFonts w:ascii="Arial" w:hAnsi="Arial" w:cs="Arial"/>
          <w:lang w:val="mk-MK"/>
        </w:rPr>
        <w:t xml:space="preserve"> </w:t>
      </w:r>
      <w:proofErr w:type="spellStart"/>
      <w:r w:rsidRPr="00B248F1">
        <w:rPr>
          <w:rFonts w:ascii="Arial" w:hAnsi="Arial" w:cs="Arial"/>
          <w:lang w:val="mk-MK"/>
        </w:rPr>
        <w:t>prices</w:t>
      </w:r>
      <w:proofErr w:type="spellEnd"/>
      <w:r w:rsidRPr="00B248F1">
        <w:rPr>
          <w:rFonts w:ascii="Arial" w:hAnsi="Arial" w:cs="Arial"/>
          <w:lang w:val="mk-MK"/>
        </w:rPr>
        <w:t xml:space="preserve"> </w:t>
      </w:r>
      <w:proofErr w:type="spellStart"/>
      <w:r w:rsidRPr="00B248F1">
        <w:rPr>
          <w:rFonts w:ascii="Arial" w:hAnsi="Arial" w:cs="Arial"/>
          <w:lang w:val="mk-MK"/>
        </w:rPr>
        <w:t>included</w:t>
      </w:r>
      <w:proofErr w:type="spellEnd"/>
      <w:r w:rsidRPr="00B248F1">
        <w:rPr>
          <w:rFonts w:ascii="Arial" w:hAnsi="Arial" w:cs="Arial"/>
          <w:lang w:val="mk-MK"/>
        </w:rPr>
        <w:t xml:space="preserve"> </w:t>
      </w:r>
      <w:proofErr w:type="spellStart"/>
      <w:r w:rsidRPr="00B248F1">
        <w:rPr>
          <w:rFonts w:ascii="Arial" w:hAnsi="Arial" w:cs="Arial"/>
          <w:lang w:val="mk-MK"/>
        </w:rPr>
        <w:t>in</w:t>
      </w:r>
      <w:proofErr w:type="spellEnd"/>
      <w:r w:rsidRPr="00B248F1">
        <w:rPr>
          <w:rFonts w:ascii="Arial" w:hAnsi="Arial" w:cs="Arial"/>
          <w:lang w:val="mk-MK"/>
        </w:rPr>
        <w:t xml:space="preserve"> </w:t>
      </w:r>
      <w:proofErr w:type="spellStart"/>
      <w:r w:rsidRPr="00B248F1">
        <w:rPr>
          <w:rFonts w:ascii="Arial" w:hAnsi="Arial" w:cs="Arial"/>
          <w:lang w:val="mk-MK"/>
        </w:rPr>
        <w:t>Level</w:t>
      </w:r>
      <w:proofErr w:type="spellEnd"/>
      <w:r w:rsidRPr="00B248F1">
        <w:rPr>
          <w:rFonts w:ascii="Arial" w:hAnsi="Arial" w:cs="Arial"/>
          <w:lang w:val="mk-MK"/>
        </w:rPr>
        <w:t xml:space="preserve"> 1 </w:t>
      </w:r>
      <w:proofErr w:type="spellStart"/>
      <w:r w:rsidRPr="00B248F1">
        <w:rPr>
          <w:rFonts w:ascii="Arial" w:hAnsi="Arial" w:cs="Arial"/>
          <w:lang w:val="mk-MK"/>
        </w:rPr>
        <w:t>that</w:t>
      </w:r>
      <w:proofErr w:type="spellEnd"/>
      <w:r w:rsidRPr="00B248F1">
        <w:rPr>
          <w:rFonts w:ascii="Arial" w:hAnsi="Arial" w:cs="Arial"/>
          <w:lang w:val="mk-MK"/>
        </w:rPr>
        <w:t xml:space="preserve"> </w:t>
      </w:r>
      <w:proofErr w:type="spellStart"/>
      <w:r w:rsidRPr="00B248F1">
        <w:rPr>
          <w:rFonts w:ascii="Arial" w:hAnsi="Arial" w:cs="Arial"/>
          <w:lang w:val="mk-MK"/>
        </w:rPr>
        <w:t>are</w:t>
      </w:r>
      <w:proofErr w:type="spellEnd"/>
      <w:r w:rsidRPr="00B248F1">
        <w:rPr>
          <w:rFonts w:ascii="Arial" w:hAnsi="Arial" w:cs="Arial"/>
          <w:lang w:val="mk-MK"/>
        </w:rPr>
        <w:t xml:space="preserve"> </w:t>
      </w:r>
      <w:proofErr w:type="spellStart"/>
      <w:r w:rsidRPr="00B248F1">
        <w:rPr>
          <w:rFonts w:ascii="Arial" w:hAnsi="Arial" w:cs="Arial"/>
          <w:lang w:val="mk-MK"/>
        </w:rPr>
        <w:t>available</w:t>
      </w:r>
      <w:proofErr w:type="spellEnd"/>
      <w:r w:rsidRPr="00B248F1">
        <w:rPr>
          <w:rFonts w:ascii="Arial" w:hAnsi="Arial" w:cs="Arial"/>
          <w:lang w:val="mk-MK"/>
        </w:rPr>
        <w:t xml:space="preserve"> </w:t>
      </w:r>
      <w:proofErr w:type="spellStart"/>
      <w:r w:rsidRPr="00B248F1">
        <w:rPr>
          <w:rFonts w:ascii="Arial" w:hAnsi="Arial" w:cs="Arial"/>
          <w:lang w:val="mk-MK"/>
        </w:rPr>
        <w:t>for</w:t>
      </w:r>
      <w:proofErr w:type="spellEnd"/>
      <w:r w:rsidRPr="00B248F1">
        <w:rPr>
          <w:rFonts w:ascii="Arial" w:hAnsi="Arial" w:cs="Arial"/>
          <w:lang w:val="mk-MK"/>
        </w:rPr>
        <w:t xml:space="preserve"> </w:t>
      </w:r>
      <w:proofErr w:type="spellStart"/>
      <w:r w:rsidRPr="00B248F1">
        <w:rPr>
          <w:rFonts w:ascii="Arial" w:hAnsi="Arial" w:cs="Arial"/>
          <w:lang w:val="mk-MK"/>
        </w:rPr>
        <w:t>asset</w:t>
      </w:r>
      <w:proofErr w:type="spellEnd"/>
      <w:r w:rsidRPr="00B248F1">
        <w:rPr>
          <w:rFonts w:ascii="Arial" w:hAnsi="Arial" w:cs="Arial"/>
          <w:lang w:val="mk-MK"/>
        </w:rPr>
        <w:t xml:space="preserve"> </w:t>
      </w:r>
      <w:proofErr w:type="spellStart"/>
      <w:r w:rsidRPr="00B248F1">
        <w:rPr>
          <w:rFonts w:ascii="Arial" w:hAnsi="Arial" w:cs="Arial"/>
          <w:lang w:val="mk-MK"/>
        </w:rPr>
        <w:t>or</w:t>
      </w:r>
      <w:proofErr w:type="spellEnd"/>
      <w:r w:rsidRPr="00B248F1">
        <w:rPr>
          <w:rFonts w:ascii="Arial" w:hAnsi="Arial" w:cs="Arial"/>
          <w:lang w:val="mk-MK"/>
        </w:rPr>
        <w:t xml:space="preserve"> </w:t>
      </w:r>
      <w:proofErr w:type="spellStart"/>
      <w:r w:rsidRPr="00B248F1">
        <w:rPr>
          <w:rFonts w:ascii="Arial" w:hAnsi="Arial" w:cs="Arial"/>
          <w:lang w:val="mk-MK"/>
        </w:rPr>
        <w:t>liability</w:t>
      </w:r>
      <w:proofErr w:type="spellEnd"/>
      <w:r w:rsidRPr="00B248F1">
        <w:rPr>
          <w:rFonts w:ascii="Arial" w:hAnsi="Arial" w:cs="Arial"/>
          <w:lang w:val="mk-MK"/>
        </w:rPr>
        <w:t xml:space="preserve"> </w:t>
      </w:r>
      <w:proofErr w:type="spellStart"/>
      <w:r w:rsidRPr="00B248F1">
        <w:rPr>
          <w:rFonts w:ascii="Arial" w:hAnsi="Arial" w:cs="Arial"/>
          <w:lang w:val="mk-MK"/>
        </w:rPr>
        <w:t>observing</w:t>
      </w:r>
      <w:proofErr w:type="spellEnd"/>
      <w:r w:rsidRPr="00B248F1">
        <w:rPr>
          <w:rFonts w:ascii="Arial" w:hAnsi="Arial" w:cs="Arial"/>
          <w:lang w:val="mk-MK"/>
        </w:rPr>
        <w:t xml:space="preserve">, </w:t>
      </w:r>
      <w:proofErr w:type="spellStart"/>
      <w:r w:rsidRPr="00B248F1">
        <w:rPr>
          <w:rFonts w:ascii="Arial" w:hAnsi="Arial" w:cs="Arial"/>
          <w:lang w:val="mk-MK"/>
        </w:rPr>
        <w:t>directly</w:t>
      </w:r>
      <w:proofErr w:type="spellEnd"/>
      <w:r w:rsidRPr="00B248F1">
        <w:rPr>
          <w:rFonts w:ascii="Arial" w:hAnsi="Arial" w:cs="Arial"/>
          <w:lang w:val="mk-MK"/>
        </w:rPr>
        <w:t xml:space="preserve"> (</w:t>
      </w:r>
      <w:proofErr w:type="spellStart"/>
      <w:r w:rsidRPr="00B248F1">
        <w:rPr>
          <w:rFonts w:ascii="Arial" w:hAnsi="Arial" w:cs="Arial"/>
          <w:lang w:val="mk-MK"/>
        </w:rPr>
        <w:t>i.e</w:t>
      </w:r>
      <w:proofErr w:type="spellEnd"/>
      <w:r w:rsidRPr="00B248F1">
        <w:rPr>
          <w:rFonts w:ascii="Arial" w:hAnsi="Arial" w:cs="Arial"/>
          <w:lang w:val="mk-MK"/>
        </w:rPr>
        <w:t xml:space="preserve">. </w:t>
      </w:r>
      <w:proofErr w:type="spellStart"/>
      <w:r w:rsidRPr="00B248F1">
        <w:rPr>
          <w:rFonts w:ascii="Arial" w:hAnsi="Arial" w:cs="Arial"/>
          <w:lang w:val="mk-MK"/>
        </w:rPr>
        <w:t>as</w:t>
      </w:r>
      <w:proofErr w:type="spellEnd"/>
      <w:r w:rsidRPr="00B248F1">
        <w:rPr>
          <w:rFonts w:ascii="Arial" w:hAnsi="Arial" w:cs="Arial"/>
          <w:lang w:val="mk-MK"/>
        </w:rPr>
        <w:t xml:space="preserve"> </w:t>
      </w:r>
      <w:proofErr w:type="spellStart"/>
      <w:r w:rsidRPr="00B248F1">
        <w:rPr>
          <w:rFonts w:ascii="Arial" w:hAnsi="Arial" w:cs="Arial"/>
          <w:lang w:val="mk-MK"/>
        </w:rPr>
        <w:t>prices</w:t>
      </w:r>
      <w:proofErr w:type="spellEnd"/>
      <w:r w:rsidRPr="00B248F1">
        <w:rPr>
          <w:rFonts w:ascii="Arial" w:hAnsi="Arial" w:cs="Arial"/>
          <w:lang w:val="mk-MK"/>
        </w:rPr>
        <w:t xml:space="preserve">), </w:t>
      </w:r>
      <w:proofErr w:type="spellStart"/>
      <w:r w:rsidRPr="00B248F1">
        <w:rPr>
          <w:rFonts w:ascii="Arial" w:hAnsi="Arial" w:cs="Arial"/>
          <w:lang w:val="mk-MK"/>
        </w:rPr>
        <w:t>or</w:t>
      </w:r>
      <w:proofErr w:type="spellEnd"/>
      <w:r w:rsidRPr="00B248F1">
        <w:rPr>
          <w:rFonts w:ascii="Arial" w:hAnsi="Arial" w:cs="Arial"/>
          <w:lang w:val="mk-MK"/>
        </w:rPr>
        <w:t xml:space="preserve"> </w:t>
      </w:r>
      <w:proofErr w:type="spellStart"/>
      <w:r w:rsidRPr="00B248F1">
        <w:rPr>
          <w:rFonts w:ascii="Arial" w:hAnsi="Arial" w:cs="Arial"/>
          <w:lang w:val="mk-MK"/>
        </w:rPr>
        <w:t>indirectly</w:t>
      </w:r>
      <w:proofErr w:type="spellEnd"/>
      <w:r w:rsidRPr="00B248F1">
        <w:rPr>
          <w:rFonts w:ascii="Arial" w:hAnsi="Arial" w:cs="Arial"/>
          <w:lang w:val="mk-MK"/>
        </w:rPr>
        <w:t xml:space="preserve"> (</w:t>
      </w:r>
      <w:proofErr w:type="spellStart"/>
      <w:r w:rsidRPr="00B248F1">
        <w:rPr>
          <w:rFonts w:ascii="Arial" w:hAnsi="Arial" w:cs="Arial"/>
          <w:lang w:val="mk-MK"/>
        </w:rPr>
        <w:t>i.e</w:t>
      </w:r>
      <w:proofErr w:type="spellEnd"/>
      <w:r w:rsidRPr="00B248F1">
        <w:rPr>
          <w:rFonts w:ascii="Arial" w:hAnsi="Arial" w:cs="Arial"/>
          <w:lang w:val="mk-MK"/>
        </w:rPr>
        <w:t xml:space="preserve">. </w:t>
      </w:r>
      <w:proofErr w:type="spellStart"/>
      <w:r w:rsidRPr="00B248F1">
        <w:rPr>
          <w:rFonts w:ascii="Arial" w:hAnsi="Arial" w:cs="Arial"/>
          <w:lang w:val="mk-MK"/>
        </w:rPr>
        <w:t>made</w:t>
      </w:r>
      <w:proofErr w:type="spellEnd"/>
      <w:r w:rsidRPr="00B248F1">
        <w:rPr>
          <w:rFonts w:ascii="Arial" w:hAnsi="Arial" w:cs="Arial"/>
          <w:lang w:val="mk-MK"/>
        </w:rPr>
        <w:t xml:space="preserve"> </w:t>
      </w:r>
      <w:proofErr w:type="spellStart"/>
      <w:r w:rsidRPr="00B248F1">
        <w:rPr>
          <w:rFonts w:ascii="Arial" w:hAnsi="Arial" w:cs="Arial"/>
          <w:lang w:val="mk-MK"/>
        </w:rPr>
        <w:t>of</w:t>
      </w:r>
      <w:proofErr w:type="spellEnd"/>
      <w:r w:rsidRPr="00B248F1">
        <w:rPr>
          <w:rFonts w:ascii="Arial" w:hAnsi="Arial" w:cs="Arial"/>
          <w:lang w:val="mk-MK"/>
        </w:rPr>
        <w:t xml:space="preserve"> </w:t>
      </w:r>
      <w:proofErr w:type="spellStart"/>
      <w:r w:rsidRPr="00B248F1">
        <w:rPr>
          <w:rFonts w:ascii="Arial" w:hAnsi="Arial" w:cs="Arial"/>
          <w:lang w:val="mk-MK"/>
        </w:rPr>
        <w:t>prices</w:t>
      </w:r>
      <w:proofErr w:type="spellEnd"/>
      <w:r w:rsidRPr="00B248F1">
        <w:rPr>
          <w:rFonts w:ascii="Arial" w:hAnsi="Arial" w:cs="Arial"/>
          <w:lang w:val="mk-MK"/>
        </w:rPr>
        <w:t xml:space="preserve">) </w:t>
      </w:r>
      <w:proofErr w:type="spellStart"/>
      <w:r w:rsidRPr="00B248F1">
        <w:rPr>
          <w:rFonts w:ascii="Arial" w:hAnsi="Arial" w:cs="Arial"/>
          <w:lang w:val="mk-MK"/>
        </w:rPr>
        <w:t>and</w:t>
      </w:r>
      <w:proofErr w:type="spellEnd"/>
    </w:p>
    <w:p w14:paraId="11CE5AE1" w14:textId="77777777" w:rsidR="00B248F1" w:rsidRPr="00B248F1" w:rsidRDefault="00B248F1" w:rsidP="00B248F1">
      <w:pPr>
        <w:pStyle w:val="BodyText"/>
        <w:numPr>
          <w:ilvl w:val="0"/>
          <w:numId w:val="23"/>
        </w:numPr>
        <w:spacing w:after="0" w:line="280" w:lineRule="atLeast"/>
        <w:jc w:val="both"/>
        <w:rPr>
          <w:rFonts w:ascii="Arial" w:hAnsi="Arial" w:cs="Arial"/>
          <w:lang w:val="mk-MK"/>
        </w:rPr>
      </w:pPr>
      <w:proofErr w:type="spellStart"/>
      <w:r w:rsidRPr="00B248F1">
        <w:rPr>
          <w:rFonts w:ascii="Arial" w:hAnsi="Arial" w:cs="Arial"/>
          <w:lang w:val="mk-MK"/>
        </w:rPr>
        <w:t>Level</w:t>
      </w:r>
      <w:proofErr w:type="spellEnd"/>
      <w:r w:rsidRPr="00B248F1">
        <w:rPr>
          <w:rFonts w:ascii="Arial" w:hAnsi="Arial" w:cs="Arial"/>
          <w:lang w:val="mk-MK"/>
        </w:rPr>
        <w:t xml:space="preserve"> 3: </w:t>
      </w:r>
      <w:proofErr w:type="spellStart"/>
      <w:r w:rsidRPr="00B248F1">
        <w:rPr>
          <w:rFonts w:ascii="Arial" w:hAnsi="Arial" w:cs="Arial"/>
          <w:lang w:val="mk-MK"/>
        </w:rPr>
        <w:t>unobservable</w:t>
      </w:r>
      <w:proofErr w:type="spellEnd"/>
      <w:r w:rsidRPr="00B248F1">
        <w:rPr>
          <w:rFonts w:ascii="Arial" w:hAnsi="Arial" w:cs="Arial"/>
          <w:lang w:val="mk-MK"/>
        </w:rPr>
        <w:t xml:space="preserve"> </w:t>
      </w:r>
      <w:proofErr w:type="spellStart"/>
      <w:r w:rsidRPr="00B248F1">
        <w:rPr>
          <w:rFonts w:ascii="Arial" w:hAnsi="Arial" w:cs="Arial"/>
          <w:lang w:val="mk-MK"/>
        </w:rPr>
        <w:t>inputs</w:t>
      </w:r>
      <w:proofErr w:type="spellEnd"/>
      <w:r w:rsidRPr="00B248F1">
        <w:rPr>
          <w:rFonts w:ascii="Arial" w:hAnsi="Arial" w:cs="Arial"/>
          <w:lang w:val="mk-MK"/>
        </w:rPr>
        <w:t xml:space="preserve"> </w:t>
      </w:r>
      <w:proofErr w:type="spellStart"/>
      <w:r w:rsidRPr="00B248F1">
        <w:rPr>
          <w:rFonts w:ascii="Arial" w:hAnsi="Arial" w:cs="Arial"/>
          <w:lang w:val="mk-MK"/>
        </w:rPr>
        <w:t>of</w:t>
      </w:r>
      <w:proofErr w:type="spellEnd"/>
      <w:r w:rsidRPr="00B248F1">
        <w:rPr>
          <w:rFonts w:ascii="Arial" w:hAnsi="Arial" w:cs="Arial"/>
          <w:lang w:val="mk-MK"/>
        </w:rPr>
        <w:t xml:space="preserve"> </w:t>
      </w:r>
      <w:proofErr w:type="spellStart"/>
      <w:r w:rsidRPr="00B248F1">
        <w:rPr>
          <w:rFonts w:ascii="Arial" w:hAnsi="Arial" w:cs="Arial"/>
          <w:lang w:val="mk-MK"/>
        </w:rPr>
        <w:t>the</w:t>
      </w:r>
      <w:proofErr w:type="spellEnd"/>
      <w:r w:rsidRPr="00B248F1">
        <w:rPr>
          <w:rFonts w:ascii="Arial" w:hAnsi="Arial" w:cs="Arial"/>
          <w:lang w:val="mk-MK"/>
        </w:rPr>
        <w:t xml:space="preserve"> </w:t>
      </w:r>
      <w:proofErr w:type="spellStart"/>
      <w:r w:rsidRPr="00B248F1">
        <w:rPr>
          <w:rFonts w:ascii="Arial" w:hAnsi="Arial" w:cs="Arial"/>
          <w:lang w:val="mk-MK"/>
        </w:rPr>
        <w:t>assets</w:t>
      </w:r>
      <w:proofErr w:type="spellEnd"/>
      <w:r w:rsidRPr="00B248F1">
        <w:rPr>
          <w:rFonts w:ascii="Arial" w:hAnsi="Arial" w:cs="Arial"/>
          <w:lang w:val="mk-MK"/>
        </w:rPr>
        <w:t xml:space="preserve"> </w:t>
      </w:r>
      <w:proofErr w:type="spellStart"/>
      <w:r w:rsidRPr="00B248F1">
        <w:rPr>
          <w:rFonts w:ascii="Arial" w:hAnsi="Arial" w:cs="Arial"/>
          <w:lang w:val="mk-MK"/>
        </w:rPr>
        <w:t>or</w:t>
      </w:r>
      <w:proofErr w:type="spellEnd"/>
      <w:r w:rsidRPr="00B248F1">
        <w:rPr>
          <w:rFonts w:ascii="Arial" w:hAnsi="Arial" w:cs="Arial"/>
          <w:lang w:val="mk-MK"/>
        </w:rPr>
        <w:t xml:space="preserve"> </w:t>
      </w:r>
      <w:proofErr w:type="spellStart"/>
      <w:r w:rsidRPr="00B248F1">
        <w:rPr>
          <w:rFonts w:ascii="Arial" w:hAnsi="Arial" w:cs="Arial"/>
          <w:lang w:val="mk-MK"/>
        </w:rPr>
        <w:t>liabilities</w:t>
      </w:r>
      <w:proofErr w:type="spellEnd"/>
      <w:r w:rsidRPr="00B248F1">
        <w:rPr>
          <w:rFonts w:ascii="Arial" w:hAnsi="Arial" w:cs="Arial"/>
          <w:lang w:val="mk-MK"/>
        </w:rPr>
        <w:t xml:space="preserve"> </w:t>
      </w:r>
      <w:proofErr w:type="spellStart"/>
      <w:r w:rsidRPr="00B248F1">
        <w:rPr>
          <w:rFonts w:ascii="Arial" w:hAnsi="Arial" w:cs="Arial"/>
          <w:lang w:val="mk-MK"/>
        </w:rPr>
        <w:t>that</w:t>
      </w:r>
      <w:proofErr w:type="spellEnd"/>
      <w:r w:rsidRPr="00B248F1">
        <w:rPr>
          <w:rFonts w:ascii="Arial" w:hAnsi="Arial" w:cs="Arial"/>
          <w:lang w:val="mk-MK"/>
        </w:rPr>
        <w:t xml:space="preserve"> </w:t>
      </w:r>
      <w:proofErr w:type="spellStart"/>
      <w:r w:rsidRPr="00B248F1">
        <w:rPr>
          <w:rFonts w:ascii="Arial" w:hAnsi="Arial" w:cs="Arial"/>
          <w:lang w:val="mk-MK"/>
        </w:rPr>
        <w:t>are</w:t>
      </w:r>
      <w:proofErr w:type="spellEnd"/>
      <w:r w:rsidRPr="00B248F1">
        <w:rPr>
          <w:rFonts w:ascii="Arial" w:hAnsi="Arial" w:cs="Arial"/>
          <w:lang w:val="mk-MK"/>
        </w:rPr>
        <w:t xml:space="preserve"> </w:t>
      </w:r>
      <w:proofErr w:type="spellStart"/>
      <w:r w:rsidRPr="00B248F1">
        <w:rPr>
          <w:rFonts w:ascii="Arial" w:hAnsi="Arial" w:cs="Arial"/>
          <w:lang w:val="mk-MK"/>
        </w:rPr>
        <w:t>not</w:t>
      </w:r>
      <w:proofErr w:type="spellEnd"/>
      <w:r w:rsidRPr="00B248F1">
        <w:rPr>
          <w:rFonts w:ascii="Arial" w:hAnsi="Arial" w:cs="Arial"/>
          <w:lang w:val="mk-MK"/>
        </w:rPr>
        <w:t xml:space="preserve"> </w:t>
      </w:r>
      <w:proofErr w:type="spellStart"/>
      <w:r w:rsidRPr="00B248F1">
        <w:rPr>
          <w:rFonts w:ascii="Arial" w:hAnsi="Arial" w:cs="Arial"/>
          <w:lang w:val="mk-MK"/>
        </w:rPr>
        <w:t>based</w:t>
      </w:r>
      <w:proofErr w:type="spellEnd"/>
      <w:r w:rsidRPr="00B248F1">
        <w:rPr>
          <w:rFonts w:ascii="Arial" w:hAnsi="Arial" w:cs="Arial"/>
          <w:lang w:val="mk-MK"/>
        </w:rPr>
        <w:t xml:space="preserve"> </w:t>
      </w:r>
      <w:proofErr w:type="spellStart"/>
      <w:r w:rsidRPr="00B248F1">
        <w:rPr>
          <w:rFonts w:ascii="Arial" w:hAnsi="Arial" w:cs="Arial"/>
          <w:lang w:val="mk-MK"/>
        </w:rPr>
        <w:t>on</w:t>
      </w:r>
      <w:proofErr w:type="spellEnd"/>
      <w:r w:rsidRPr="00B248F1">
        <w:rPr>
          <w:rFonts w:ascii="Arial" w:hAnsi="Arial" w:cs="Arial"/>
          <w:lang w:val="mk-MK"/>
        </w:rPr>
        <w:t xml:space="preserve"> </w:t>
      </w:r>
      <w:proofErr w:type="spellStart"/>
      <w:r w:rsidRPr="00B248F1">
        <w:rPr>
          <w:rFonts w:ascii="Arial" w:hAnsi="Arial" w:cs="Arial"/>
          <w:lang w:val="mk-MK"/>
        </w:rPr>
        <w:t>data</w:t>
      </w:r>
      <w:proofErr w:type="spellEnd"/>
      <w:r w:rsidRPr="00B248F1">
        <w:rPr>
          <w:rFonts w:ascii="Arial" w:hAnsi="Arial" w:cs="Arial"/>
          <w:lang w:val="mk-MK"/>
        </w:rPr>
        <w:t xml:space="preserve"> </w:t>
      </w:r>
      <w:proofErr w:type="spellStart"/>
      <w:r w:rsidRPr="00B248F1">
        <w:rPr>
          <w:rFonts w:ascii="Arial" w:hAnsi="Arial" w:cs="Arial"/>
          <w:lang w:val="mk-MK"/>
        </w:rPr>
        <w:t>available</w:t>
      </w:r>
      <w:proofErr w:type="spellEnd"/>
      <w:r w:rsidRPr="00B248F1">
        <w:rPr>
          <w:rFonts w:ascii="Arial" w:hAnsi="Arial" w:cs="Arial"/>
          <w:lang w:val="mk-MK"/>
        </w:rPr>
        <w:t xml:space="preserve"> </w:t>
      </w:r>
      <w:proofErr w:type="spellStart"/>
      <w:r w:rsidRPr="00B248F1">
        <w:rPr>
          <w:rFonts w:ascii="Arial" w:hAnsi="Arial" w:cs="Arial"/>
          <w:lang w:val="mk-MK"/>
        </w:rPr>
        <w:t>for</w:t>
      </w:r>
      <w:proofErr w:type="spellEnd"/>
      <w:r w:rsidRPr="00B248F1">
        <w:rPr>
          <w:rFonts w:ascii="Arial" w:hAnsi="Arial" w:cs="Arial"/>
          <w:lang w:val="mk-MK"/>
        </w:rPr>
        <w:t xml:space="preserve"> </w:t>
      </w:r>
      <w:proofErr w:type="spellStart"/>
      <w:r w:rsidRPr="00B248F1">
        <w:rPr>
          <w:rFonts w:ascii="Arial" w:hAnsi="Arial" w:cs="Arial"/>
          <w:lang w:val="mk-MK"/>
        </w:rPr>
        <w:t>market</w:t>
      </w:r>
      <w:proofErr w:type="spellEnd"/>
      <w:r w:rsidRPr="00B248F1">
        <w:rPr>
          <w:rFonts w:ascii="Arial" w:hAnsi="Arial" w:cs="Arial"/>
          <w:lang w:val="mk-MK"/>
        </w:rPr>
        <w:t xml:space="preserve"> </w:t>
      </w:r>
      <w:proofErr w:type="spellStart"/>
      <w:r w:rsidRPr="00B248F1">
        <w:rPr>
          <w:rFonts w:ascii="Arial" w:hAnsi="Arial" w:cs="Arial"/>
          <w:lang w:val="mk-MK"/>
        </w:rPr>
        <w:t>observing</w:t>
      </w:r>
      <w:proofErr w:type="spellEnd"/>
      <w:r w:rsidRPr="00B248F1">
        <w:rPr>
          <w:rFonts w:ascii="Arial" w:hAnsi="Arial" w:cs="Arial"/>
          <w:lang w:val="mk-MK"/>
        </w:rPr>
        <w:t>.</w:t>
      </w:r>
    </w:p>
    <w:p w14:paraId="2234CD88" w14:textId="77777777" w:rsidR="00815E65" w:rsidRPr="00CE3053" w:rsidRDefault="00815E65" w:rsidP="00815E65">
      <w:pPr>
        <w:pStyle w:val="BodyText"/>
        <w:jc w:val="both"/>
        <w:rPr>
          <w:rFonts w:ascii="Arial" w:hAnsi="Arial" w:cs="Arial"/>
          <w:lang w:val="mk-MK"/>
        </w:rPr>
      </w:pPr>
    </w:p>
    <w:p w14:paraId="5EBDB0CC" w14:textId="3FF0CFFA" w:rsidR="00815E65" w:rsidRDefault="00B248F1" w:rsidP="00815E65">
      <w:pPr>
        <w:pStyle w:val="BodyText"/>
        <w:jc w:val="both"/>
        <w:rPr>
          <w:rFonts w:ascii="Arial" w:hAnsi="Arial" w:cs="Arial"/>
          <w:lang w:val="mk-MK"/>
        </w:rPr>
      </w:pPr>
      <w:r>
        <w:rPr>
          <w:rFonts w:ascii="Arial" w:hAnsi="Arial" w:cs="Arial"/>
          <w:lang w:val="en-US"/>
        </w:rPr>
        <w:t>As of</w:t>
      </w:r>
      <w:r w:rsidR="00815E65" w:rsidRPr="00CE3053">
        <w:rPr>
          <w:rFonts w:ascii="Arial" w:hAnsi="Arial" w:cs="Arial"/>
          <w:lang w:val="mk-MK"/>
        </w:rPr>
        <w:t xml:space="preserve"> 31 </w:t>
      </w:r>
      <w:r>
        <w:rPr>
          <w:rFonts w:ascii="Arial" w:hAnsi="Arial" w:cs="Arial"/>
          <w:lang w:val="en-US"/>
        </w:rPr>
        <w:t>December</w:t>
      </w:r>
      <w:r w:rsidR="006A2587">
        <w:rPr>
          <w:rFonts w:ascii="Arial" w:hAnsi="Arial" w:cs="Arial"/>
          <w:lang w:val="mk-MK"/>
        </w:rPr>
        <w:t>,</w:t>
      </w:r>
      <w:r w:rsidR="00815E65" w:rsidRPr="00CE3053">
        <w:rPr>
          <w:rFonts w:ascii="Arial" w:hAnsi="Arial" w:cs="Arial"/>
          <w:lang w:val="mk-MK"/>
        </w:rPr>
        <w:t xml:space="preserve"> 202</w:t>
      </w:r>
      <w:r w:rsidR="007679BA" w:rsidRPr="00CE3053">
        <w:rPr>
          <w:rFonts w:ascii="Arial" w:hAnsi="Arial" w:cs="Arial"/>
          <w:lang w:val="mk-MK"/>
        </w:rPr>
        <w:t>1</w:t>
      </w:r>
      <w:r w:rsidR="00815E65" w:rsidRPr="00CE3053">
        <w:rPr>
          <w:rFonts w:ascii="Arial" w:hAnsi="Arial" w:cs="Arial"/>
          <w:lang w:val="mk-MK"/>
        </w:rPr>
        <w:t xml:space="preserve"> </w:t>
      </w:r>
      <w:r>
        <w:rPr>
          <w:rFonts w:ascii="Arial" w:hAnsi="Arial" w:cs="Arial"/>
          <w:lang w:val="en-US"/>
        </w:rPr>
        <w:t>and</w:t>
      </w:r>
      <w:r w:rsidR="00815E65" w:rsidRPr="00CE3053">
        <w:rPr>
          <w:rFonts w:ascii="Arial" w:hAnsi="Arial" w:cs="Arial"/>
          <w:lang w:val="mk-MK"/>
        </w:rPr>
        <w:t xml:space="preserve"> 20</w:t>
      </w:r>
      <w:r w:rsidR="007679BA" w:rsidRPr="00CE3053">
        <w:rPr>
          <w:rFonts w:ascii="Arial" w:hAnsi="Arial" w:cs="Arial"/>
          <w:lang w:val="mk-MK"/>
        </w:rPr>
        <w:t>20</w:t>
      </w:r>
      <w:r w:rsidRPr="00B248F1">
        <w:rPr>
          <w:rFonts w:ascii="Arial" w:hAnsi="Arial" w:cs="Arial"/>
          <w:lang w:val="mk-MK"/>
        </w:rPr>
        <w:t xml:space="preserve">, </w:t>
      </w:r>
      <w:proofErr w:type="spellStart"/>
      <w:r w:rsidRPr="00B248F1">
        <w:rPr>
          <w:rFonts w:ascii="Arial" w:hAnsi="Arial" w:cs="Arial"/>
          <w:lang w:val="mk-MK"/>
        </w:rPr>
        <w:t>the</w:t>
      </w:r>
      <w:proofErr w:type="spellEnd"/>
      <w:r w:rsidRPr="00B248F1">
        <w:rPr>
          <w:rFonts w:ascii="Arial" w:hAnsi="Arial" w:cs="Arial"/>
          <w:lang w:val="mk-MK"/>
        </w:rPr>
        <w:t xml:space="preserve"> </w:t>
      </w:r>
      <w:proofErr w:type="spellStart"/>
      <w:r w:rsidRPr="00B248F1">
        <w:rPr>
          <w:rFonts w:ascii="Arial" w:hAnsi="Arial" w:cs="Arial"/>
          <w:lang w:val="mk-MK"/>
        </w:rPr>
        <w:t>Fund</w:t>
      </w:r>
      <w:proofErr w:type="spellEnd"/>
      <w:r w:rsidRPr="00B248F1">
        <w:rPr>
          <w:rFonts w:ascii="Arial" w:hAnsi="Arial" w:cs="Arial"/>
          <w:lang w:val="mk-MK"/>
        </w:rPr>
        <w:t xml:space="preserve"> </w:t>
      </w:r>
      <w:proofErr w:type="spellStart"/>
      <w:r w:rsidRPr="00B248F1">
        <w:rPr>
          <w:rFonts w:ascii="Arial" w:hAnsi="Arial" w:cs="Arial"/>
          <w:lang w:val="mk-MK"/>
        </w:rPr>
        <w:t>has</w:t>
      </w:r>
      <w:proofErr w:type="spellEnd"/>
      <w:r w:rsidRPr="00B248F1">
        <w:rPr>
          <w:rFonts w:ascii="Arial" w:hAnsi="Arial" w:cs="Arial"/>
          <w:lang w:val="mk-MK"/>
        </w:rPr>
        <w:t xml:space="preserve"> </w:t>
      </w:r>
      <w:proofErr w:type="spellStart"/>
      <w:r w:rsidRPr="00B248F1">
        <w:rPr>
          <w:rFonts w:ascii="Arial" w:hAnsi="Arial" w:cs="Arial"/>
          <w:lang w:val="mk-MK"/>
        </w:rPr>
        <w:t>no</w:t>
      </w:r>
      <w:proofErr w:type="spellEnd"/>
      <w:r w:rsidRPr="00B248F1">
        <w:rPr>
          <w:rFonts w:ascii="Arial" w:hAnsi="Arial" w:cs="Arial"/>
          <w:lang w:val="mk-MK"/>
        </w:rPr>
        <w:t xml:space="preserve"> </w:t>
      </w:r>
      <w:proofErr w:type="spellStart"/>
      <w:r w:rsidRPr="00B248F1">
        <w:rPr>
          <w:rFonts w:ascii="Arial" w:hAnsi="Arial" w:cs="Arial"/>
          <w:lang w:val="mk-MK"/>
        </w:rPr>
        <w:t>financial</w:t>
      </w:r>
      <w:proofErr w:type="spellEnd"/>
      <w:r w:rsidRPr="00B248F1">
        <w:rPr>
          <w:rFonts w:ascii="Arial" w:hAnsi="Arial" w:cs="Arial"/>
          <w:lang w:val="mk-MK"/>
        </w:rPr>
        <w:t xml:space="preserve"> </w:t>
      </w:r>
      <w:proofErr w:type="spellStart"/>
      <w:r w:rsidRPr="00B248F1">
        <w:rPr>
          <w:rFonts w:ascii="Arial" w:hAnsi="Arial" w:cs="Arial"/>
          <w:lang w:val="mk-MK"/>
        </w:rPr>
        <w:t>instruments</w:t>
      </w:r>
      <w:proofErr w:type="spellEnd"/>
      <w:r w:rsidRPr="00B248F1">
        <w:rPr>
          <w:rFonts w:ascii="Arial" w:hAnsi="Arial" w:cs="Arial"/>
          <w:lang w:val="mk-MK"/>
        </w:rPr>
        <w:t xml:space="preserve"> </w:t>
      </w:r>
      <w:proofErr w:type="spellStart"/>
      <w:r w:rsidRPr="00B248F1">
        <w:rPr>
          <w:rFonts w:ascii="Arial" w:hAnsi="Arial" w:cs="Arial"/>
          <w:lang w:val="mk-MK"/>
        </w:rPr>
        <w:t>recognised</w:t>
      </w:r>
      <w:proofErr w:type="spellEnd"/>
      <w:r w:rsidRPr="00B248F1">
        <w:rPr>
          <w:rFonts w:ascii="Arial" w:hAnsi="Arial" w:cs="Arial"/>
          <w:lang w:val="mk-MK"/>
        </w:rPr>
        <w:t xml:space="preserve"> </w:t>
      </w:r>
      <w:proofErr w:type="spellStart"/>
      <w:r w:rsidRPr="00B248F1">
        <w:rPr>
          <w:rFonts w:ascii="Arial" w:hAnsi="Arial" w:cs="Arial"/>
          <w:lang w:val="mk-MK"/>
        </w:rPr>
        <w:t>at</w:t>
      </w:r>
      <w:proofErr w:type="spellEnd"/>
      <w:r w:rsidRPr="00B248F1">
        <w:rPr>
          <w:rFonts w:ascii="Arial" w:hAnsi="Arial" w:cs="Arial"/>
          <w:lang w:val="mk-MK"/>
        </w:rPr>
        <w:t xml:space="preserve"> </w:t>
      </w:r>
      <w:proofErr w:type="spellStart"/>
      <w:r w:rsidRPr="00B248F1">
        <w:rPr>
          <w:rFonts w:ascii="Arial" w:hAnsi="Arial" w:cs="Arial"/>
          <w:lang w:val="mk-MK"/>
        </w:rPr>
        <w:t>fair</w:t>
      </w:r>
      <w:proofErr w:type="spellEnd"/>
      <w:r w:rsidRPr="00B248F1">
        <w:rPr>
          <w:rFonts w:ascii="Arial" w:hAnsi="Arial" w:cs="Arial"/>
          <w:lang w:val="mk-MK"/>
        </w:rPr>
        <w:t xml:space="preserve"> </w:t>
      </w:r>
      <w:proofErr w:type="spellStart"/>
      <w:r w:rsidRPr="00B248F1">
        <w:rPr>
          <w:rFonts w:ascii="Arial" w:hAnsi="Arial" w:cs="Arial"/>
          <w:lang w:val="mk-MK"/>
        </w:rPr>
        <w:t>value</w:t>
      </w:r>
      <w:proofErr w:type="spellEnd"/>
      <w:r w:rsidRPr="00B248F1">
        <w:rPr>
          <w:rFonts w:ascii="Arial" w:hAnsi="Arial" w:cs="Arial"/>
          <w:lang w:val="mk-MK"/>
        </w:rPr>
        <w:t xml:space="preserve"> </w:t>
      </w:r>
      <w:proofErr w:type="spellStart"/>
      <w:r w:rsidRPr="00B248F1">
        <w:rPr>
          <w:rFonts w:ascii="Arial" w:hAnsi="Arial" w:cs="Arial"/>
          <w:lang w:val="mk-MK"/>
        </w:rPr>
        <w:t>in</w:t>
      </w:r>
      <w:proofErr w:type="spellEnd"/>
      <w:r w:rsidRPr="00B248F1">
        <w:rPr>
          <w:rFonts w:ascii="Arial" w:hAnsi="Arial" w:cs="Arial"/>
          <w:lang w:val="mk-MK"/>
        </w:rPr>
        <w:t xml:space="preserve"> </w:t>
      </w:r>
      <w:proofErr w:type="spellStart"/>
      <w:r w:rsidRPr="00B248F1">
        <w:rPr>
          <w:rFonts w:ascii="Arial" w:hAnsi="Arial" w:cs="Arial"/>
          <w:lang w:val="mk-MK"/>
        </w:rPr>
        <w:t>the</w:t>
      </w:r>
      <w:proofErr w:type="spellEnd"/>
      <w:r w:rsidRPr="00B248F1">
        <w:rPr>
          <w:rFonts w:ascii="Arial" w:hAnsi="Arial" w:cs="Arial"/>
          <w:lang w:val="mk-MK"/>
        </w:rPr>
        <w:t xml:space="preserve"> </w:t>
      </w:r>
      <w:proofErr w:type="spellStart"/>
      <w:r w:rsidRPr="00B248F1">
        <w:rPr>
          <w:rFonts w:ascii="Arial" w:hAnsi="Arial" w:cs="Arial"/>
          <w:lang w:val="mk-MK"/>
        </w:rPr>
        <w:t>Statement</w:t>
      </w:r>
      <w:proofErr w:type="spellEnd"/>
      <w:r w:rsidRPr="00B248F1">
        <w:rPr>
          <w:rFonts w:ascii="Arial" w:hAnsi="Arial" w:cs="Arial"/>
          <w:lang w:val="mk-MK"/>
        </w:rPr>
        <w:t xml:space="preserve"> </w:t>
      </w:r>
      <w:proofErr w:type="spellStart"/>
      <w:r w:rsidRPr="00B248F1">
        <w:rPr>
          <w:rFonts w:ascii="Arial" w:hAnsi="Arial" w:cs="Arial"/>
          <w:lang w:val="mk-MK"/>
        </w:rPr>
        <w:t>of</w:t>
      </w:r>
      <w:proofErr w:type="spellEnd"/>
      <w:r w:rsidRPr="00B248F1">
        <w:rPr>
          <w:rFonts w:ascii="Arial" w:hAnsi="Arial" w:cs="Arial"/>
          <w:lang w:val="mk-MK"/>
        </w:rPr>
        <w:t xml:space="preserve"> </w:t>
      </w:r>
      <w:proofErr w:type="spellStart"/>
      <w:r w:rsidRPr="00B248F1">
        <w:rPr>
          <w:rFonts w:ascii="Arial" w:hAnsi="Arial" w:cs="Arial"/>
          <w:lang w:val="mk-MK"/>
        </w:rPr>
        <w:t>financial</w:t>
      </w:r>
      <w:proofErr w:type="spellEnd"/>
      <w:r w:rsidRPr="00B248F1">
        <w:rPr>
          <w:rFonts w:ascii="Arial" w:hAnsi="Arial" w:cs="Arial"/>
          <w:lang w:val="mk-MK"/>
        </w:rPr>
        <w:t xml:space="preserve"> </w:t>
      </w:r>
      <w:proofErr w:type="spellStart"/>
      <w:r w:rsidRPr="00B248F1">
        <w:rPr>
          <w:rFonts w:ascii="Arial" w:hAnsi="Arial" w:cs="Arial"/>
          <w:lang w:val="mk-MK"/>
        </w:rPr>
        <w:t>position</w:t>
      </w:r>
      <w:proofErr w:type="spellEnd"/>
      <w:r w:rsidRPr="00B248F1">
        <w:rPr>
          <w:rFonts w:ascii="Arial" w:hAnsi="Arial" w:cs="Arial"/>
          <w:lang w:val="mk-MK"/>
        </w:rPr>
        <w:t>.</w:t>
      </w:r>
    </w:p>
    <w:p w14:paraId="14677AAC" w14:textId="60D9CB95" w:rsidR="005F248E" w:rsidRDefault="005F248E" w:rsidP="00815E65">
      <w:pPr>
        <w:pStyle w:val="BodyText"/>
        <w:jc w:val="both"/>
        <w:rPr>
          <w:rFonts w:ascii="Arial" w:hAnsi="Arial" w:cs="Arial"/>
          <w:lang w:val="mk-MK"/>
        </w:rPr>
      </w:pPr>
    </w:p>
    <w:p w14:paraId="1E640EB0" w14:textId="7F943D91" w:rsidR="005F248E" w:rsidRDefault="005F248E" w:rsidP="00815E65">
      <w:pPr>
        <w:pStyle w:val="BodyText"/>
        <w:jc w:val="both"/>
        <w:rPr>
          <w:rFonts w:ascii="Arial" w:hAnsi="Arial" w:cs="Arial"/>
          <w:lang w:val="mk-MK"/>
        </w:rPr>
      </w:pPr>
    </w:p>
    <w:p w14:paraId="750AD663" w14:textId="3BCF97C4" w:rsidR="005F248E" w:rsidRDefault="005F248E" w:rsidP="00815E65">
      <w:pPr>
        <w:pStyle w:val="BodyText"/>
        <w:jc w:val="both"/>
        <w:rPr>
          <w:rFonts w:ascii="Arial" w:hAnsi="Arial" w:cs="Arial"/>
          <w:lang w:val="mk-MK"/>
        </w:rPr>
      </w:pPr>
    </w:p>
    <w:p w14:paraId="25FE012A" w14:textId="1C7F5C43" w:rsidR="005F248E" w:rsidRDefault="005F248E" w:rsidP="00815E65">
      <w:pPr>
        <w:pStyle w:val="BodyText"/>
        <w:jc w:val="both"/>
        <w:rPr>
          <w:rFonts w:ascii="Arial" w:hAnsi="Arial" w:cs="Arial"/>
          <w:lang w:val="mk-MK"/>
        </w:rPr>
      </w:pPr>
    </w:p>
    <w:p w14:paraId="5D032C10" w14:textId="77777777" w:rsidR="005F248E" w:rsidRPr="00CE3053" w:rsidRDefault="005F248E" w:rsidP="00815E65">
      <w:pPr>
        <w:pStyle w:val="BodyText"/>
        <w:jc w:val="both"/>
        <w:rPr>
          <w:rFonts w:ascii="Arial" w:hAnsi="Arial" w:cs="Arial"/>
          <w:lang w:val="mk-MK"/>
        </w:rPr>
      </w:pPr>
    </w:p>
    <w:p w14:paraId="49F40DAA" w14:textId="1D4EDE5D" w:rsidR="009C33E1" w:rsidRPr="009C33E1" w:rsidRDefault="009C33E1" w:rsidP="009C33E1">
      <w:pPr>
        <w:pStyle w:val="ListParagraph"/>
        <w:numPr>
          <w:ilvl w:val="2"/>
          <w:numId w:val="22"/>
        </w:numPr>
        <w:rPr>
          <w:rFonts w:ascii="Arial" w:hAnsi="Arial" w:cs="Arial"/>
          <w:b/>
          <w:color w:val="4F2D7F"/>
          <w:lang w:val="mk-MK"/>
        </w:rPr>
      </w:pPr>
      <w:proofErr w:type="spellStart"/>
      <w:r w:rsidRPr="009C33E1">
        <w:rPr>
          <w:rFonts w:ascii="Arial" w:hAnsi="Arial" w:cs="Arial"/>
          <w:b/>
          <w:color w:val="4F2D7F"/>
          <w:lang w:val="mk-MK"/>
        </w:rPr>
        <w:lastRenderedPageBreak/>
        <w:t>Financial</w:t>
      </w:r>
      <w:proofErr w:type="spellEnd"/>
      <w:r w:rsidRPr="009C33E1">
        <w:rPr>
          <w:rFonts w:ascii="Arial" w:hAnsi="Arial" w:cs="Arial"/>
          <w:b/>
          <w:color w:val="4F2D7F"/>
          <w:lang w:val="mk-MK"/>
        </w:rPr>
        <w:t xml:space="preserve"> </w:t>
      </w:r>
      <w:proofErr w:type="spellStart"/>
      <w:r w:rsidRPr="009C33E1">
        <w:rPr>
          <w:rFonts w:ascii="Arial" w:hAnsi="Arial" w:cs="Arial"/>
          <w:b/>
          <w:color w:val="4F2D7F"/>
          <w:lang w:val="mk-MK"/>
        </w:rPr>
        <w:t>instruments</w:t>
      </w:r>
      <w:proofErr w:type="spellEnd"/>
      <w:r w:rsidRPr="009C33E1">
        <w:rPr>
          <w:rFonts w:ascii="Arial" w:hAnsi="Arial" w:cs="Arial"/>
          <w:b/>
          <w:color w:val="4F2D7F"/>
          <w:lang w:val="mk-MK"/>
        </w:rPr>
        <w:t xml:space="preserve"> </w:t>
      </w:r>
      <w:proofErr w:type="spellStart"/>
      <w:r w:rsidRPr="009C33E1">
        <w:rPr>
          <w:rFonts w:ascii="Arial" w:hAnsi="Arial" w:cs="Arial"/>
          <w:b/>
          <w:color w:val="4F2D7F"/>
          <w:lang w:val="mk-MK"/>
        </w:rPr>
        <w:t>that</w:t>
      </w:r>
      <w:proofErr w:type="spellEnd"/>
      <w:r w:rsidRPr="009C33E1">
        <w:rPr>
          <w:rFonts w:ascii="Arial" w:hAnsi="Arial" w:cs="Arial"/>
          <w:b/>
          <w:color w:val="4F2D7F"/>
          <w:lang w:val="mk-MK"/>
        </w:rPr>
        <w:t xml:space="preserve"> </w:t>
      </w:r>
      <w:proofErr w:type="spellStart"/>
      <w:r w:rsidRPr="009C33E1">
        <w:rPr>
          <w:rFonts w:ascii="Arial" w:hAnsi="Arial" w:cs="Arial"/>
          <w:b/>
          <w:color w:val="4F2D7F"/>
          <w:lang w:val="mk-MK"/>
        </w:rPr>
        <w:t>are</w:t>
      </w:r>
      <w:proofErr w:type="spellEnd"/>
      <w:r w:rsidRPr="009C33E1">
        <w:rPr>
          <w:rFonts w:ascii="Arial" w:hAnsi="Arial" w:cs="Arial"/>
          <w:b/>
          <w:color w:val="4F2D7F"/>
          <w:lang w:val="mk-MK"/>
        </w:rPr>
        <w:t xml:space="preserve"> </w:t>
      </w:r>
      <w:proofErr w:type="spellStart"/>
      <w:r w:rsidRPr="009C33E1">
        <w:rPr>
          <w:rFonts w:ascii="Arial" w:hAnsi="Arial" w:cs="Arial"/>
          <w:b/>
          <w:color w:val="4F2D7F"/>
          <w:lang w:val="mk-MK"/>
        </w:rPr>
        <w:t>not</w:t>
      </w:r>
      <w:proofErr w:type="spellEnd"/>
      <w:r w:rsidRPr="009C33E1">
        <w:rPr>
          <w:rFonts w:ascii="Arial" w:hAnsi="Arial" w:cs="Arial"/>
          <w:b/>
          <w:color w:val="4F2D7F"/>
          <w:lang w:val="mk-MK"/>
        </w:rPr>
        <w:t xml:space="preserve"> </w:t>
      </w:r>
      <w:proofErr w:type="spellStart"/>
      <w:r w:rsidRPr="009C33E1">
        <w:rPr>
          <w:rFonts w:ascii="Arial" w:hAnsi="Arial" w:cs="Arial"/>
          <w:b/>
          <w:color w:val="4F2D7F"/>
          <w:lang w:val="mk-MK"/>
        </w:rPr>
        <w:t>recognised</w:t>
      </w:r>
      <w:proofErr w:type="spellEnd"/>
      <w:r w:rsidRPr="009C33E1">
        <w:rPr>
          <w:rFonts w:ascii="Arial" w:hAnsi="Arial" w:cs="Arial"/>
          <w:b/>
          <w:color w:val="4F2D7F"/>
          <w:lang w:val="mk-MK"/>
        </w:rPr>
        <w:t xml:space="preserve"> </w:t>
      </w:r>
      <w:proofErr w:type="spellStart"/>
      <w:r w:rsidRPr="009C33E1">
        <w:rPr>
          <w:rFonts w:ascii="Arial" w:hAnsi="Arial" w:cs="Arial"/>
          <w:b/>
          <w:color w:val="4F2D7F"/>
          <w:lang w:val="mk-MK"/>
        </w:rPr>
        <w:t>at</w:t>
      </w:r>
      <w:proofErr w:type="spellEnd"/>
      <w:r w:rsidRPr="009C33E1">
        <w:rPr>
          <w:rFonts w:ascii="Arial" w:hAnsi="Arial" w:cs="Arial"/>
          <w:b/>
          <w:color w:val="4F2D7F"/>
          <w:lang w:val="mk-MK"/>
        </w:rPr>
        <w:t xml:space="preserve"> </w:t>
      </w:r>
      <w:proofErr w:type="spellStart"/>
      <w:r w:rsidRPr="009C33E1">
        <w:rPr>
          <w:rFonts w:ascii="Arial" w:hAnsi="Arial" w:cs="Arial"/>
          <w:b/>
          <w:color w:val="4F2D7F"/>
          <w:lang w:val="mk-MK"/>
        </w:rPr>
        <w:t>fair</w:t>
      </w:r>
      <w:proofErr w:type="spellEnd"/>
      <w:r w:rsidRPr="009C33E1">
        <w:rPr>
          <w:rFonts w:ascii="Arial" w:hAnsi="Arial" w:cs="Arial"/>
          <w:b/>
          <w:color w:val="4F2D7F"/>
          <w:lang w:val="mk-MK"/>
        </w:rPr>
        <w:t xml:space="preserve"> </w:t>
      </w:r>
      <w:proofErr w:type="spellStart"/>
      <w:r w:rsidRPr="009C33E1">
        <w:rPr>
          <w:rFonts w:ascii="Arial" w:hAnsi="Arial" w:cs="Arial"/>
          <w:b/>
          <w:color w:val="4F2D7F"/>
          <w:lang w:val="mk-MK"/>
        </w:rPr>
        <w:t>value</w:t>
      </w:r>
      <w:proofErr w:type="spellEnd"/>
    </w:p>
    <w:p w14:paraId="2C338E5F" w14:textId="32BD05C8" w:rsidR="00815E65" w:rsidRPr="009C33E1" w:rsidRDefault="00815E65" w:rsidP="009C33E1">
      <w:pPr>
        <w:pStyle w:val="ListParagraph"/>
        <w:rPr>
          <w:rFonts w:ascii="Arial" w:hAnsi="Arial" w:cs="Arial"/>
          <w:b/>
          <w:color w:val="4F2D7F"/>
          <w:lang w:val="mk-MK"/>
        </w:rPr>
      </w:pPr>
    </w:p>
    <w:p w14:paraId="50E98F81" w14:textId="14F05946" w:rsidR="00815E65" w:rsidRPr="00CE3053" w:rsidRDefault="00D61E84" w:rsidP="0025712C">
      <w:pPr>
        <w:pStyle w:val="BodyText"/>
        <w:spacing w:afterLines="100" w:after="240"/>
        <w:jc w:val="both"/>
        <w:rPr>
          <w:rFonts w:ascii="Arial" w:hAnsi="Arial" w:cs="Arial"/>
          <w:lang w:val="mk-MK"/>
        </w:rPr>
      </w:pPr>
      <w:proofErr w:type="spellStart"/>
      <w:r w:rsidRPr="00D61E84">
        <w:rPr>
          <w:rFonts w:ascii="Arial" w:hAnsi="Arial" w:cs="Arial"/>
          <w:lang w:val="mk-MK"/>
        </w:rPr>
        <w:t>The</w:t>
      </w:r>
      <w:proofErr w:type="spellEnd"/>
      <w:r w:rsidRPr="00D61E84">
        <w:rPr>
          <w:rFonts w:ascii="Arial" w:hAnsi="Arial" w:cs="Arial"/>
          <w:lang w:val="mk-MK"/>
        </w:rPr>
        <w:t xml:space="preserve"> </w:t>
      </w:r>
      <w:proofErr w:type="spellStart"/>
      <w:r w:rsidRPr="00D61E84">
        <w:rPr>
          <w:rFonts w:ascii="Arial" w:hAnsi="Arial" w:cs="Arial"/>
          <w:lang w:val="mk-MK"/>
        </w:rPr>
        <w:t>difference</w:t>
      </w:r>
      <w:proofErr w:type="spellEnd"/>
      <w:r w:rsidRPr="00D61E84">
        <w:rPr>
          <w:rFonts w:ascii="Arial" w:hAnsi="Arial" w:cs="Arial"/>
          <w:lang w:val="mk-MK"/>
        </w:rPr>
        <w:t xml:space="preserve"> </w:t>
      </w:r>
      <w:proofErr w:type="spellStart"/>
      <w:r w:rsidRPr="00D61E84">
        <w:rPr>
          <w:rFonts w:ascii="Arial" w:hAnsi="Arial" w:cs="Arial"/>
          <w:lang w:val="mk-MK"/>
        </w:rPr>
        <w:t>between</w:t>
      </w:r>
      <w:proofErr w:type="spellEnd"/>
      <w:r w:rsidRPr="00D61E84">
        <w:rPr>
          <w:rFonts w:ascii="Arial" w:hAnsi="Arial" w:cs="Arial"/>
          <w:lang w:val="mk-MK"/>
        </w:rPr>
        <w:t xml:space="preserve"> </w:t>
      </w:r>
      <w:proofErr w:type="spellStart"/>
      <w:r w:rsidRPr="00D61E84">
        <w:rPr>
          <w:rFonts w:ascii="Arial" w:hAnsi="Arial" w:cs="Arial"/>
          <w:lang w:val="mk-MK"/>
        </w:rPr>
        <w:t>the</w:t>
      </w:r>
      <w:proofErr w:type="spellEnd"/>
      <w:r w:rsidRPr="00D61E84">
        <w:rPr>
          <w:rFonts w:ascii="Arial" w:hAnsi="Arial" w:cs="Arial"/>
          <w:lang w:val="mk-MK"/>
        </w:rPr>
        <w:t xml:space="preserve"> </w:t>
      </w:r>
      <w:proofErr w:type="spellStart"/>
      <w:r w:rsidRPr="00D61E84">
        <w:rPr>
          <w:rFonts w:ascii="Arial" w:hAnsi="Arial" w:cs="Arial"/>
          <w:lang w:val="mk-MK"/>
        </w:rPr>
        <w:t>carrying</w:t>
      </w:r>
      <w:proofErr w:type="spellEnd"/>
      <w:r w:rsidRPr="00D61E84">
        <w:rPr>
          <w:rFonts w:ascii="Arial" w:hAnsi="Arial" w:cs="Arial"/>
          <w:lang w:val="mk-MK"/>
        </w:rPr>
        <w:t xml:space="preserve"> </w:t>
      </w:r>
      <w:proofErr w:type="spellStart"/>
      <w:r w:rsidRPr="00D61E84">
        <w:rPr>
          <w:rFonts w:ascii="Arial" w:hAnsi="Arial" w:cs="Arial"/>
          <w:lang w:val="mk-MK"/>
        </w:rPr>
        <w:t>value</w:t>
      </w:r>
      <w:proofErr w:type="spellEnd"/>
      <w:r w:rsidRPr="00D61E84">
        <w:rPr>
          <w:rFonts w:ascii="Arial" w:hAnsi="Arial" w:cs="Arial"/>
          <w:lang w:val="mk-MK"/>
        </w:rPr>
        <w:t xml:space="preserve"> </w:t>
      </w:r>
      <w:proofErr w:type="spellStart"/>
      <w:r w:rsidRPr="00D61E84">
        <w:rPr>
          <w:rFonts w:ascii="Arial" w:hAnsi="Arial" w:cs="Arial"/>
          <w:lang w:val="mk-MK"/>
        </w:rPr>
        <w:t>and</w:t>
      </w:r>
      <w:proofErr w:type="spellEnd"/>
      <w:r w:rsidRPr="00D61E84">
        <w:rPr>
          <w:rFonts w:ascii="Arial" w:hAnsi="Arial" w:cs="Arial"/>
          <w:lang w:val="mk-MK"/>
        </w:rPr>
        <w:t xml:space="preserve"> </w:t>
      </w:r>
      <w:proofErr w:type="spellStart"/>
      <w:r w:rsidRPr="00D61E84">
        <w:rPr>
          <w:rFonts w:ascii="Arial" w:hAnsi="Arial" w:cs="Arial"/>
          <w:lang w:val="mk-MK"/>
        </w:rPr>
        <w:t>the</w:t>
      </w:r>
      <w:proofErr w:type="spellEnd"/>
      <w:r w:rsidRPr="00D61E84">
        <w:rPr>
          <w:rFonts w:ascii="Arial" w:hAnsi="Arial" w:cs="Arial"/>
          <w:lang w:val="mk-MK"/>
        </w:rPr>
        <w:t xml:space="preserve"> </w:t>
      </w:r>
      <w:proofErr w:type="spellStart"/>
      <w:r w:rsidRPr="00D61E84">
        <w:rPr>
          <w:rFonts w:ascii="Arial" w:hAnsi="Arial" w:cs="Arial"/>
          <w:lang w:val="mk-MK"/>
        </w:rPr>
        <w:t>fair</w:t>
      </w:r>
      <w:proofErr w:type="spellEnd"/>
      <w:r w:rsidRPr="00D61E84">
        <w:rPr>
          <w:rFonts w:ascii="Arial" w:hAnsi="Arial" w:cs="Arial"/>
          <w:lang w:val="mk-MK"/>
        </w:rPr>
        <w:t xml:space="preserve"> </w:t>
      </w:r>
      <w:proofErr w:type="spellStart"/>
      <w:r w:rsidRPr="00D61E84">
        <w:rPr>
          <w:rFonts w:ascii="Arial" w:hAnsi="Arial" w:cs="Arial"/>
          <w:lang w:val="mk-MK"/>
        </w:rPr>
        <w:t>value</w:t>
      </w:r>
      <w:proofErr w:type="spellEnd"/>
      <w:r w:rsidRPr="00D61E84">
        <w:rPr>
          <w:rFonts w:ascii="Arial" w:hAnsi="Arial" w:cs="Arial"/>
          <w:lang w:val="mk-MK"/>
        </w:rPr>
        <w:t xml:space="preserve"> </w:t>
      </w:r>
      <w:proofErr w:type="spellStart"/>
      <w:r w:rsidRPr="00D61E84">
        <w:rPr>
          <w:rFonts w:ascii="Arial" w:hAnsi="Arial" w:cs="Arial"/>
          <w:lang w:val="mk-MK"/>
        </w:rPr>
        <w:t>for</w:t>
      </w:r>
      <w:proofErr w:type="spellEnd"/>
      <w:r w:rsidRPr="00D61E84">
        <w:rPr>
          <w:rFonts w:ascii="Arial" w:hAnsi="Arial" w:cs="Arial"/>
          <w:lang w:val="mk-MK"/>
        </w:rPr>
        <w:t xml:space="preserve"> </w:t>
      </w:r>
      <w:proofErr w:type="spellStart"/>
      <w:r w:rsidRPr="00D61E84">
        <w:rPr>
          <w:rFonts w:ascii="Arial" w:hAnsi="Arial" w:cs="Arial"/>
          <w:lang w:val="mk-MK"/>
        </w:rPr>
        <w:t>the</w:t>
      </w:r>
      <w:proofErr w:type="spellEnd"/>
      <w:r w:rsidRPr="00D61E84">
        <w:rPr>
          <w:rFonts w:ascii="Arial" w:hAnsi="Arial" w:cs="Arial"/>
          <w:lang w:val="mk-MK"/>
        </w:rPr>
        <w:t xml:space="preserve"> </w:t>
      </w:r>
      <w:proofErr w:type="spellStart"/>
      <w:r w:rsidRPr="00D61E84">
        <w:rPr>
          <w:rFonts w:ascii="Arial" w:hAnsi="Arial" w:cs="Arial"/>
          <w:lang w:val="mk-MK"/>
        </w:rPr>
        <w:t>financial</w:t>
      </w:r>
      <w:proofErr w:type="spellEnd"/>
      <w:r w:rsidRPr="00D61E84">
        <w:rPr>
          <w:rFonts w:ascii="Arial" w:hAnsi="Arial" w:cs="Arial"/>
          <w:lang w:val="mk-MK"/>
        </w:rPr>
        <w:t xml:space="preserve"> </w:t>
      </w:r>
      <w:proofErr w:type="spellStart"/>
      <w:r w:rsidRPr="00D61E84">
        <w:rPr>
          <w:rFonts w:ascii="Arial" w:hAnsi="Arial" w:cs="Arial"/>
          <w:lang w:val="mk-MK"/>
        </w:rPr>
        <w:t>assets</w:t>
      </w:r>
      <w:proofErr w:type="spellEnd"/>
      <w:r w:rsidRPr="00D61E84">
        <w:rPr>
          <w:rFonts w:ascii="Arial" w:hAnsi="Arial" w:cs="Arial"/>
          <w:lang w:val="mk-MK"/>
        </w:rPr>
        <w:t xml:space="preserve"> </w:t>
      </w:r>
      <w:proofErr w:type="spellStart"/>
      <w:r w:rsidRPr="00D61E84">
        <w:rPr>
          <w:rFonts w:ascii="Arial" w:hAnsi="Arial" w:cs="Arial"/>
          <w:lang w:val="mk-MK"/>
        </w:rPr>
        <w:t>which</w:t>
      </w:r>
      <w:proofErr w:type="spellEnd"/>
      <w:r w:rsidRPr="00D61E84">
        <w:rPr>
          <w:rFonts w:ascii="Arial" w:hAnsi="Arial" w:cs="Arial"/>
          <w:lang w:val="mk-MK"/>
        </w:rPr>
        <w:t xml:space="preserve"> </w:t>
      </w:r>
      <w:proofErr w:type="spellStart"/>
      <w:r w:rsidRPr="00D61E84">
        <w:rPr>
          <w:rFonts w:ascii="Arial" w:hAnsi="Arial" w:cs="Arial"/>
          <w:lang w:val="mk-MK"/>
        </w:rPr>
        <w:t>are</w:t>
      </w:r>
      <w:proofErr w:type="spellEnd"/>
      <w:r w:rsidRPr="00D61E84">
        <w:rPr>
          <w:rFonts w:ascii="Arial" w:hAnsi="Arial" w:cs="Arial"/>
          <w:lang w:val="mk-MK"/>
        </w:rPr>
        <w:t xml:space="preserve"> </w:t>
      </w:r>
      <w:proofErr w:type="spellStart"/>
      <w:r w:rsidRPr="00D61E84">
        <w:rPr>
          <w:rFonts w:ascii="Arial" w:hAnsi="Arial" w:cs="Arial"/>
          <w:lang w:val="mk-MK"/>
        </w:rPr>
        <w:t>not</w:t>
      </w:r>
      <w:proofErr w:type="spellEnd"/>
      <w:r w:rsidRPr="00D61E84">
        <w:rPr>
          <w:rFonts w:ascii="Arial" w:hAnsi="Arial" w:cs="Arial"/>
          <w:lang w:val="mk-MK"/>
        </w:rPr>
        <w:t xml:space="preserve"> </w:t>
      </w:r>
      <w:proofErr w:type="spellStart"/>
      <w:r w:rsidRPr="00D61E84">
        <w:rPr>
          <w:rFonts w:ascii="Arial" w:hAnsi="Arial" w:cs="Arial"/>
          <w:lang w:val="mk-MK"/>
        </w:rPr>
        <w:t>recorded</w:t>
      </w:r>
      <w:proofErr w:type="spellEnd"/>
      <w:r w:rsidRPr="00D61E84">
        <w:rPr>
          <w:rFonts w:ascii="Arial" w:hAnsi="Arial" w:cs="Arial"/>
          <w:lang w:val="mk-MK"/>
        </w:rPr>
        <w:t xml:space="preserve"> </w:t>
      </w:r>
      <w:proofErr w:type="spellStart"/>
      <w:r w:rsidRPr="00D61E84">
        <w:rPr>
          <w:rFonts w:ascii="Arial" w:hAnsi="Arial" w:cs="Arial"/>
          <w:lang w:val="mk-MK"/>
        </w:rPr>
        <w:t>in</w:t>
      </w:r>
      <w:proofErr w:type="spellEnd"/>
      <w:r w:rsidRPr="00D61E84">
        <w:rPr>
          <w:rFonts w:ascii="Arial" w:hAnsi="Arial" w:cs="Arial"/>
          <w:lang w:val="mk-MK"/>
        </w:rPr>
        <w:t xml:space="preserve"> </w:t>
      </w:r>
      <w:proofErr w:type="spellStart"/>
      <w:r w:rsidRPr="00D61E84">
        <w:rPr>
          <w:rFonts w:ascii="Arial" w:hAnsi="Arial" w:cs="Arial"/>
          <w:lang w:val="mk-MK"/>
        </w:rPr>
        <w:t>the</w:t>
      </w:r>
      <w:proofErr w:type="spellEnd"/>
      <w:r w:rsidRPr="00D61E84">
        <w:rPr>
          <w:rFonts w:ascii="Arial" w:hAnsi="Arial" w:cs="Arial"/>
          <w:lang w:val="mk-MK"/>
        </w:rPr>
        <w:t xml:space="preserve"> </w:t>
      </w:r>
      <w:proofErr w:type="spellStart"/>
      <w:r w:rsidRPr="00D61E84">
        <w:rPr>
          <w:rFonts w:ascii="Arial" w:hAnsi="Arial" w:cs="Arial"/>
          <w:lang w:val="mk-MK"/>
        </w:rPr>
        <w:t>Statement</w:t>
      </w:r>
      <w:proofErr w:type="spellEnd"/>
      <w:r w:rsidRPr="00D61E84">
        <w:rPr>
          <w:rFonts w:ascii="Arial" w:hAnsi="Arial" w:cs="Arial"/>
          <w:lang w:val="mk-MK"/>
        </w:rPr>
        <w:t xml:space="preserve"> </w:t>
      </w:r>
      <w:proofErr w:type="spellStart"/>
      <w:r w:rsidRPr="00D61E84">
        <w:rPr>
          <w:rFonts w:ascii="Arial" w:hAnsi="Arial" w:cs="Arial"/>
          <w:lang w:val="mk-MK"/>
        </w:rPr>
        <w:t>of</w:t>
      </w:r>
      <w:proofErr w:type="spellEnd"/>
      <w:r w:rsidRPr="00D61E84">
        <w:rPr>
          <w:rFonts w:ascii="Arial" w:hAnsi="Arial" w:cs="Arial"/>
          <w:lang w:val="mk-MK"/>
        </w:rPr>
        <w:t xml:space="preserve"> </w:t>
      </w:r>
      <w:proofErr w:type="spellStart"/>
      <w:r w:rsidRPr="00D61E84">
        <w:rPr>
          <w:rFonts w:ascii="Arial" w:hAnsi="Arial" w:cs="Arial"/>
          <w:lang w:val="mk-MK"/>
        </w:rPr>
        <w:t>financial</w:t>
      </w:r>
      <w:proofErr w:type="spellEnd"/>
      <w:r w:rsidRPr="00D61E84">
        <w:rPr>
          <w:rFonts w:ascii="Arial" w:hAnsi="Arial" w:cs="Arial"/>
          <w:lang w:val="mk-MK"/>
        </w:rPr>
        <w:t xml:space="preserve"> </w:t>
      </w:r>
      <w:proofErr w:type="spellStart"/>
      <w:r w:rsidRPr="00D61E84">
        <w:rPr>
          <w:rFonts w:ascii="Arial" w:hAnsi="Arial" w:cs="Arial"/>
          <w:lang w:val="mk-MK"/>
        </w:rPr>
        <w:t>position</w:t>
      </w:r>
      <w:proofErr w:type="spellEnd"/>
      <w:r w:rsidRPr="00D61E84">
        <w:rPr>
          <w:rFonts w:ascii="Arial" w:hAnsi="Arial" w:cs="Arial"/>
          <w:lang w:val="mk-MK"/>
        </w:rPr>
        <w:t xml:space="preserve"> </w:t>
      </w:r>
      <w:proofErr w:type="spellStart"/>
      <w:r w:rsidRPr="00D61E84">
        <w:rPr>
          <w:rFonts w:ascii="Arial" w:hAnsi="Arial" w:cs="Arial"/>
          <w:lang w:val="mk-MK"/>
        </w:rPr>
        <w:t>at</w:t>
      </w:r>
      <w:proofErr w:type="spellEnd"/>
      <w:r w:rsidRPr="00D61E84">
        <w:rPr>
          <w:rFonts w:ascii="Arial" w:hAnsi="Arial" w:cs="Arial"/>
          <w:lang w:val="mk-MK"/>
        </w:rPr>
        <w:t xml:space="preserve"> </w:t>
      </w:r>
      <w:proofErr w:type="spellStart"/>
      <w:r w:rsidRPr="00D61E84">
        <w:rPr>
          <w:rFonts w:ascii="Arial" w:hAnsi="Arial" w:cs="Arial"/>
          <w:lang w:val="mk-MK"/>
        </w:rPr>
        <w:t>fair</w:t>
      </w:r>
      <w:proofErr w:type="spellEnd"/>
      <w:r w:rsidRPr="00D61E84">
        <w:rPr>
          <w:rFonts w:ascii="Arial" w:hAnsi="Arial" w:cs="Arial"/>
          <w:lang w:val="mk-MK"/>
        </w:rPr>
        <w:t xml:space="preserve"> </w:t>
      </w:r>
      <w:proofErr w:type="spellStart"/>
      <w:r w:rsidRPr="00D61E84">
        <w:rPr>
          <w:rFonts w:ascii="Arial" w:hAnsi="Arial" w:cs="Arial"/>
          <w:lang w:val="mk-MK"/>
        </w:rPr>
        <w:t>value</w:t>
      </w:r>
      <w:proofErr w:type="spellEnd"/>
      <w:r w:rsidRPr="00D61E84">
        <w:rPr>
          <w:rFonts w:ascii="Arial" w:hAnsi="Arial" w:cs="Arial"/>
          <w:lang w:val="mk-MK"/>
        </w:rPr>
        <w:t xml:space="preserve">, </w:t>
      </w:r>
      <w:proofErr w:type="spellStart"/>
      <w:r w:rsidRPr="00D61E84">
        <w:rPr>
          <w:rFonts w:ascii="Arial" w:hAnsi="Arial" w:cs="Arial"/>
          <w:lang w:val="mk-MK"/>
        </w:rPr>
        <w:t>is</w:t>
      </w:r>
      <w:proofErr w:type="spellEnd"/>
      <w:r w:rsidRPr="00D61E84">
        <w:rPr>
          <w:rFonts w:ascii="Arial" w:hAnsi="Arial" w:cs="Arial"/>
          <w:lang w:val="mk-MK"/>
        </w:rPr>
        <w:t xml:space="preserve"> </w:t>
      </w:r>
      <w:proofErr w:type="spellStart"/>
      <w:r w:rsidRPr="00D61E84">
        <w:rPr>
          <w:rFonts w:ascii="Arial" w:hAnsi="Arial" w:cs="Arial"/>
          <w:lang w:val="mk-MK"/>
        </w:rPr>
        <w:t>given</w:t>
      </w:r>
      <w:proofErr w:type="spellEnd"/>
      <w:r w:rsidRPr="00D61E84">
        <w:rPr>
          <w:rFonts w:ascii="Arial" w:hAnsi="Arial" w:cs="Arial"/>
          <w:lang w:val="mk-MK"/>
        </w:rPr>
        <w:t xml:space="preserve"> </w:t>
      </w:r>
      <w:proofErr w:type="spellStart"/>
      <w:r w:rsidRPr="00D61E84">
        <w:rPr>
          <w:rFonts w:ascii="Arial" w:hAnsi="Arial" w:cs="Arial"/>
          <w:lang w:val="mk-MK"/>
        </w:rPr>
        <w:t>in</w:t>
      </w:r>
      <w:proofErr w:type="spellEnd"/>
      <w:r w:rsidRPr="00D61E84">
        <w:rPr>
          <w:rFonts w:ascii="Arial" w:hAnsi="Arial" w:cs="Arial"/>
          <w:lang w:val="mk-MK"/>
        </w:rPr>
        <w:t xml:space="preserve"> </w:t>
      </w:r>
      <w:proofErr w:type="spellStart"/>
      <w:r w:rsidRPr="00D61E84">
        <w:rPr>
          <w:rFonts w:ascii="Arial" w:hAnsi="Arial" w:cs="Arial"/>
          <w:lang w:val="mk-MK"/>
        </w:rPr>
        <w:t>the</w:t>
      </w:r>
      <w:proofErr w:type="spellEnd"/>
      <w:r w:rsidRPr="00D61E84">
        <w:rPr>
          <w:rFonts w:ascii="Arial" w:hAnsi="Arial" w:cs="Arial"/>
          <w:lang w:val="mk-MK"/>
        </w:rPr>
        <w:t xml:space="preserve"> </w:t>
      </w:r>
      <w:proofErr w:type="spellStart"/>
      <w:r w:rsidRPr="00D61E84">
        <w:rPr>
          <w:rFonts w:ascii="Arial" w:hAnsi="Arial" w:cs="Arial"/>
          <w:lang w:val="mk-MK"/>
        </w:rPr>
        <w:t>table</w:t>
      </w:r>
      <w:proofErr w:type="spellEnd"/>
      <w:r w:rsidRPr="00D61E84">
        <w:rPr>
          <w:rFonts w:ascii="Arial" w:hAnsi="Arial" w:cs="Arial"/>
          <w:lang w:val="mk-MK"/>
        </w:rPr>
        <w:t xml:space="preserve"> </w:t>
      </w:r>
      <w:proofErr w:type="spellStart"/>
      <w:r w:rsidRPr="00D61E84">
        <w:rPr>
          <w:rFonts w:ascii="Arial" w:hAnsi="Arial" w:cs="Arial"/>
          <w:lang w:val="mk-MK"/>
        </w:rPr>
        <w:t>below</w:t>
      </w:r>
      <w:proofErr w:type="spellEnd"/>
      <w:r w:rsidRPr="00D61E84">
        <w:rPr>
          <w:rFonts w:ascii="Arial" w:hAnsi="Arial" w:cs="Arial"/>
          <w:lang w:val="mk-MK"/>
        </w:rPr>
        <w:t>:</w:t>
      </w:r>
    </w:p>
    <w:tbl>
      <w:tblPr>
        <w:tblW w:w="8640" w:type="dxa"/>
        <w:tblInd w:w="86" w:type="dxa"/>
        <w:tblLayout w:type="fixed"/>
        <w:tblCellMar>
          <w:left w:w="30" w:type="dxa"/>
          <w:right w:w="30" w:type="dxa"/>
        </w:tblCellMar>
        <w:tblLook w:val="0000" w:firstRow="0" w:lastRow="0" w:firstColumn="0" w:lastColumn="0" w:noHBand="0" w:noVBand="0"/>
      </w:tblPr>
      <w:tblGrid>
        <w:gridCol w:w="4264"/>
        <w:gridCol w:w="1094"/>
        <w:gridCol w:w="1094"/>
        <w:gridCol w:w="1094"/>
        <w:gridCol w:w="1094"/>
      </w:tblGrid>
      <w:tr w:rsidR="00815E65" w:rsidRPr="001E6526" w14:paraId="63CE551C" w14:textId="77777777" w:rsidTr="00815E65">
        <w:trPr>
          <w:trHeight w:val="216"/>
        </w:trPr>
        <w:tc>
          <w:tcPr>
            <w:tcW w:w="2468" w:type="pct"/>
            <w:vAlign w:val="bottom"/>
          </w:tcPr>
          <w:p w14:paraId="2B331C29" w14:textId="77777777" w:rsidR="00815E65" w:rsidRPr="00CE3053" w:rsidRDefault="00815E65" w:rsidP="006E26B2">
            <w:pPr>
              <w:pStyle w:val="TableText"/>
              <w:spacing w:before="0" w:after="0"/>
              <w:jc w:val="both"/>
              <w:rPr>
                <w:rFonts w:ascii="Arial" w:hAnsi="Arial"/>
                <w:sz w:val="18"/>
                <w:lang w:val="mk-MK"/>
              </w:rPr>
            </w:pPr>
          </w:p>
        </w:tc>
        <w:tc>
          <w:tcPr>
            <w:tcW w:w="1266" w:type="pct"/>
            <w:gridSpan w:val="2"/>
            <w:vAlign w:val="bottom"/>
          </w:tcPr>
          <w:p w14:paraId="62CC11A1" w14:textId="3A1A3586" w:rsidR="00815E65" w:rsidRPr="005D4C04" w:rsidRDefault="005D4C04" w:rsidP="006E26B2">
            <w:pPr>
              <w:pStyle w:val="TableText"/>
              <w:spacing w:before="0" w:after="0"/>
              <w:jc w:val="right"/>
              <w:rPr>
                <w:rFonts w:ascii="Arial" w:hAnsi="Arial"/>
                <w:bCs/>
                <w:sz w:val="18"/>
                <w:lang w:val="en-US"/>
              </w:rPr>
            </w:pPr>
            <w:r>
              <w:rPr>
                <w:rFonts w:ascii="Arial" w:hAnsi="Arial"/>
                <w:bCs/>
                <w:sz w:val="18"/>
                <w:lang w:val="en-US"/>
              </w:rPr>
              <w:t>Carrying Values</w:t>
            </w:r>
          </w:p>
        </w:tc>
        <w:tc>
          <w:tcPr>
            <w:tcW w:w="1266" w:type="pct"/>
            <w:gridSpan w:val="2"/>
            <w:vAlign w:val="bottom"/>
          </w:tcPr>
          <w:p w14:paraId="49CD4B4B" w14:textId="34183754" w:rsidR="00815E65" w:rsidRPr="005D4C04" w:rsidRDefault="005D4C04" w:rsidP="006E26B2">
            <w:pPr>
              <w:pStyle w:val="TableText"/>
              <w:spacing w:before="0" w:after="0"/>
              <w:jc w:val="right"/>
              <w:rPr>
                <w:rFonts w:ascii="Arial" w:hAnsi="Arial"/>
                <w:bCs/>
                <w:sz w:val="18"/>
                <w:lang w:val="en-US"/>
              </w:rPr>
            </w:pPr>
            <w:r>
              <w:rPr>
                <w:rFonts w:ascii="Arial" w:hAnsi="Arial"/>
                <w:bCs/>
                <w:sz w:val="18"/>
                <w:lang w:val="en-US"/>
              </w:rPr>
              <w:t>Fair Value</w:t>
            </w:r>
          </w:p>
        </w:tc>
      </w:tr>
      <w:tr w:rsidR="00F30EF8" w:rsidRPr="001E6526" w14:paraId="233FC59C" w14:textId="77777777" w:rsidTr="00F30EF8">
        <w:trPr>
          <w:trHeight w:val="216"/>
        </w:trPr>
        <w:tc>
          <w:tcPr>
            <w:tcW w:w="2468" w:type="pct"/>
            <w:vAlign w:val="bottom"/>
          </w:tcPr>
          <w:p w14:paraId="4437B031" w14:textId="77777777" w:rsidR="00F30EF8" w:rsidRPr="00CE3053" w:rsidRDefault="00F30EF8" w:rsidP="006E26B2">
            <w:pPr>
              <w:pStyle w:val="TableText"/>
              <w:spacing w:before="0" w:after="0"/>
              <w:jc w:val="both"/>
              <w:rPr>
                <w:rFonts w:ascii="Arial" w:hAnsi="Arial"/>
                <w:sz w:val="18"/>
                <w:lang w:val="mk-MK"/>
              </w:rPr>
            </w:pPr>
          </w:p>
        </w:tc>
        <w:tc>
          <w:tcPr>
            <w:tcW w:w="2532" w:type="pct"/>
            <w:gridSpan w:val="4"/>
            <w:vAlign w:val="bottom"/>
          </w:tcPr>
          <w:p w14:paraId="739B2DFA" w14:textId="3593493E" w:rsidR="00F30EF8" w:rsidRPr="00CE3053" w:rsidRDefault="00F30EF8" w:rsidP="006E26B2">
            <w:pPr>
              <w:pStyle w:val="TableText"/>
              <w:spacing w:before="0" w:after="0"/>
              <w:jc w:val="right"/>
              <w:rPr>
                <w:rFonts w:ascii="Arial" w:hAnsi="Arial"/>
                <w:bCs/>
                <w:sz w:val="18"/>
                <w:lang w:val="mk-MK"/>
              </w:rPr>
            </w:pPr>
            <w:r w:rsidRPr="00CE3053">
              <w:rPr>
                <w:rFonts w:ascii="Arial" w:hAnsi="Arial"/>
                <w:bCs/>
                <w:sz w:val="18"/>
                <w:lang w:val="mk-MK"/>
              </w:rPr>
              <w:t xml:space="preserve">(000 </w:t>
            </w:r>
            <w:proofErr w:type="spellStart"/>
            <w:r w:rsidR="005D4C04">
              <w:rPr>
                <w:rFonts w:ascii="Arial" w:hAnsi="Arial"/>
                <w:bCs/>
                <w:sz w:val="18"/>
                <w:lang w:val="en-US"/>
              </w:rPr>
              <w:t>mkd</w:t>
            </w:r>
            <w:proofErr w:type="spellEnd"/>
            <w:r w:rsidRPr="00CE3053">
              <w:rPr>
                <w:rFonts w:ascii="Arial" w:hAnsi="Arial"/>
                <w:bCs/>
                <w:sz w:val="18"/>
                <w:lang w:val="mk-MK"/>
              </w:rPr>
              <w:t>)</w:t>
            </w:r>
          </w:p>
        </w:tc>
      </w:tr>
      <w:tr w:rsidR="00D943DB" w:rsidRPr="001E6526" w14:paraId="124B8E64" w14:textId="77777777" w:rsidTr="00815E65">
        <w:trPr>
          <w:trHeight w:val="216"/>
        </w:trPr>
        <w:tc>
          <w:tcPr>
            <w:tcW w:w="2468" w:type="pct"/>
            <w:vAlign w:val="bottom"/>
          </w:tcPr>
          <w:p w14:paraId="7DA3FD58" w14:textId="77777777" w:rsidR="00D943DB" w:rsidRPr="00CE3053" w:rsidRDefault="00D943DB" w:rsidP="006E26B2">
            <w:pPr>
              <w:pStyle w:val="TableText"/>
              <w:spacing w:before="0" w:after="0"/>
              <w:jc w:val="both"/>
              <w:rPr>
                <w:rFonts w:ascii="Arial" w:hAnsi="Arial"/>
                <w:sz w:val="18"/>
                <w:lang w:val="mk-MK"/>
              </w:rPr>
            </w:pPr>
          </w:p>
        </w:tc>
        <w:tc>
          <w:tcPr>
            <w:tcW w:w="633" w:type="pct"/>
            <w:vAlign w:val="bottom"/>
          </w:tcPr>
          <w:p w14:paraId="173B0192" w14:textId="46CD6A82" w:rsidR="00D943DB" w:rsidRPr="00CE3053" w:rsidRDefault="00D943DB" w:rsidP="006E26B2">
            <w:pPr>
              <w:pStyle w:val="TableText"/>
              <w:spacing w:before="0" w:after="0"/>
              <w:jc w:val="right"/>
              <w:rPr>
                <w:rFonts w:ascii="Arial" w:hAnsi="Arial"/>
                <w:bCs/>
                <w:sz w:val="18"/>
                <w:lang w:val="mk-MK"/>
              </w:rPr>
            </w:pPr>
            <w:r w:rsidRPr="00CE3053">
              <w:rPr>
                <w:rFonts w:ascii="Arial" w:hAnsi="Arial"/>
                <w:bCs/>
                <w:sz w:val="18"/>
                <w:lang w:val="mk-MK"/>
              </w:rPr>
              <w:t>202</w:t>
            </w:r>
            <w:r w:rsidR="002D1802" w:rsidRPr="00CE3053">
              <w:rPr>
                <w:rFonts w:ascii="Arial" w:hAnsi="Arial"/>
                <w:bCs/>
                <w:sz w:val="18"/>
                <w:lang w:val="mk-MK"/>
              </w:rPr>
              <w:t>1</w:t>
            </w:r>
          </w:p>
        </w:tc>
        <w:tc>
          <w:tcPr>
            <w:tcW w:w="633" w:type="pct"/>
            <w:vAlign w:val="bottom"/>
          </w:tcPr>
          <w:p w14:paraId="4DB80765" w14:textId="581F8C80" w:rsidR="00D943DB" w:rsidRPr="00CE3053" w:rsidRDefault="00D943DB" w:rsidP="006E26B2">
            <w:pPr>
              <w:pStyle w:val="TableText"/>
              <w:spacing w:before="0" w:after="0"/>
              <w:jc w:val="right"/>
              <w:rPr>
                <w:rFonts w:ascii="Arial" w:hAnsi="Arial"/>
                <w:bCs/>
                <w:sz w:val="18"/>
                <w:lang w:val="mk-MK"/>
              </w:rPr>
            </w:pPr>
            <w:r w:rsidRPr="00CE3053">
              <w:rPr>
                <w:rFonts w:ascii="Arial" w:hAnsi="Arial"/>
                <w:bCs/>
                <w:sz w:val="18"/>
                <w:lang w:val="mk-MK"/>
              </w:rPr>
              <w:t>2020</w:t>
            </w:r>
          </w:p>
        </w:tc>
        <w:tc>
          <w:tcPr>
            <w:tcW w:w="633" w:type="pct"/>
            <w:vAlign w:val="bottom"/>
          </w:tcPr>
          <w:p w14:paraId="280080DD" w14:textId="300A08DE" w:rsidR="00D943DB" w:rsidRPr="00CE3053" w:rsidRDefault="00D943DB" w:rsidP="006E26B2">
            <w:pPr>
              <w:pStyle w:val="TableText"/>
              <w:spacing w:before="0" w:after="0"/>
              <w:jc w:val="right"/>
              <w:rPr>
                <w:rFonts w:ascii="Arial" w:hAnsi="Arial"/>
                <w:bCs/>
                <w:sz w:val="18"/>
                <w:lang w:val="mk-MK"/>
              </w:rPr>
            </w:pPr>
            <w:r w:rsidRPr="00CE3053">
              <w:rPr>
                <w:rFonts w:ascii="Arial" w:hAnsi="Arial"/>
                <w:bCs/>
                <w:sz w:val="18"/>
                <w:lang w:val="mk-MK"/>
              </w:rPr>
              <w:t>202</w:t>
            </w:r>
            <w:r w:rsidR="000B3E49" w:rsidRPr="00CE3053">
              <w:rPr>
                <w:rFonts w:ascii="Arial" w:hAnsi="Arial"/>
                <w:bCs/>
                <w:sz w:val="18"/>
                <w:lang w:val="mk-MK"/>
              </w:rPr>
              <w:t>1</w:t>
            </w:r>
          </w:p>
        </w:tc>
        <w:tc>
          <w:tcPr>
            <w:tcW w:w="633" w:type="pct"/>
            <w:vAlign w:val="bottom"/>
          </w:tcPr>
          <w:p w14:paraId="365C6997" w14:textId="3AC53012" w:rsidR="00D943DB" w:rsidRPr="00CE3053" w:rsidRDefault="00D943DB" w:rsidP="006E26B2">
            <w:pPr>
              <w:pStyle w:val="TableText"/>
              <w:spacing w:before="0" w:after="0"/>
              <w:jc w:val="right"/>
              <w:rPr>
                <w:rFonts w:ascii="Arial" w:hAnsi="Arial"/>
                <w:bCs/>
                <w:sz w:val="18"/>
                <w:lang w:val="mk-MK"/>
              </w:rPr>
            </w:pPr>
            <w:r w:rsidRPr="00CE3053">
              <w:rPr>
                <w:rFonts w:ascii="Arial" w:hAnsi="Arial"/>
                <w:bCs/>
                <w:sz w:val="18"/>
                <w:lang w:val="mk-MK"/>
              </w:rPr>
              <w:t>2020</w:t>
            </w:r>
          </w:p>
        </w:tc>
      </w:tr>
      <w:tr w:rsidR="00D943DB" w:rsidRPr="001E6526" w14:paraId="2D4F7D5B" w14:textId="77777777" w:rsidTr="00815E65">
        <w:trPr>
          <w:trHeight w:val="216"/>
        </w:trPr>
        <w:tc>
          <w:tcPr>
            <w:tcW w:w="2468" w:type="pct"/>
            <w:vAlign w:val="bottom"/>
          </w:tcPr>
          <w:p w14:paraId="77A23F35" w14:textId="09903E70" w:rsidR="00D943DB" w:rsidRPr="005D4C04" w:rsidRDefault="005D4C04" w:rsidP="006E26B2">
            <w:pPr>
              <w:pStyle w:val="TableText"/>
              <w:spacing w:before="0" w:after="0"/>
              <w:jc w:val="both"/>
              <w:rPr>
                <w:rFonts w:ascii="Arial" w:hAnsi="Arial"/>
                <w:b/>
                <w:sz w:val="18"/>
                <w:lang w:val="en-US"/>
              </w:rPr>
            </w:pPr>
            <w:r>
              <w:rPr>
                <w:rFonts w:ascii="Arial" w:hAnsi="Arial"/>
                <w:b/>
                <w:bCs/>
                <w:color w:val="000000"/>
                <w:sz w:val="18"/>
                <w:lang w:val="en-US"/>
              </w:rPr>
              <w:t>Financial assets</w:t>
            </w:r>
          </w:p>
        </w:tc>
        <w:tc>
          <w:tcPr>
            <w:tcW w:w="633" w:type="pct"/>
            <w:vAlign w:val="bottom"/>
          </w:tcPr>
          <w:p w14:paraId="265FCCE4" w14:textId="77777777" w:rsidR="00D943DB" w:rsidRPr="00CE3053" w:rsidRDefault="00D943DB" w:rsidP="006E26B2">
            <w:pPr>
              <w:pStyle w:val="TableText"/>
              <w:spacing w:before="0" w:after="0"/>
              <w:jc w:val="right"/>
              <w:rPr>
                <w:rFonts w:ascii="Arial" w:hAnsi="Arial"/>
                <w:b/>
                <w:sz w:val="18"/>
                <w:lang w:val="mk-MK"/>
              </w:rPr>
            </w:pPr>
          </w:p>
        </w:tc>
        <w:tc>
          <w:tcPr>
            <w:tcW w:w="633" w:type="pct"/>
            <w:vAlign w:val="bottom"/>
          </w:tcPr>
          <w:p w14:paraId="44440B63" w14:textId="77777777" w:rsidR="00D943DB" w:rsidRPr="00CE3053" w:rsidRDefault="00D943DB" w:rsidP="006E26B2">
            <w:pPr>
              <w:pStyle w:val="TableText"/>
              <w:spacing w:before="0" w:after="0"/>
              <w:jc w:val="right"/>
              <w:rPr>
                <w:rFonts w:ascii="Arial" w:hAnsi="Arial"/>
                <w:b/>
                <w:sz w:val="18"/>
                <w:lang w:val="mk-MK"/>
              </w:rPr>
            </w:pPr>
          </w:p>
        </w:tc>
        <w:tc>
          <w:tcPr>
            <w:tcW w:w="633" w:type="pct"/>
            <w:vAlign w:val="bottom"/>
          </w:tcPr>
          <w:p w14:paraId="0175B687" w14:textId="77777777" w:rsidR="00D943DB" w:rsidRPr="00CE3053" w:rsidRDefault="00D943DB" w:rsidP="006E26B2">
            <w:pPr>
              <w:pStyle w:val="TableText"/>
              <w:spacing w:before="0" w:after="0"/>
              <w:jc w:val="right"/>
              <w:rPr>
                <w:rFonts w:ascii="Arial" w:hAnsi="Arial"/>
                <w:b/>
                <w:sz w:val="18"/>
                <w:lang w:val="mk-MK"/>
              </w:rPr>
            </w:pPr>
          </w:p>
        </w:tc>
        <w:tc>
          <w:tcPr>
            <w:tcW w:w="633" w:type="pct"/>
            <w:vAlign w:val="bottom"/>
          </w:tcPr>
          <w:p w14:paraId="1BE7F931" w14:textId="77777777" w:rsidR="00D943DB" w:rsidRPr="00CE3053" w:rsidRDefault="00D943DB" w:rsidP="006E26B2">
            <w:pPr>
              <w:pStyle w:val="TableText"/>
              <w:spacing w:before="0" w:after="0"/>
              <w:jc w:val="right"/>
              <w:rPr>
                <w:rFonts w:ascii="Arial" w:hAnsi="Arial"/>
                <w:b/>
                <w:sz w:val="18"/>
                <w:lang w:val="mk-MK"/>
              </w:rPr>
            </w:pPr>
          </w:p>
        </w:tc>
      </w:tr>
      <w:tr w:rsidR="00D943DB" w:rsidRPr="001E6526" w14:paraId="51350632" w14:textId="77777777" w:rsidTr="00815E65">
        <w:trPr>
          <w:trHeight w:val="216"/>
        </w:trPr>
        <w:tc>
          <w:tcPr>
            <w:tcW w:w="2468" w:type="pct"/>
            <w:vAlign w:val="bottom"/>
          </w:tcPr>
          <w:p w14:paraId="5D88E602" w14:textId="6F53C4A4" w:rsidR="00D943DB" w:rsidRPr="005D4C04" w:rsidRDefault="005D4C04" w:rsidP="006E26B2">
            <w:pPr>
              <w:pStyle w:val="TableText"/>
              <w:spacing w:before="0" w:after="0"/>
              <w:jc w:val="both"/>
              <w:rPr>
                <w:rFonts w:ascii="Arial" w:hAnsi="Arial"/>
                <w:sz w:val="18"/>
                <w:lang w:val="en-US"/>
              </w:rPr>
            </w:pPr>
            <w:r>
              <w:rPr>
                <w:rFonts w:ascii="Arial" w:hAnsi="Arial"/>
                <w:bCs/>
                <w:sz w:val="18"/>
                <w:lang w:val="en-US"/>
              </w:rPr>
              <w:t>Held to maturity investments</w:t>
            </w:r>
          </w:p>
        </w:tc>
        <w:tc>
          <w:tcPr>
            <w:tcW w:w="633" w:type="pct"/>
            <w:vAlign w:val="bottom"/>
          </w:tcPr>
          <w:p w14:paraId="67ECCA08" w14:textId="4E99EB12" w:rsidR="00D943DB" w:rsidRPr="00CE3053" w:rsidRDefault="002D1802" w:rsidP="006E26B2">
            <w:pPr>
              <w:spacing w:after="0" w:line="240" w:lineRule="auto"/>
              <w:jc w:val="right"/>
              <w:rPr>
                <w:rFonts w:ascii="Arial" w:hAnsi="Arial" w:cs="Arial"/>
                <w:color w:val="000000"/>
                <w:lang w:val="mk-MK"/>
              </w:rPr>
            </w:pPr>
            <w:r w:rsidRPr="00CE3053">
              <w:rPr>
                <w:rFonts w:ascii="Arial" w:hAnsi="Arial" w:cs="Arial"/>
                <w:color w:val="000000"/>
                <w:lang w:val="mk-MK"/>
              </w:rPr>
              <w:t>14,730,822</w:t>
            </w:r>
          </w:p>
        </w:tc>
        <w:tc>
          <w:tcPr>
            <w:tcW w:w="633" w:type="pct"/>
            <w:vAlign w:val="bottom"/>
          </w:tcPr>
          <w:p w14:paraId="020F7B43" w14:textId="28DF2ED1" w:rsidR="00D943DB" w:rsidRPr="00CE3053" w:rsidRDefault="00D943DB" w:rsidP="006E26B2">
            <w:pPr>
              <w:spacing w:after="0" w:line="240" w:lineRule="auto"/>
              <w:jc w:val="right"/>
              <w:rPr>
                <w:rFonts w:ascii="Arial" w:hAnsi="Arial" w:cs="Arial"/>
                <w:color w:val="000000"/>
                <w:lang w:val="mk-MK"/>
              </w:rPr>
            </w:pPr>
            <w:r w:rsidRPr="001E6526">
              <w:rPr>
                <w:rFonts w:ascii="Arial" w:hAnsi="Arial" w:cs="Arial"/>
                <w:color w:val="000000"/>
                <w:lang w:val="mk-MK"/>
              </w:rPr>
              <w:t>13,930,548</w:t>
            </w:r>
          </w:p>
        </w:tc>
        <w:tc>
          <w:tcPr>
            <w:tcW w:w="633" w:type="pct"/>
            <w:vAlign w:val="bottom"/>
          </w:tcPr>
          <w:p w14:paraId="26F87177" w14:textId="5E0062E0" w:rsidR="00D943DB" w:rsidRPr="00CE3053" w:rsidRDefault="00D562FD" w:rsidP="006E26B2">
            <w:pPr>
              <w:spacing w:after="0" w:line="240" w:lineRule="auto"/>
              <w:jc w:val="right"/>
              <w:rPr>
                <w:rFonts w:ascii="Arial" w:hAnsi="Arial" w:cs="Arial"/>
                <w:color w:val="000000"/>
                <w:lang w:val="mk-MK"/>
              </w:rPr>
            </w:pPr>
            <w:r w:rsidRPr="00CE3053">
              <w:rPr>
                <w:rFonts w:ascii="Arial" w:hAnsi="Arial" w:cs="Arial"/>
                <w:color w:val="000000"/>
                <w:lang w:val="mk-MK"/>
              </w:rPr>
              <w:t>14,730,822</w:t>
            </w:r>
          </w:p>
        </w:tc>
        <w:tc>
          <w:tcPr>
            <w:tcW w:w="633" w:type="pct"/>
            <w:vAlign w:val="bottom"/>
          </w:tcPr>
          <w:p w14:paraId="24259795" w14:textId="79E37968" w:rsidR="00D943DB" w:rsidRPr="00CE3053" w:rsidRDefault="00D943DB" w:rsidP="006E26B2">
            <w:pPr>
              <w:spacing w:after="0" w:line="240" w:lineRule="auto"/>
              <w:jc w:val="right"/>
              <w:rPr>
                <w:rFonts w:ascii="Arial" w:hAnsi="Arial" w:cs="Arial"/>
                <w:color w:val="000000"/>
                <w:lang w:val="mk-MK"/>
              </w:rPr>
            </w:pPr>
            <w:r w:rsidRPr="001E6526">
              <w:rPr>
                <w:rFonts w:ascii="Arial" w:hAnsi="Arial" w:cs="Arial"/>
                <w:color w:val="000000"/>
                <w:lang w:val="mk-MK"/>
              </w:rPr>
              <w:t>13,9</w:t>
            </w:r>
            <w:r w:rsidR="00212B5B" w:rsidRPr="00CE3053">
              <w:rPr>
                <w:rFonts w:ascii="Arial" w:hAnsi="Arial" w:cs="Arial"/>
                <w:color w:val="000000"/>
                <w:lang w:val="mk-MK"/>
              </w:rPr>
              <w:t>30</w:t>
            </w:r>
            <w:r w:rsidRPr="001E6526">
              <w:rPr>
                <w:rFonts w:ascii="Arial" w:hAnsi="Arial" w:cs="Arial"/>
                <w:color w:val="000000"/>
                <w:lang w:val="mk-MK"/>
              </w:rPr>
              <w:t>,</w:t>
            </w:r>
            <w:r w:rsidR="00212B5B" w:rsidRPr="00CE3053">
              <w:rPr>
                <w:rFonts w:ascii="Arial" w:hAnsi="Arial" w:cs="Arial"/>
                <w:color w:val="000000"/>
                <w:lang w:val="mk-MK"/>
              </w:rPr>
              <w:t>549</w:t>
            </w:r>
          </w:p>
        </w:tc>
      </w:tr>
      <w:tr w:rsidR="00D943DB" w:rsidRPr="001E6526" w14:paraId="3022A2C0" w14:textId="77777777" w:rsidTr="00815E65">
        <w:trPr>
          <w:trHeight w:val="216"/>
        </w:trPr>
        <w:tc>
          <w:tcPr>
            <w:tcW w:w="2468" w:type="pct"/>
            <w:vAlign w:val="bottom"/>
          </w:tcPr>
          <w:p w14:paraId="7A3B888C" w14:textId="361E7FBF" w:rsidR="00D943DB" w:rsidRPr="00A3347F" w:rsidRDefault="00A3347F" w:rsidP="006E26B2">
            <w:pPr>
              <w:pStyle w:val="TableText"/>
              <w:spacing w:before="0" w:after="0"/>
              <w:jc w:val="both"/>
              <w:rPr>
                <w:rFonts w:ascii="Arial" w:hAnsi="Arial"/>
                <w:sz w:val="18"/>
                <w:lang w:val="en-US"/>
              </w:rPr>
            </w:pPr>
            <w:r>
              <w:rPr>
                <w:rFonts w:ascii="Arial" w:hAnsi="Arial"/>
                <w:bCs/>
                <w:sz w:val="18"/>
                <w:lang w:val="en-US"/>
              </w:rPr>
              <w:t>Cash and cash equivalents</w:t>
            </w:r>
          </w:p>
        </w:tc>
        <w:tc>
          <w:tcPr>
            <w:tcW w:w="633" w:type="pct"/>
            <w:vAlign w:val="bottom"/>
          </w:tcPr>
          <w:p w14:paraId="58F261A3" w14:textId="67A1072C" w:rsidR="00D943DB" w:rsidRPr="00CE3053" w:rsidRDefault="002D1802" w:rsidP="006E26B2">
            <w:pPr>
              <w:spacing w:after="0" w:line="240" w:lineRule="auto"/>
              <w:jc w:val="right"/>
              <w:rPr>
                <w:rFonts w:ascii="Arial" w:hAnsi="Arial" w:cs="Arial"/>
                <w:color w:val="000000"/>
                <w:lang w:val="mk-MK"/>
              </w:rPr>
            </w:pPr>
            <w:r w:rsidRPr="00CE3053">
              <w:rPr>
                <w:rFonts w:ascii="Arial" w:hAnsi="Arial" w:cs="Arial"/>
                <w:color w:val="000000"/>
                <w:lang w:val="mk-MK"/>
              </w:rPr>
              <w:t>485,056</w:t>
            </w:r>
          </w:p>
        </w:tc>
        <w:tc>
          <w:tcPr>
            <w:tcW w:w="633" w:type="pct"/>
            <w:vAlign w:val="bottom"/>
          </w:tcPr>
          <w:p w14:paraId="659890F1" w14:textId="36EE4C32" w:rsidR="00D943DB" w:rsidRPr="00CE3053" w:rsidRDefault="00D943DB" w:rsidP="006E26B2">
            <w:pPr>
              <w:spacing w:after="0" w:line="240" w:lineRule="auto"/>
              <w:jc w:val="right"/>
              <w:rPr>
                <w:rFonts w:ascii="Arial" w:hAnsi="Arial" w:cs="Arial"/>
                <w:color w:val="000000"/>
                <w:lang w:val="mk-MK"/>
              </w:rPr>
            </w:pPr>
            <w:r w:rsidRPr="001E6526">
              <w:rPr>
                <w:rFonts w:ascii="Arial" w:hAnsi="Arial" w:cs="Arial"/>
                <w:color w:val="000000"/>
                <w:lang w:val="mk-MK"/>
              </w:rPr>
              <w:t>678,377</w:t>
            </w:r>
          </w:p>
        </w:tc>
        <w:tc>
          <w:tcPr>
            <w:tcW w:w="633" w:type="pct"/>
            <w:vAlign w:val="bottom"/>
          </w:tcPr>
          <w:p w14:paraId="28FD4884" w14:textId="42C5B7D7" w:rsidR="00D943DB" w:rsidRPr="00CE3053" w:rsidRDefault="002D1802" w:rsidP="006E26B2">
            <w:pPr>
              <w:spacing w:after="0" w:line="240" w:lineRule="auto"/>
              <w:jc w:val="right"/>
              <w:rPr>
                <w:rFonts w:ascii="Arial" w:hAnsi="Arial" w:cs="Arial"/>
                <w:color w:val="000000"/>
                <w:lang w:val="mk-MK"/>
              </w:rPr>
            </w:pPr>
            <w:r w:rsidRPr="00CE3053">
              <w:rPr>
                <w:rFonts w:ascii="Arial" w:hAnsi="Arial" w:cs="Arial"/>
                <w:color w:val="000000"/>
                <w:lang w:val="mk-MK"/>
              </w:rPr>
              <w:t>485,</w:t>
            </w:r>
            <w:r w:rsidR="001242BC" w:rsidRPr="00CE3053">
              <w:rPr>
                <w:rFonts w:ascii="Arial" w:hAnsi="Arial" w:cs="Arial"/>
                <w:color w:val="000000"/>
                <w:lang w:val="mk-MK"/>
              </w:rPr>
              <w:t>056</w:t>
            </w:r>
          </w:p>
        </w:tc>
        <w:tc>
          <w:tcPr>
            <w:tcW w:w="633" w:type="pct"/>
            <w:vAlign w:val="bottom"/>
          </w:tcPr>
          <w:p w14:paraId="17D3B710" w14:textId="08752081" w:rsidR="00D943DB" w:rsidRPr="00CE3053" w:rsidRDefault="00D943DB" w:rsidP="006E26B2">
            <w:pPr>
              <w:spacing w:after="0" w:line="240" w:lineRule="auto"/>
              <w:jc w:val="right"/>
              <w:rPr>
                <w:rFonts w:ascii="Arial" w:hAnsi="Arial" w:cs="Arial"/>
                <w:color w:val="000000"/>
                <w:lang w:val="mk-MK"/>
              </w:rPr>
            </w:pPr>
            <w:r w:rsidRPr="001E6526">
              <w:rPr>
                <w:rFonts w:ascii="Arial" w:hAnsi="Arial" w:cs="Arial"/>
                <w:color w:val="000000"/>
                <w:lang w:val="mk-MK"/>
              </w:rPr>
              <w:t>678,377</w:t>
            </w:r>
          </w:p>
        </w:tc>
      </w:tr>
      <w:tr w:rsidR="00D943DB" w:rsidRPr="001E6526" w14:paraId="44C6815B" w14:textId="77777777" w:rsidTr="00815E65">
        <w:trPr>
          <w:trHeight w:val="216"/>
        </w:trPr>
        <w:tc>
          <w:tcPr>
            <w:tcW w:w="2468" w:type="pct"/>
            <w:vAlign w:val="bottom"/>
          </w:tcPr>
          <w:p w14:paraId="3BCA7398" w14:textId="7404B934" w:rsidR="00D943DB" w:rsidRPr="001E6526" w:rsidRDefault="00A3347F" w:rsidP="006E26B2">
            <w:pPr>
              <w:pStyle w:val="TableText"/>
              <w:spacing w:before="0" w:after="0"/>
              <w:jc w:val="both"/>
              <w:rPr>
                <w:rFonts w:ascii="Arial" w:hAnsi="Arial"/>
                <w:bCs/>
                <w:sz w:val="18"/>
                <w:lang w:val="mk-MK"/>
              </w:rPr>
            </w:pPr>
            <w:proofErr w:type="spellStart"/>
            <w:r w:rsidRPr="00A3347F">
              <w:rPr>
                <w:rFonts w:ascii="Arial" w:hAnsi="Arial"/>
                <w:bCs/>
                <w:sz w:val="18"/>
                <w:lang w:val="mk-MK"/>
              </w:rPr>
              <w:t>Receivables</w:t>
            </w:r>
            <w:proofErr w:type="spellEnd"/>
            <w:r w:rsidRPr="00A3347F">
              <w:rPr>
                <w:rFonts w:ascii="Arial" w:hAnsi="Arial"/>
                <w:bCs/>
                <w:sz w:val="18"/>
                <w:lang w:val="mk-MK"/>
              </w:rPr>
              <w:t xml:space="preserve"> </w:t>
            </w:r>
            <w:proofErr w:type="spellStart"/>
            <w:r w:rsidRPr="00A3347F">
              <w:rPr>
                <w:rFonts w:ascii="Arial" w:hAnsi="Arial"/>
                <w:bCs/>
                <w:sz w:val="18"/>
                <w:lang w:val="mk-MK"/>
              </w:rPr>
              <w:t>for</w:t>
            </w:r>
            <w:proofErr w:type="spellEnd"/>
            <w:r w:rsidRPr="00A3347F">
              <w:rPr>
                <w:rFonts w:ascii="Arial" w:hAnsi="Arial"/>
                <w:bCs/>
                <w:sz w:val="18"/>
                <w:lang w:val="mk-MK"/>
              </w:rPr>
              <w:t xml:space="preserve"> </w:t>
            </w:r>
            <w:proofErr w:type="spellStart"/>
            <w:r w:rsidRPr="00A3347F">
              <w:rPr>
                <w:rFonts w:ascii="Arial" w:hAnsi="Arial"/>
                <w:bCs/>
                <w:sz w:val="18"/>
                <w:lang w:val="mk-MK"/>
              </w:rPr>
              <w:t>insurance</w:t>
            </w:r>
            <w:proofErr w:type="spellEnd"/>
            <w:r w:rsidRPr="00A3347F">
              <w:rPr>
                <w:rFonts w:ascii="Arial" w:hAnsi="Arial"/>
                <w:bCs/>
                <w:sz w:val="18"/>
                <w:lang w:val="mk-MK"/>
              </w:rPr>
              <w:t xml:space="preserve"> </w:t>
            </w:r>
            <w:proofErr w:type="spellStart"/>
            <w:r w:rsidRPr="00A3347F">
              <w:rPr>
                <w:rFonts w:ascii="Arial" w:hAnsi="Arial"/>
                <w:bCs/>
                <w:sz w:val="18"/>
                <w:lang w:val="mk-MK"/>
              </w:rPr>
              <w:t>premium</w:t>
            </w:r>
            <w:proofErr w:type="spellEnd"/>
          </w:p>
        </w:tc>
        <w:tc>
          <w:tcPr>
            <w:tcW w:w="633" w:type="pct"/>
            <w:vAlign w:val="bottom"/>
          </w:tcPr>
          <w:p w14:paraId="60C171DF" w14:textId="4F7EBB16" w:rsidR="00D943DB" w:rsidRPr="00CE3053" w:rsidRDefault="002D1802" w:rsidP="006E26B2">
            <w:pPr>
              <w:spacing w:after="0" w:line="240" w:lineRule="auto"/>
              <w:jc w:val="right"/>
              <w:rPr>
                <w:rFonts w:ascii="Arial" w:hAnsi="Arial" w:cs="Arial"/>
                <w:color w:val="000000"/>
                <w:lang w:val="mk-MK"/>
              </w:rPr>
            </w:pPr>
            <w:r w:rsidRPr="00CE3053">
              <w:rPr>
                <w:rFonts w:ascii="Arial" w:hAnsi="Arial" w:cs="Arial"/>
                <w:color w:val="000000"/>
                <w:lang w:val="mk-MK"/>
              </w:rPr>
              <w:t>-</w:t>
            </w:r>
          </w:p>
        </w:tc>
        <w:tc>
          <w:tcPr>
            <w:tcW w:w="633" w:type="pct"/>
            <w:vAlign w:val="bottom"/>
          </w:tcPr>
          <w:p w14:paraId="783A682D" w14:textId="375DD711" w:rsidR="00D943DB" w:rsidRPr="001E6526" w:rsidRDefault="00D943DB" w:rsidP="006E26B2">
            <w:pPr>
              <w:spacing w:after="0" w:line="240" w:lineRule="auto"/>
              <w:jc w:val="right"/>
              <w:rPr>
                <w:rFonts w:ascii="Arial" w:hAnsi="Arial" w:cs="Arial"/>
                <w:color w:val="000000"/>
                <w:lang w:val="mk-MK"/>
              </w:rPr>
            </w:pPr>
            <w:r w:rsidRPr="001E6526">
              <w:rPr>
                <w:rFonts w:ascii="Arial" w:hAnsi="Arial" w:cs="Arial"/>
                <w:color w:val="000000"/>
                <w:lang w:val="mk-MK"/>
              </w:rPr>
              <w:t>11,596</w:t>
            </w:r>
          </w:p>
        </w:tc>
        <w:tc>
          <w:tcPr>
            <w:tcW w:w="633" w:type="pct"/>
            <w:vAlign w:val="bottom"/>
          </w:tcPr>
          <w:p w14:paraId="73BB8353" w14:textId="1A680656" w:rsidR="00D943DB" w:rsidRPr="00CE3053" w:rsidRDefault="001242BC" w:rsidP="006E26B2">
            <w:pPr>
              <w:spacing w:after="0" w:line="240" w:lineRule="auto"/>
              <w:jc w:val="right"/>
              <w:rPr>
                <w:rFonts w:ascii="Arial" w:hAnsi="Arial" w:cs="Arial"/>
                <w:color w:val="000000"/>
                <w:lang w:val="mk-MK"/>
              </w:rPr>
            </w:pPr>
            <w:r w:rsidRPr="00CE3053">
              <w:rPr>
                <w:rFonts w:ascii="Arial" w:hAnsi="Arial" w:cs="Arial"/>
                <w:color w:val="000000"/>
                <w:lang w:val="mk-MK"/>
              </w:rPr>
              <w:t>-</w:t>
            </w:r>
          </w:p>
        </w:tc>
        <w:tc>
          <w:tcPr>
            <w:tcW w:w="633" w:type="pct"/>
            <w:vAlign w:val="bottom"/>
          </w:tcPr>
          <w:p w14:paraId="7BAA0674" w14:textId="32972DE2" w:rsidR="00D943DB" w:rsidRPr="001E6526" w:rsidRDefault="00D943DB" w:rsidP="006E26B2">
            <w:pPr>
              <w:spacing w:after="0" w:line="240" w:lineRule="auto"/>
              <w:jc w:val="right"/>
              <w:rPr>
                <w:rFonts w:ascii="Arial" w:hAnsi="Arial" w:cs="Arial"/>
                <w:color w:val="000000"/>
                <w:lang w:val="mk-MK"/>
              </w:rPr>
            </w:pPr>
            <w:r w:rsidRPr="001E6526">
              <w:rPr>
                <w:rFonts w:ascii="Arial" w:hAnsi="Arial" w:cs="Arial"/>
                <w:color w:val="000000"/>
                <w:lang w:val="mk-MK"/>
              </w:rPr>
              <w:t>11,596</w:t>
            </w:r>
          </w:p>
        </w:tc>
      </w:tr>
      <w:tr w:rsidR="00D943DB" w:rsidRPr="001E6526" w14:paraId="7666C4ED" w14:textId="77777777" w:rsidTr="00815E65">
        <w:trPr>
          <w:trHeight w:val="216"/>
        </w:trPr>
        <w:tc>
          <w:tcPr>
            <w:tcW w:w="2468" w:type="pct"/>
            <w:tcBorders>
              <w:bottom w:val="single" w:sz="4" w:space="0" w:color="auto"/>
            </w:tcBorders>
            <w:vAlign w:val="bottom"/>
          </w:tcPr>
          <w:p w14:paraId="0E5D6B96" w14:textId="10F1B5A1" w:rsidR="00D943DB" w:rsidRPr="00CE3053" w:rsidRDefault="00A3347F" w:rsidP="006E26B2">
            <w:pPr>
              <w:pStyle w:val="TableText"/>
              <w:spacing w:before="0" w:after="0"/>
              <w:jc w:val="both"/>
              <w:rPr>
                <w:rFonts w:ascii="Arial" w:hAnsi="Arial"/>
                <w:color w:val="000000"/>
                <w:sz w:val="18"/>
                <w:lang w:val="mk-MK"/>
              </w:rPr>
            </w:pPr>
            <w:proofErr w:type="spellStart"/>
            <w:r w:rsidRPr="00A3347F">
              <w:rPr>
                <w:rFonts w:ascii="Arial" w:hAnsi="Arial"/>
                <w:bCs/>
                <w:sz w:val="18"/>
                <w:lang w:val="mk-MK"/>
              </w:rPr>
              <w:t>Other</w:t>
            </w:r>
            <w:proofErr w:type="spellEnd"/>
            <w:r w:rsidRPr="00A3347F">
              <w:rPr>
                <w:rFonts w:ascii="Arial" w:hAnsi="Arial"/>
                <w:bCs/>
                <w:sz w:val="18"/>
                <w:lang w:val="mk-MK"/>
              </w:rPr>
              <w:t xml:space="preserve"> </w:t>
            </w:r>
            <w:proofErr w:type="spellStart"/>
            <w:r w:rsidRPr="00A3347F">
              <w:rPr>
                <w:rFonts w:ascii="Arial" w:hAnsi="Arial"/>
                <w:bCs/>
                <w:sz w:val="18"/>
                <w:lang w:val="mk-MK"/>
              </w:rPr>
              <w:t>receivables</w:t>
            </w:r>
            <w:proofErr w:type="spellEnd"/>
          </w:p>
        </w:tc>
        <w:tc>
          <w:tcPr>
            <w:tcW w:w="633" w:type="pct"/>
            <w:tcBorders>
              <w:bottom w:val="single" w:sz="4" w:space="0" w:color="auto"/>
            </w:tcBorders>
            <w:vAlign w:val="bottom"/>
          </w:tcPr>
          <w:p w14:paraId="30F4FFB5" w14:textId="77777777" w:rsidR="00D943DB" w:rsidRPr="001E6526" w:rsidRDefault="00D943DB" w:rsidP="006E26B2">
            <w:pPr>
              <w:spacing w:after="0" w:line="240" w:lineRule="auto"/>
              <w:jc w:val="right"/>
              <w:rPr>
                <w:rFonts w:ascii="Arial" w:hAnsi="Arial" w:cs="Arial"/>
                <w:color w:val="000000"/>
                <w:lang w:val="mk-MK"/>
              </w:rPr>
            </w:pPr>
            <w:r w:rsidRPr="001E6526">
              <w:rPr>
                <w:rFonts w:ascii="Arial" w:hAnsi="Arial" w:cs="Arial"/>
                <w:color w:val="000000"/>
                <w:lang w:val="mk-MK"/>
              </w:rPr>
              <w:t>-</w:t>
            </w:r>
          </w:p>
        </w:tc>
        <w:tc>
          <w:tcPr>
            <w:tcW w:w="633" w:type="pct"/>
            <w:tcBorders>
              <w:bottom w:val="single" w:sz="4" w:space="0" w:color="auto"/>
            </w:tcBorders>
            <w:vAlign w:val="bottom"/>
          </w:tcPr>
          <w:p w14:paraId="42028EA8" w14:textId="5EFC2D1C" w:rsidR="00D943DB" w:rsidRPr="00CE3053" w:rsidRDefault="00D943DB" w:rsidP="006E26B2">
            <w:pPr>
              <w:spacing w:after="0" w:line="240" w:lineRule="auto"/>
              <w:jc w:val="right"/>
              <w:rPr>
                <w:rFonts w:ascii="Arial" w:hAnsi="Arial" w:cs="Arial"/>
                <w:color w:val="000000"/>
                <w:lang w:val="mk-MK"/>
              </w:rPr>
            </w:pPr>
            <w:r w:rsidRPr="001E6526">
              <w:rPr>
                <w:rFonts w:ascii="Arial" w:hAnsi="Arial" w:cs="Arial"/>
                <w:color w:val="000000"/>
                <w:lang w:val="mk-MK"/>
              </w:rPr>
              <w:t>-</w:t>
            </w:r>
          </w:p>
        </w:tc>
        <w:tc>
          <w:tcPr>
            <w:tcW w:w="633" w:type="pct"/>
            <w:tcBorders>
              <w:bottom w:val="single" w:sz="4" w:space="0" w:color="auto"/>
            </w:tcBorders>
            <w:vAlign w:val="bottom"/>
          </w:tcPr>
          <w:p w14:paraId="77279CF1" w14:textId="77777777" w:rsidR="00D943DB" w:rsidRPr="001E6526" w:rsidRDefault="00D943DB" w:rsidP="006E26B2">
            <w:pPr>
              <w:spacing w:after="0" w:line="240" w:lineRule="auto"/>
              <w:jc w:val="right"/>
              <w:rPr>
                <w:rFonts w:ascii="Arial" w:hAnsi="Arial" w:cs="Arial"/>
                <w:color w:val="000000"/>
                <w:lang w:val="mk-MK"/>
              </w:rPr>
            </w:pPr>
            <w:r w:rsidRPr="001E6526">
              <w:rPr>
                <w:rFonts w:ascii="Arial" w:hAnsi="Arial" w:cs="Arial"/>
                <w:color w:val="000000"/>
                <w:lang w:val="mk-MK"/>
              </w:rPr>
              <w:t>-</w:t>
            </w:r>
          </w:p>
        </w:tc>
        <w:tc>
          <w:tcPr>
            <w:tcW w:w="633" w:type="pct"/>
            <w:tcBorders>
              <w:bottom w:val="single" w:sz="4" w:space="0" w:color="auto"/>
            </w:tcBorders>
            <w:vAlign w:val="bottom"/>
          </w:tcPr>
          <w:p w14:paraId="45BCC88E" w14:textId="5113CCAC" w:rsidR="00D943DB" w:rsidRPr="00CE3053" w:rsidRDefault="00D943DB" w:rsidP="006E26B2">
            <w:pPr>
              <w:spacing w:after="0" w:line="240" w:lineRule="auto"/>
              <w:jc w:val="right"/>
              <w:rPr>
                <w:rFonts w:ascii="Arial" w:hAnsi="Arial" w:cs="Arial"/>
                <w:color w:val="000000"/>
                <w:lang w:val="mk-MK"/>
              </w:rPr>
            </w:pPr>
            <w:r w:rsidRPr="001E6526">
              <w:rPr>
                <w:rFonts w:ascii="Arial" w:hAnsi="Arial" w:cs="Arial"/>
                <w:color w:val="000000"/>
                <w:lang w:val="mk-MK"/>
              </w:rPr>
              <w:t>-</w:t>
            </w:r>
          </w:p>
        </w:tc>
      </w:tr>
      <w:tr w:rsidR="00D943DB" w:rsidRPr="001E6526" w14:paraId="758AE95C" w14:textId="77777777" w:rsidTr="00815E65">
        <w:trPr>
          <w:trHeight w:val="216"/>
        </w:trPr>
        <w:tc>
          <w:tcPr>
            <w:tcW w:w="2468" w:type="pct"/>
            <w:tcBorders>
              <w:top w:val="single" w:sz="4" w:space="0" w:color="auto"/>
              <w:bottom w:val="double" w:sz="4" w:space="0" w:color="auto"/>
            </w:tcBorders>
            <w:vAlign w:val="bottom"/>
          </w:tcPr>
          <w:p w14:paraId="5F9DB407" w14:textId="77777777" w:rsidR="00D943DB" w:rsidRPr="00CE3053" w:rsidRDefault="00D943DB" w:rsidP="006E26B2">
            <w:pPr>
              <w:pStyle w:val="TableText"/>
              <w:spacing w:before="0" w:after="0"/>
              <w:jc w:val="both"/>
              <w:rPr>
                <w:rFonts w:ascii="Arial" w:hAnsi="Arial"/>
                <w:b/>
                <w:sz w:val="18"/>
                <w:lang w:val="mk-MK"/>
              </w:rPr>
            </w:pPr>
          </w:p>
        </w:tc>
        <w:tc>
          <w:tcPr>
            <w:tcW w:w="633" w:type="pct"/>
            <w:tcBorders>
              <w:top w:val="single" w:sz="4" w:space="0" w:color="auto"/>
              <w:bottom w:val="double" w:sz="4" w:space="0" w:color="auto"/>
            </w:tcBorders>
            <w:vAlign w:val="bottom"/>
          </w:tcPr>
          <w:p w14:paraId="40105B2B" w14:textId="700F5748" w:rsidR="00D943DB" w:rsidRPr="00CE3053" w:rsidRDefault="002D1802" w:rsidP="006E26B2">
            <w:pPr>
              <w:spacing w:after="0" w:line="240" w:lineRule="auto"/>
              <w:jc w:val="right"/>
              <w:rPr>
                <w:rFonts w:ascii="Arial" w:hAnsi="Arial" w:cs="Arial"/>
                <w:b/>
                <w:bCs/>
                <w:color w:val="000000"/>
                <w:lang w:val="mk-MK"/>
              </w:rPr>
            </w:pPr>
            <w:r w:rsidRPr="00CE3053">
              <w:rPr>
                <w:rFonts w:ascii="Arial" w:hAnsi="Arial" w:cs="Arial"/>
                <w:b/>
                <w:bCs/>
                <w:color w:val="000000"/>
                <w:lang w:val="mk-MK"/>
              </w:rPr>
              <w:t>15,215,878</w:t>
            </w:r>
          </w:p>
        </w:tc>
        <w:tc>
          <w:tcPr>
            <w:tcW w:w="633" w:type="pct"/>
            <w:tcBorders>
              <w:top w:val="single" w:sz="4" w:space="0" w:color="auto"/>
              <w:bottom w:val="double" w:sz="4" w:space="0" w:color="auto"/>
            </w:tcBorders>
            <w:vAlign w:val="bottom"/>
          </w:tcPr>
          <w:p w14:paraId="4E86464E" w14:textId="505546B0" w:rsidR="00D943DB" w:rsidRPr="00CE3053" w:rsidRDefault="00D943DB" w:rsidP="006E26B2">
            <w:pPr>
              <w:spacing w:after="0" w:line="240" w:lineRule="auto"/>
              <w:jc w:val="right"/>
              <w:rPr>
                <w:rFonts w:ascii="Arial" w:hAnsi="Arial" w:cs="Arial"/>
                <w:b/>
                <w:bCs/>
                <w:color w:val="000000"/>
                <w:lang w:val="mk-MK"/>
              </w:rPr>
            </w:pPr>
            <w:r w:rsidRPr="001E6526">
              <w:rPr>
                <w:rFonts w:ascii="Arial" w:hAnsi="Arial" w:cs="Arial"/>
                <w:b/>
                <w:bCs/>
                <w:color w:val="000000"/>
                <w:lang w:val="mk-MK"/>
              </w:rPr>
              <w:t>14,620,521</w:t>
            </w:r>
          </w:p>
        </w:tc>
        <w:tc>
          <w:tcPr>
            <w:tcW w:w="633" w:type="pct"/>
            <w:tcBorders>
              <w:top w:val="single" w:sz="4" w:space="0" w:color="auto"/>
              <w:bottom w:val="double" w:sz="4" w:space="0" w:color="auto"/>
            </w:tcBorders>
            <w:vAlign w:val="bottom"/>
          </w:tcPr>
          <w:p w14:paraId="1043F555" w14:textId="42F163C8" w:rsidR="00D943DB" w:rsidRPr="001E6526" w:rsidRDefault="00D943DB" w:rsidP="006E26B2">
            <w:pPr>
              <w:spacing w:after="0" w:line="240" w:lineRule="auto"/>
              <w:jc w:val="right"/>
              <w:rPr>
                <w:rFonts w:ascii="Arial" w:hAnsi="Arial" w:cs="Arial"/>
                <w:b/>
                <w:bCs/>
                <w:color w:val="000000"/>
                <w:lang w:val="mk-MK"/>
              </w:rPr>
            </w:pPr>
            <w:r w:rsidRPr="001E6526">
              <w:rPr>
                <w:rFonts w:ascii="Arial" w:hAnsi="Arial" w:cs="Arial"/>
                <w:b/>
                <w:bCs/>
                <w:color w:val="000000"/>
                <w:lang w:val="mk-MK"/>
              </w:rPr>
              <w:t>1</w:t>
            </w:r>
            <w:r w:rsidR="001242BC" w:rsidRPr="00CE3053">
              <w:rPr>
                <w:rFonts w:ascii="Arial" w:hAnsi="Arial" w:cs="Arial"/>
                <w:b/>
                <w:bCs/>
                <w:color w:val="000000"/>
                <w:lang w:val="mk-MK"/>
              </w:rPr>
              <w:t>5,215,878</w:t>
            </w:r>
          </w:p>
        </w:tc>
        <w:tc>
          <w:tcPr>
            <w:tcW w:w="633" w:type="pct"/>
            <w:tcBorders>
              <w:top w:val="single" w:sz="4" w:space="0" w:color="auto"/>
              <w:bottom w:val="double" w:sz="4" w:space="0" w:color="auto"/>
            </w:tcBorders>
            <w:vAlign w:val="bottom"/>
          </w:tcPr>
          <w:p w14:paraId="1A276CF0" w14:textId="2EFA02F6" w:rsidR="00D943DB" w:rsidRPr="00CE3053" w:rsidRDefault="00D943DB" w:rsidP="006E26B2">
            <w:pPr>
              <w:spacing w:after="0" w:line="240" w:lineRule="auto"/>
              <w:jc w:val="right"/>
              <w:rPr>
                <w:rFonts w:ascii="Arial" w:hAnsi="Arial" w:cs="Arial"/>
                <w:b/>
                <w:bCs/>
                <w:color w:val="000000"/>
                <w:lang w:val="mk-MK"/>
              </w:rPr>
            </w:pPr>
            <w:r w:rsidRPr="001E6526">
              <w:rPr>
                <w:rFonts w:ascii="Arial" w:hAnsi="Arial" w:cs="Arial"/>
                <w:b/>
                <w:bCs/>
                <w:color w:val="000000"/>
                <w:lang w:val="mk-MK"/>
              </w:rPr>
              <w:t>14,620,521</w:t>
            </w:r>
          </w:p>
        </w:tc>
      </w:tr>
      <w:tr w:rsidR="00D943DB" w:rsidRPr="001E6526" w14:paraId="2F98B35A" w14:textId="77777777" w:rsidTr="00815E65">
        <w:trPr>
          <w:trHeight w:val="216"/>
        </w:trPr>
        <w:tc>
          <w:tcPr>
            <w:tcW w:w="2468" w:type="pct"/>
            <w:tcBorders>
              <w:top w:val="double" w:sz="4" w:space="0" w:color="auto"/>
            </w:tcBorders>
            <w:vAlign w:val="bottom"/>
          </w:tcPr>
          <w:p w14:paraId="6D2754C6" w14:textId="77777777" w:rsidR="00D943DB" w:rsidRPr="00CE3053" w:rsidRDefault="00D943DB" w:rsidP="006E26B2">
            <w:pPr>
              <w:pStyle w:val="TableText"/>
              <w:spacing w:before="0" w:after="0"/>
              <w:jc w:val="both"/>
              <w:rPr>
                <w:rFonts w:ascii="Arial" w:hAnsi="Arial"/>
                <w:sz w:val="18"/>
                <w:lang w:val="mk-MK"/>
              </w:rPr>
            </w:pPr>
          </w:p>
        </w:tc>
        <w:tc>
          <w:tcPr>
            <w:tcW w:w="633" w:type="pct"/>
            <w:tcBorders>
              <w:top w:val="double" w:sz="4" w:space="0" w:color="auto"/>
            </w:tcBorders>
            <w:vAlign w:val="bottom"/>
          </w:tcPr>
          <w:p w14:paraId="18EC0E91" w14:textId="77777777" w:rsidR="00D943DB" w:rsidRPr="00CE3053" w:rsidRDefault="00D943DB" w:rsidP="006E26B2">
            <w:pPr>
              <w:spacing w:after="0" w:line="240" w:lineRule="auto"/>
              <w:jc w:val="right"/>
              <w:rPr>
                <w:rFonts w:ascii="Arial" w:hAnsi="Arial" w:cs="Arial"/>
                <w:lang w:val="mk-MK"/>
              </w:rPr>
            </w:pPr>
          </w:p>
        </w:tc>
        <w:tc>
          <w:tcPr>
            <w:tcW w:w="633" w:type="pct"/>
            <w:tcBorders>
              <w:top w:val="double" w:sz="4" w:space="0" w:color="auto"/>
            </w:tcBorders>
            <w:vAlign w:val="bottom"/>
          </w:tcPr>
          <w:p w14:paraId="32F7940A" w14:textId="77777777" w:rsidR="00D943DB" w:rsidRPr="00CE3053" w:rsidRDefault="00D943DB" w:rsidP="006E26B2">
            <w:pPr>
              <w:spacing w:after="0" w:line="240" w:lineRule="auto"/>
              <w:jc w:val="right"/>
              <w:rPr>
                <w:rFonts w:ascii="Arial" w:hAnsi="Arial" w:cs="Arial"/>
                <w:lang w:val="mk-MK"/>
              </w:rPr>
            </w:pPr>
          </w:p>
        </w:tc>
        <w:tc>
          <w:tcPr>
            <w:tcW w:w="633" w:type="pct"/>
            <w:tcBorders>
              <w:top w:val="double" w:sz="4" w:space="0" w:color="auto"/>
            </w:tcBorders>
            <w:vAlign w:val="bottom"/>
          </w:tcPr>
          <w:p w14:paraId="5EF7026C" w14:textId="77777777" w:rsidR="00D943DB" w:rsidRPr="00CE3053" w:rsidRDefault="00D943DB" w:rsidP="006E26B2">
            <w:pPr>
              <w:spacing w:after="0" w:line="240" w:lineRule="auto"/>
              <w:jc w:val="right"/>
              <w:rPr>
                <w:rFonts w:ascii="Arial" w:hAnsi="Arial" w:cs="Arial"/>
                <w:lang w:val="mk-MK"/>
              </w:rPr>
            </w:pPr>
          </w:p>
        </w:tc>
        <w:tc>
          <w:tcPr>
            <w:tcW w:w="633" w:type="pct"/>
            <w:tcBorders>
              <w:top w:val="double" w:sz="4" w:space="0" w:color="auto"/>
            </w:tcBorders>
            <w:vAlign w:val="bottom"/>
          </w:tcPr>
          <w:p w14:paraId="4524CB51" w14:textId="77777777" w:rsidR="00D943DB" w:rsidRPr="00CE3053" w:rsidRDefault="00D943DB" w:rsidP="006E26B2">
            <w:pPr>
              <w:spacing w:after="0" w:line="240" w:lineRule="auto"/>
              <w:jc w:val="right"/>
              <w:rPr>
                <w:rFonts w:ascii="Arial" w:hAnsi="Arial" w:cs="Arial"/>
                <w:lang w:val="mk-MK"/>
              </w:rPr>
            </w:pPr>
          </w:p>
        </w:tc>
      </w:tr>
      <w:tr w:rsidR="00D943DB" w:rsidRPr="001E6526" w14:paraId="21ACA245" w14:textId="77777777" w:rsidTr="00815E65">
        <w:trPr>
          <w:trHeight w:val="216"/>
        </w:trPr>
        <w:tc>
          <w:tcPr>
            <w:tcW w:w="2468" w:type="pct"/>
            <w:vAlign w:val="bottom"/>
          </w:tcPr>
          <w:p w14:paraId="10253DC5" w14:textId="31C51D94" w:rsidR="00D943DB" w:rsidRPr="00A3347F" w:rsidRDefault="00A3347F" w:rsidP="006E26B2">
            <w:pPr>
              <w:pStyle w:val="TableText"/>
              <w:spacing w:before="0" w:after="0"/>
              <w:jc w:val="both"/>
              <w:rPr>
                <w:rFonts w:ascii="Arial" w:hAnsi="Arial"/>
                <w:b/>
                <w:sz w:val="18"/>
                <w:lang w:val="en-US"/>
              </w:rPr>
            </w:pPr>
            <w:r>
              <w:rPr>
                <w:rFonts w:ascii="Arial" w:hAnsi="Arial"/>
                <w:b/>
                <w:bCs/>
                <w:color w:val="000000"/>
                <w:sz w:val="18"/>
                <w:lang w:val="en-US"/>
              </w:rPr>
              <w:t>Financial liabilities</w:t>
            </w:r>
          </w:p>
        </w:tc>
        <w:tc>
          <w:tcPr>
            <w:tcW w:w="633" w:type="pct"/>
            <w:vAlign w:val="bottom"/>
          </w:tcPr>
          <w:p w14:paraId="7FBF5946" w14:textId="77777777" w:rsidR="00D943DB" w:rsidRPr="00CE3053" w:rsidRDefault="00D943DB" w:rsidP="006E26B2">
            <w:pPr>
              <w:spacing w:after="0" w:line="240" w:lineRule="auto"/>
              <w:jc w:val="right"/>
              <w:rPr>
                <w:rFonts w:ascii="Arial" w:hAnsi="Arial" w:cs="Arial"/>
                <w:b/>
                <w:bCs/>
                <w:lang w:val="mk-MK"/>
              </w:rPr>
            </w:pPr>
          </w:p>
        </w:tc>
        <w:tc>
          <w:tcPr>
            <w:tcW w:w="633" w:type="pct"/>
            <w:vAlign w:val="bottom"/>
          </w:tcPr>
          <w:p w14:paraId="6AD0C0CC" w14:textId="77777777" w:rsidR="00D943DB" w:rsidRPr="00CE3053" w:rsidRDefault="00D943DB" w:rsidP="006E26B2">
            <w:pPr>
              <w:spacing w:after="0" w:line="240" w:lineRule="auto"/>
              <w:jc w:val="right"/>
              <w:rPr>
                <w:rFonts w:ascii="Arial" w:hAnsi="Arial" w:cs="Arial"/>
                <w:b/>
                <w:bCs/>
                <w:lang w:val="mk-MK"/>
              </w:rPr>
            </w:pPr>
          </w:p>
        </w:tc>
        <w:tc>
          <w:tcPr>
            <w:tcW w:w="633" w:type="pct"/>
            <w:vAlign w:val="bottom"/>
          </w:tcPr>
          <w:p w14:paraId="65814160" w14:textId="77777777" w:rsidR="00D943DB" w:rsidRPr="00CE3053" w:rsidRDefault="00D943DB" w:rsidP="006E26B2">
            <w:pPr>
              <w:spacing w:after="0" w:line="240" w:lineRule="auto"/>
              <w:jc w:val="right"/>
              <w:rPr>
                <w:rFonts w:ascii="Arial" w:hAnsi="Arial" w:cs="Arial"/>
                <w:b/>
                <w:bCs/>
                <w:lang w:val="mk-MK"/>
              </w:rPr>
            </w:pPr>
          </w:p>
        </w:tc>
        <w:tc>
          <w:tcPr>
            <w:tcW w:w="633" w:type="pct"/>
            <w:vAlign w:val="bottom"/>
          </w:tcPr>
          <w:p w14:paraId="2AB5F60A" w14:textId="77777777" w:rsidR="00D943DB" w:rsidRPr="00CE3053" w:rsidRDefault="00D943DB" w:rsidP="006E26B2">
            <w:pPr>
              <w:spacing w:after="0" w:line="240" w:lineRule="auto"/>
              <w:jc w:val="right"/>
              <w:rPr>
                <w:rFonts w:ascii="Arial" w:hAnsi="Arial" w:cs="Arial"/>
                <w:b/>
                <w:bCs/>
                <w:lang w:val="mk-MK"/>
              </w:rPr>
            </w:pPr>
          </w:p>
        </w:tc>
      </w:tr>
      <w:tr w:rsidR="00D943DB" w:rsidRPr="001E6526" w14:paraId="7F4877C1" w14:textId="77777777" w:rsidTr="00815E65">
        <w:trPr>
          <w:trHeight w:val="216"/>
        </w:trPr>
        <w:tc>
          <w:tcPr>
            <w:tcW w:w="2468" w:type="pct"/>
            <w:vAlign w:val="bottom"/>
          </w:tcPr>
          <w:p w14:paraId="76D9F33A" w14:textId="0F7AF2C7" w:rsidR="00D943DB" w:rsidRPr="00A3347F" w:rsidRDefault="00A3347F" w:rsidP="006E26B2">
            <w:pPr>
              <w:pStyle w:val="TableText"/>
              <w:spacing w:before="0" w:after="0"/>
              <w:jc w:val="both"/>
              <w:rPr>
                <w:rFonts w:ascii="Arial" w:hAnsi="Arial"/>
                <w:bCs/>
                <w:sz w:val="18"/>
                <w:lang w:val="en-US"/>
              </w:rPr>
            </w:pPr>
            <w:r>
              <w:rPr>
                <w:rFonts w:ascii="Arial" w:hAnsi="Arial"/>
                <w:bCs/>
                <w:sz w:val="18"/>
                <w:lang w:val="en-US"/>
              </w:rPr>
              <w:t>Claims payables</w:t>
            </w:r>
          </w:p>
        </w:tc>
        <w:tc>
          <w:tcPr>
            <w:tcW w:w="633" w:type="pct"/>
            <w:vAlign w:val="bottom"/>
          </w:tcPr>
          <w:p w14:paraId="2254E0D2" w14:textId="2E39D06B" w:rsidR="00D943DB" w:rsidRPr="00CE3053" w:rsidRDefault="002D1802" w:rsidP="006E26B2">
            <w:pPr>
              <w:pStyle w:val="TableText"/>
              <w:spacing w:before="0" w:after="0"/>
              <w:jc w:val="right"/>
              <w:rPr>
                <w:rFonts w:ascii="Arial" w:hAnsi="Arial"/>
                <w:bCs/>
                <w:color w:val="000000"/>
                <w:sz w:val="18"/>
                <w:lang w:val="mk-MK"/>
              </w:rPr>
            </w:pPr>
            <w:r w:rsidRPr="00CE3053">
              <w:rPr>
                <w:rFonts w:ascii="Arial" w:hAnsi="Arial"/>
                <w:bCs/>
                <w:color w:val="000000"/>
                <w:sz w:val="18"/>
                <w:lang w:val="mk-MK"/>
              </w:rPr>
              <w:t>416,884</w:t>
            </w:r>
          </w:p>
        </w:tc>
        <w:tc>
          <w:tcPr>
            <w:tcW w:w="633" w:type="pct"/>
            <w:vAlign w:val="bottom"/>
          </w:tcPr>
          <w:p w14:paraId="2D41AFBB" w14:textId="0BDB9678" w:rsidR="00D943DB" w:rsidRPr="001E6526" w:rsidRDefault="00D943DB" w:rsidP="006E26B2">
            <w:pPr>
              <w:pStyle w:val="TableText"/>
              <w:spacing w:before="0" w:after="0"/>
              <w:jc w:val="right"/>
              <w:rPr>
                <w:rFonts w:ascii="Arial" w:hAnsi="Arial"/>
                <w:bCs/>
                <w:color w:val="000000"/>
                <w:sz w:val="18"/>
                <w:lang w:val="mk-MK"/>
              </w:rPr>
            </w:pPr>
            <w:r w:rsidRPr="001E6526">
              <w:rPr>
                <w:rFonts w:ascii="Arial" w:hAnsi="Arial"/>
                <w:bCs/>
                <w:color w:val="000000"/>
                <w:sz w:val="18"/>
                <w:lang w:val="mk-MK"/>
              </w:rPr>
              <w:t>621,156</w:t>
            </w:r>
          </w:p>
        </w:tc>
        <w:tc>
          <w:tcPr>
            <w:tcW w:w="633" w:type="pct"/>
            <w:vAlign w:val="bottom"/>
          </w:tcPr>
          <w:p w14:paraId="4BFF71CC" w14:textId="11885C2A" w:rsidR="00D943DB" w:rsidRPr="001E6526" w:rsidRDefault="001242BC" w:rsidP="006E26B2">
            <w:pPr>
              <w:pStyle w:val="TableText"/>
              <w:spacing w:before="0" w:after="0"/>
              <w:jc w:val="right"/>
              <w:rPr>
                <w:rFonts w:ascii="Arial" w:hAnsi="Arial"/>
                <w:bCs/>
                <w:color w:val="000000"/>
                <w:sz w:val="18"/>
                <w:lang w:val="mk-MK"/>
              </w:rPr>
            </w:pPr>
            <w:r w:rsidRPr="00CE3053">
              <w:rPr>
                <w:rFonts w:ascii="Arial" w:hAnsi="Arial"/>
                <w:bCs/>
                <w:color w:val="000000"/>
                <w:sz w:val="18"/>
                <w:lang w:val="mk-MK"/>
              </w:rPr>
              <w:t>416,884</w:t>
            </w:r>
          </w:p>
        </w:tc>
        <w:tc>
          <w:tcPr>
            <w:tcW w:w="633" w:type="pct"/>
            <w:vAlign w:val="bottom"/>
          </w:tcPr>
          <w:p w14:paraId="21BD8949" w14:textId="50E5D1FF" w:rsidR="00D943DB" w:rsidRPr="001E6526" w:rsidRDefault="00D943DB" w:rsidP="006E26B2">
            <w:pPr>
              <w:pStyle w:val="TableText"/>
              <w:spacing w:before="0" w:after="0"/>
              <w:jc w:val="right"/>
              <w:rPr>
                <w:rFonts w:ascii="Arial" w:hAnsi="Arial"/>
                <w:bCs/>
                <w:color w:val="000000"/>
                <w:sz w:val="18"/>
                <w:lang w:val="mk-MK"/>
              </w:rPr>
            </w:pPr>
            <w:r w:rsidRPr="001E6526">
              <w:rPr>
                <w:rFonts w:ascii="Arial" w:hAnsi="Arial"/>
                <w:bCs/>
                <w:color w:val="000000"/>
                <w:sz w:val="18"/>
                <w:lang w:val="mk-MK"/>
              </w:rPr>
              <w:t>621,156</w:t>
            </w:r>
          </w:p>
        </w:tc>
      </w:tr>
      <w:tr w:rsidR="00D943DB" w:rsidRPr="001E6526" w14:paraId="6D4B0ED0" w14:textId="77777777" w:rsidTr="00815E65">
        <w:trPr>
          <w:trHeight w:val="216"/>
        </w:trPr>
        <w:tc>
          <w:tcPr>
            <w:tcW w:w="2468" w:type="pct"/>
            <w:tcBorders>
              <w:bottom w:val="single" w:sz="4" w:space="0" w:color="auto"/>
            </w:tcBorders>
            <w:vAlign w:val="bottom"/>
          </w:tcPr>
          <w:p w14:paraId="1A2716D6" w14:textId="53705E04" w:rsidR="00D943DB" w:rsidRPr="00A3347F" w:rsidRDefault="00A3347F" w:rsidP="006E26B2">
            <w:pPr>
              <w:pStyle w:val="TableText"/>
              <w:spacing w:before="0" w:after="0"/>
              <w:jc w:val="both"/>
              <w:rPr>
                <w:rFonts w:ascii="Arial" w:hAnsi="Arial"/>
                <w:color w:val="000000"/>
                <w:sz w:val="18"/>
                <w:lang w:val="en-US"/>
              </w:rPr>
            </w:pPr>
            <w:r>
              <w:rPr>
                <w:rFonts w:ascii="Arial" w:hAnsi="Arial"/>
                <w:bCs/>
                <w:sz w:val="18"/>
                <w:lang w:val="en-US"/>
              </w:rPr>
              <w:t>Other payables</w:t>
            </w:r>
          </w:p>
        </w:tc>
        <w:tc>
          <w:tcPr>
            <w:tcW w:w="633" w:type="pct"/>
            <w:tcBorders>
              <w:bottom w:val="single" w:sz="4" w:space="0" w:color="auto"/>
            </w:tcBorders>
            <w:vAlign w:val="bottom"/>
          </w:tcPr>
          <w:p w14:paraId="68A3BC9F" w14:textId="4E439DAA" w:rsidR="00D943DB" w:rsidRPr="00CE3053" w:rsidRDefault="002D1802" w:rsidP="006E26B2">
            <w:pPr>
              <w:pStyle w:val="TableText"/>
              <w:spacing w:before="0" w:after="0"/>
              <w:jc w:val="right"/>
              <w:rPr>
                <w:rFonts w:ascii="Arial" w:hAnsi="Arial"/>
                <w:bCs/>
                <w:color w:val="000000"/>
                <w:sz w:val="18"/>
                <w:lang w:val="mk-MK"/>
              </w:rPr>
            </w:pPr>
            <w:r w:rsidRPr="00CE3053">
              <w:rPr>
                <w:rFonts w:ascii="Arial" w:hAnsi="Arial"/>
                <w:bCs/>
                <w:color w:val="000000"/>
                <w:sz w:val="18"/>
                <w:lang w:val="mk-MK"/>
              </w:rPr>
              <w:t>72</w:t>
            </w:r>
          </w:p>
        </w:tc>
        <w:tc>
          <w:tcPr>
            <w:tcW w:w="633" w:type="pct"/>
            <w:tcBorders>
              <w:bottom w:val="single" w:sz="4" w:space="0" w:color="auto"/>
            </w:tcBorders>
            <w:vAlign w:val="bottom"/>
          </w:tcPr>
          <w:p w14:paraId="6C881865" w14:textId="5B97CEBA" w:rsidR="00D943DB" w:rsidRPr="00CE3053" w:rsidRDefault="00D943DB" w:rsidP="006E26B2">
            <w:pPr>
              <w:pStyle w:val="TableText"/>
              <w:spacing w:before="0" w:after="0"/>
              <w:jc w:val="right"/>
              <w:rPr>
                <w:rFonts w:ascii="Arial" w:hAnsi="Arial"/>
                <w:bCs/>
                <w:color w:val="000000"/>
                <w:sz w:val="18"/>
                <w:lang w:val="mk-MK"/>
              </w:rPr>
            </w:pPr>
            <w:r w:rsidRPr="001E6526">
              <w:rPr>
                <w:rFonts w:ascii="Arial" w:hAnsi="Arial"/>
                <w:bCs/>
                <w:color w:val="000000"/>
                <w:sz w:val="18"/>
                <w:lang w:val="mk-MK"/>
              </w:rPr>
              <w:t>68</w:t>
            </w:r>
          </w:p>
        </w:tc>
        <w:tc>
          <w:tcPr>
            <w:tcW w:w="633" w:type="pct"/>
            <w:tcBorders>
              <w:bottom w:val="single" w:sz="4" w:space="0" w:color="auto"/>
            </w:tcBorders>
            <w:vAlign w:val="bottom"/>
          </w:tcPr>
          <w:p w14:paraId="3C1CC577" w14:textId="151C3072" w:rsidR="00D943DB" w:rsidRPr="001E6526" w:rsidRDefault="001242BC" w:rsidP="006E26B2">
            <w:pPr>
              <w:pStyle w:val="TableText"/>
              <w:spacing w:before="0" w:after="0"/>
              <w:jc w:val="right"/>
              <w:rPr>
                <w:rFonts w:ascii="Arial" w:hAnsi="Arial"/>
                <w:bCs/>
                <w:color w:val="000000"/>
                <w:sz w:val="18"/>
                <w:lang w:val="mk-MK"/>
              </w:rPr>
            </w:pPr>
            <w:r w:rsidRPr="00CE3053">
              <w:rPr>
                <w:rFonts w:ascii="Arial" w:hAnsi="Arial"/>
                <w:bCs/>
                <w:color w:val="000000"/>
                <w:sz w:val="18"/>
                <w:lang w:val="mk-MK"/>
              </w:rPr>
              <w:t>72</w:t>
            </w:r>
          </w:p>
        </w:tc>
        <w:tc>
          <w:tcPr>
            <w:tcW w:w="633" w:type="pct"/>
            <w:tcBorders>
              <w:bottom w:val="single" w:sz="4" w:space="0" w:color="auto"/>
            </w:tcBorders>
            <w:vAlign w:val="bottom"/>
          </w:tcPr>
          <w:p w14:paraId="36D039ED" w14:textId="2E1AD664" w:rsidR="00D943DB" w:rsidRPr="00CE3053" w:rsidRDefault="00D943DB" w:rsidP="006E26B2">
            <w:pPr>
              <w:pStyle w:val="TableText"/>
              <w:spacing w:before="0" w:after="0"/>
              <w:jc w:val="right"/>
              <w:rPr>
                <w:rFonts w:ascii="Arial" w:hAnsi="Arial"/>
                <w:bCs/>
                <w:color w:val="000000"/>
                <w:sz w:val="18"/>
                <w:lang w:val="mk-MK"/>
              </w:rPr>
            </w:pPr>
            <w:r w:rsidRPr="001E6526">
              <w:rPr>
                <w:rFonts w:ascii="Arial" w:hAnsi="Arial"/>
                <w:bCs/>
                <w:color w:val="000000"/>
                <w:sz w:val="18"/>
                <w:lang w:val="mk-MK"/>
              </w:rPr>
              <w:t>68</w:t>
            </w:r>
          </w:p>
        </w:tc>
      </w:tr>
      <w:tr w:rsidR="00D943DB" w:rsidRPr="001E6526" w14:paraId="06B2C0C3" w14:textId="77777777" w:rsidTr="00815E65">
        <w:trPr>
          <w:trHeight w:val="216"/>
        </w:trPr>
        <w:tc>
          <w:tcPr>
            <w:tcW w:w="2468" w:type="pct"/>
            <w:tcBorders>
              <w:top w:val="single" w:sz="4" w:space="0" w:color="auto"/>
              <w:bottom w:val="double" w:sz="4" w:space="0" w:color="auto"/>
            </w:tcBorders>
            <w:vAlign w:val="bottom"/>
          </w:tcPr>
          <w:p w14:paraId="738439F8" w14:textId="77777777" w:rsidR="00D943DB" w:rsidRPr="00CE3053" w:rsidRDefault="00D943DB" w:rsidP="006E26B2">
            <w:pPr>
              <w:pStyle w:val="TableText"/>
              <w:spacing w:before="0" w:after="0"/>
              <w:jc w:val="both"/>
              <w:rPr>
                <w:rFonts w:ascii="Arial" w:hAnsi="Arial"/>
                <w:b/>
                <w:color w:val="000000"/>
                <w:sz w:val="18"/>
                <w:lang w:val="mk-MK"/>
              </w:rPr>
            </w:pPr>
          </w:p>
        </w:tc>
        <w:tc>
          <w:tcPr>
            <w:tcW w:w="633" w:type="pct"/>
            <w:tcBorders>
              <w:top w:val="single" w:sz="4" w:space="0" w:color="auto"/>
              <w:bottom w:val="double" w:sz="4" w:space="0" w:color="auto"/>
            </w:tcBorders>
            <w:vAlign w:val="bottom"/>
          </w:tcPr>
          <w:p w14:paraId="32B0DB67" w14:textId="2188D27F" w:rsidR="00D943DB" w:rsidRPr="00CE3053" w:rsidRDefault="002D1802" w:rsidP="006E26B2">
            <w:pPr>
              <w:spacing w:after="0" w:line="240" w:lineRule="auto"/>
              <w:jc w:val="right"/>
              <w:rPr>
                <w:rFonts w:ascii="Arial" w:hAnsi="Arial" w:cs="Arial"/>
                <w:b/>
                <w:bCs/>
                <w:color w:val="000000"/>
                <w:lang w:val="mk-MK"/>
              </w:rPr>
            </w:pPr>
            <w:r w:rsidRPr="00CE3053">
              <w:rPr>
                <w:rFonts w:ascii="Arial" w:hAnsi="Arial" w:cs="Arial"/>
                <w:b/>
                <w:bCs/>
                <w:color w:val="000000"/>
                <w:lang w:val="mk-MK"/>
              </w:rPr>
              <w:t>416,956</w:t>
            </w:r>
          </w:p>
        </w:tc>
        <w:tc>
          <w:tcPr>
            <w:tcW w:w="633" w:type="pct"/>
            <w:tcBorders>
              <w:top w:val="single" w:sz="4" w:space="0" w:color="auto"/>
              <w:bottom w:val="double" w:sz="4" w:space="0" w:color="auto"/>
            </w:tcBorders>
            <w:vAlign w:val="bottom"/>
          </w:tcPr>
          <w:p w14:paraId="45DDBF15" w14:textId="33655AAA" w:rsidR="00D943DB" w:rsidRPr="00CE3053" w:rsidRDefault="00D943DB" w:rsidP="006E26B2">
            <w:pPr>
              <w:spacing w:after="0" w:line="240" w:lineRule="auto"/>
              <w:jc w:val="right"/>
              <w:rPr>
                <w:rFonts w:ascii="Arial" w:hAnsi="Arial" w:cs="Arial"/>
                <w:b/>
                <w:bCs/>
                <w:color w:val="000000"/>
                <w:lang w:val="mk-MK"/>
              </w:rPr>
            </w:pPr>
            <w:r w:rsidRPr="001E6526">
              <w:rPr>
                <w:rFonts w:ascii="Arial" w:hAnsi="Arial" w:cs="Arial"/>
                <w:b/>
                <w:bCs/>
                <w:color w:val="000000"/>
                <w:lang w:val="mk-MK"/>
              </w:rPr>
              <w:t>621,224</w:t>
            </w:r>
          </w:p>
        </w:tc>
        <w:tc>
          <w:tcPr>
            <w:tcW w:w="633" w:type="pct"/>
            <w:tcBorders>
              <w:top w:val="single" w:sz="4" w:space="0" w:color="auto"/>
              <w:bottom w:val="double" w:sz="4" w:space="0" w:color="auto"/>
            </w:tcBorders>
            <w:vAlign w:val="bottom"/>
          </w:tcPr>
          <w:p w14:paraId="66F8591A" w14:textId="7AE3E924" w:rsidR="00D943DB" w:rsidRPr="001E6526" w:rsidRDefault="001242BC" w:rsidP="006E26B2">
            <w:pPr>
              <w:spacing w:after="0" w:line="240" w:lineRule="auto"/>
              <w:jc w:val="right"/>
              <w:rPr>
                <w:rFonts w:ascii="Arial" w:hAnsi="Arial" w:cs="Arial"/>
                <w:b/>
                <w:bCs/>
                <w:color w:val="000000"/>
                <w:lang w:val="mk-MK"/>
              </w:rPr>
            </w:pPr>
            <w:r w:rsidRPr="00CE3053">
              <w:rPr>
                <w:rFonts w:ascii="Arial" w:hAnsi="Arial" w:cs="Arial"/>
                <w:b/>
                <w:bCs/>
                <w:color w:val="000000"/>
                <w:lang w:val="mk-MK"/>
              </w:rPr>
              <w:t>416,956</w:t>
            </w:r>
          </w:p>
        </w:tc>
        <w:tc>
          <w:tcPr>
            <w:tcW w:w="633" w:type="pct"/>
            <w:tcBorders>
              <w:top w:val="single" w:sz="4" w:space="0" w:color="auto"/>
              <w:bottom w:val="double" w:sz="4" w:space="0" w:color="auto"/>
            </w:tcBorders>
            <w:vAlign w:val="bottom"/>
          </w:tcPr>
          <w:p w14:paraId="607F176E" w14:textId="43998091" w:rsidR="00D943DB" w:rsidRPr="00CE3053" w:rsidRDefault="00D943DB" w:rsidP="006E26B2">
            <w:pPr>
              <w:spacing w:after="0" w:line="240" w:lineRule="auto"/>
              <w:jc w:val="right"/>
              <w:rPr>
                <w:rFonts w:ascii="Arial" w:hAnsi="Arial" w:cs="Arial"/>
                <w:b/>
                <w:bCs/>
                <w:color w:val="000000"/>
                <w:lang w:val="mk-MK"/>
              </w:rPr>
            </w:pPr>
            <w:r w:rsidRPr="001E6526">
              <w:rPr>
                <w:rFonts w:ascii="Arial" w:hAnsi="Arial" w:cs="Arial"/>
                <w:b/>
                <w:bCs/>
                <w:color w:val="000000"/>
                <w:lang w:val="mk-MK"/>
              </w:rPr>
              <w:t>621,224</w:t>
            </w:r>
          </w:p>
        </w:tc>
      </w:tr>
    </w:tbl>
    <w:p w14:paraId="2F31D18B" w14:textId="38F563BB" w:rsidR="00815E65" w:rsidRPr="00514B1E" w:rsidRDefault="00514B1E" w:rsidP="00815E65">
      <w:pPr>
        <w:jc w:val="both"/>
        <w:rPr>
          <w:rFonts w:ascii="Arial" w:hAnsi="Arial" w:cs="Arial"/>
          <w:i/>
        </w:rPr>
      </w:pPr>
      <w:r>
        <w:rPr>
          <w:rFonts w:ascii="Arial" w:hAnsi="Arial" w:cs="Arial"/>
          <w:i/>
        </w:rPr>
        <w:t>Investments in securities</w:t>
      </w:r>
    </w:p>
    <w:p w14:paraId="254092CC" w14:textId="67C46BF4" w:rsidR="00815E65" w:rsidRPr="00CE3053" w:rsidRDefault="00514B1E" w:rsidP="00815E65">
      <w:pPr>
        <w:autoSpaceDE w:val="0"/>
        <w:autoSpaceDN w:val="0"/>
        <w:adjustRightInd w:val="0"/>
        <w:spacing w:after="284" w:line="280" w:lineRule="atLeast"/>
        <w:jc w:val="both"/>
        <w:rPr>
          <w:rFonts w:ascii="Arial" w:hAnsi="Arial" w:cs="Arial"/>
          <w:lang w:val="mk-MK"/>
        </w:rPr>
      </w:pPr>
      <w:proofErr w:type="spellStart"/>
      <w:r w:rsidRPr="00514B1E">
        <w:rPr>
          <w:rFonts w:ascii="Arial" w:hAnsi="Arial" w:cs="Arial"/>
          <w:lang w:val="mk-MK"/>
        </w:rPr>
        <w:t>Fair</w:t>
      </w:r>
      <w:proofErr w:type="spellEnd"/>
      <w:r w:rsidRPr="00514B1E">
        <w:rPr>
          <w:rFonts w:ascii="Arial" w:hAnsi="Arial" w:cs="Arial"/>
          <w:lang w:val="mk-MK"/>
        </w:rPr>
        <w:t xml:space="preserve"> </w:t>
      </w:r>
      <w:proofErr w:type="spellStart"/>
      <w:r w:rsidRPr="00514B1E">
        <w:rPr>
          <w:rFonts w:ascii="Arial" w:hAnsi="Arial" w:cs="Arial"/>
          <w:lang w:val="mk-MK"/>
        </w:rPr>
        <w:t>value</w:t>
      </w:r>
      <w:proofErr w:type="spellEnd"/>
      <w:r w:rsidRPr="00514B1E">
        <w:rPr>
          <w:rFonts w:ascii="Arial" w:hAnsi="Arial" w:cs="Arial"/>
          <w:lang w:val="mk-MK"/>
        </w:rPr>
        <w:t xml:space="preserve"> </w:t>
      </w:r>
      <w:proofErr w:type="spellStart"/>
      <w:r w:rsidRPr="00514B1E">
        <w:rPr>
          <w:rFonts w:ascii="Arial" w:hAnsi="Arial" w:cs="Arial"/>
          <w:lang w:val="mk-MK"/>
        </w:rPr>
        <w:t>of</w:t>
      </w:r>
      <w:proofErr w:type="spellEnd"/>
      <w:r w:rsidRPr="00514B1E">
        <w:rPr>
          <w:rFonts w:ascii="Arial" w:hAnsi="Arial" w:cs="Arial"/>
          <w:lang w:val="mk-MK"/>
        </w:rPr>
        <w:t xml:space="preserve"> </w:t>
      </w:r>
      <w:proofErr w:type="spellStart"/>
      <w:r w:rsidRPr="00514B1E">
        <w:rPr>
          <w:rFonts w:ascii="Arial" w:hAnsi="Arial" w:cs="Arial"/>
          <w:lang w:val="mk-MK"/>
        </w:rPr>
        <w:t>held</w:t>
      </w:r>
      <w:proofErr w:type="spellEnd"/>
      <w:r w:rsidRPr="00514B1E">
        <w:rPr>
          <w:rFonts w:ascii="Arial" w:hAnsi="Arial" w:cs="Arial"/>
          <w:lang w:val="mk-MK"/>
        </w:rPr>
        <w:t xml:space="preserve"> </w:t>
      </w:r>
      <w:proofErr w:type="spellStart"/>
      <w:r w:rsidRPr="00514B1E">
        <w:rPr>
          <w:rFonts w:ascii="Arial" w:hAnsi="Arial" w:cs="Arial"/>
          <w:lang w:val="mk-MK"/>
        </w:rPr>
        <w:t>to</w:t>
      </w:r>
      <w:proofErr w:type="spellEnd"/>
      <w:r w:rsidRPr="00514B1E">
        <w:rPr>
          <w:rFonts w:ascii="Arial" w:hAnsi="Arial" w:cs="Arial"/>
          <w:lang w:val="mk-MK"/>
        </w:rPr>
        <w:t xml:space="preserve"> </w:t>
      </w:r>
      <w:proofErr w:type="spellStart"/>
      <w:r w:rsidRPr="00514B1E">
        <w:rPr>
          <w:rFonts w:ascii="Arial" w:hAnsi="Arial" w:cs="Arial"/>
          <w:lang w:val="mk-MK"/>
        </w:rPr>
        <w:t>maturity</w:t>
      </w:r>
      <w:proofErr w:type="spellEnd"/>
      <w:r w:rsidRPr="00514B1E">
        <w:rPr>
          <w:rFonts w:ascii="Arial" w:hAnsi="Arial" w:cs="Arial"/>
          <w:lang w:val="mk-MK"/>
        </w:rPr>
        <w:t xml:space="preserve"> </w:t>
      </w:r>
      <w:proofErr w:type="spellStart"/>
      <w:r w:rsidRPr="00514B1E">
        <w:rPr>
          <w:rFonts w:ascii="Arial" w:hAnsi="Arial" w:cs="Arial"/>
          <w:lang w:val="mk-MK"/>
        </w:rPr>
        <w:t>investments</w:t>
      </w:r>
      <w:proofErr w:type="spellEnd"/>
      <w:r w:rsidRPr="00514B1E">
        <w:rPr>
          <w:rFonts w:ascii="Arial" w:hAnsi="Arial" w:cs="Arial"/>
          <w:lang w:val="mk-MK"/>
        </w:rPr>
        <w:t xml:space="preserve"> </w:t>
      </w:r>
      <w:proofErr w:type="spellStart"/>
      <w:r w:rsidRPr="00514B1E">
        <w:rPr>
          <w:rFonts w:ascii="Arial" w:hAnsi="Arial" w:cs="Arial"/>
          <w:lang w:val="mk-MK"/>
        </w:rPr>
        <w:t>is</w:t>
      </w:r>
      <w:proofErr w:type="spellEnd"/>
      <w:r w:rsidRPr="00514B1E">
        <w:rPr>
          <w:rFonts w:ascii="Arial" w:hAnsi="Arial" w:cs="Arial"/>
          <w:lang w:val="mk-MK"/>
        </w:rPr>
        <w:t xml:space="preserve"> </w:t>
      </w:r>
      <w:proofErr w:type="spellStart"/>
      <w:r w:rsidRPr="00514B1E">
        <w:rPr>
          <w:rFonts w:ascii="Arial" w:hAnsi="Arial" w:cs="Arial"/>
          <w:lang w:val="mk-MK"/>
        </w:rPr>
        <w:t>their</w:t>
      </w:r>
      <w:proofErr w:type="spellEnd"/>
      <w:r w:rsidRPr="00514B1E">
        <w:rPr>
          <w:rFonts w:ascii="Arial" w:hAnsi="Arial" w:cs="Arial"/>
          <w:lang w:val="mk-MK"/>
        </w:rPr>
        <w:t xml:space="preserve"> </w:t>
      </w:r>
      <w:proofErr w:type="spellStart"/>
      <w:r w:rsidRPr="00514B1E">
        <w:rPr>
          <w:rFonts w:ascii="Arial" w:hAnsi="Arial" w:cs="Arial"/>
          <w:lang w:val="mk-MK"/>
        </w:rPr>
        <w:t>carrying</w:t>
      </w:r>
      <w:proofErr w:type="spellEnd"/>
      <w:r w:rsidRPr="00514B1E">
        <w:rPr>
          <w:rFonts w:ascii="Arial" w:hAnsi="Arial" w:cs="Arial"/>
          <w:lang w:val="mk-MK"/>
        </w:rPr>
        <w:t xml:space="preserve"> </w:t>
      </w:r>
      <w:proofErr w:type="spellStart"/>
      <w:r w:rsidRPr="00514B1E">
        <w:rPr>
          <w:rFonts w:ascii="Arial" w:hAnsi="Arial" w:cs="Arial"/>
          <w:lang w:val="mk-MK"/>
        </w:rPr>
        <w:t>value</w:t>
      </w:r>
      <w:proofErr w:type="spellEnd"/>
      <w:r w:rsidRPr="00514B1E">
        <w:rPr>
          <w:rFonts w:ascii="Arial" w:hAnsi="Arial" w:cs="Arial"/>
          <w:lang w:val="mk-MK"/>
        </w:rPr>
        <w:t xml:space="preserve"> </w:t>
      </w:r>
      <w:proofErr w:type="spellStart"/>
      <w:r w:rsidRPr="00514B1E">
        <w:rPr>
          <w:rFonts w:ascii="Arial" w:hAnsi="Arial" w:cs="Arial"/>
          <w:lang w:val="mk-MK"/>
        </w:rPr>
        <w:t>due</w:t>
      </w:r>
      <w:proofErr w:type="spellEnd"/>
      <w:r w:rsidRPr="00514B1E">
        <w:rPr>
          <w:rFonts w:ascii="Arial" w:hAnsi="Arial" w:cs="Arial"/>
          <w:lang w:val="mk-MK"/>
        </w:rPr>
        <w:t xml:space="preserve"> </w:t>
      </w:r>
      <w:proofErr w:type="spellStart"/>
      <w:r w:rsidRPr="00514B1E">
        <w:rPr>
          <w:rFonts w:ascii="Arial" w:hAnsi="Arial" w:cs="Arial"/>
          <w:lang w:val="mk-MK"/>
        </w:rPr>
        <w:t>to</w:t>
      </w:r>
      <w:proofErr w:type="spellEnd"/>
      <w:r w:rsidRPr="00514B1E">
        <w:rPr>
          <w:rFonts w:ascii="Arial" w:hAnsi="Arial" w:cs="Arial"/>
          <w:lang w:val="mk-MK"/>
        </w:rPr>
        <w:t xml:space="preserve"> </w:t>
      </w:r>
      <w:proofErr w:type="spellStart"/>
      <w:r w:rsidRPr="00514B1E">
        <w:rPr>
          <w:rFonts w:ascii="Arial" w:hAnsi="Arial" w:cs="Arial"/>
          <w:lang w:val="mk-MK"/>
        </w:rPr>
        <w:t>their</w:t>
      </w:r>
      <w:proofErr w:type="spellEnd"/>
      <w:r w:rsidRPr="00514B1E">
        <w:rPr>
          <w:rFonts w:ascii="Arial" w:hAnsi="Arial" w:cs="Arial"/>
          <w:lang w:val="mk-MK"/>
        </w:rPr>
        <w:t xml:space="preserve"> </w:t>
      </w:r>
      <w:proofErr w:type="spellStart"/>
      <w:r w:rsidRPr="00514B1E">
        <w:rPr>
          <w:rFonts w:ascii="Arial" w:hAnsi="Arial" w:cs="Arial"/>
          <w:lang w:val="mk-MK"/>
        </w:rPr>
        <w:t>short-term</w:t>
      </w:r>
      <w:proofErr w:type="spellEnd"/>
      <w:r w:rsidRPr="00514B1E">
        <w:rPr>
          <w:rFonts w:ascii="Arial" w:hAnsi="Arial" w:cs="Arial"/>
          <w:lang w:val="mk-MK"/>
        </w:rPr>
        <w:t xml:space="preserve"> </w:t>
      </w:r>
      <w:proofErr w:type="spellStart"/>
      <w:r w:rsidRPr="00514B1E">
        <w:rPr>
          <w:rFonts w:ascii="Arial" w:hAnsi="Arial" w:cs="Arial"/>
          <w:lang w:val="mk-MK"/>
        </w:rPr>
        <w:t>maturity</w:t>
      </w:r>
      <w:proofErr w:type="spellEnd"/>
      <w:r w:rsidR="00815E65" w:rsidRPr="00CE3053">
        <w:rPr>
          <w:rFonts w:ascii="Arial" w:hAnsi="Arial" w:cs="Arial"/>
          <w:lang w:val="mk-MK"/>
        </w:rPr>
        <w:t>.</w:t>
      </w:r>
    </w:p>
    <w:p w14:paraId="394C52A8" w14:textId="5895A850" w:rsidR="00815E65" w:rsidRPr="005961A8" w:rsidRDefault="005961A8" w:rsidP="00815E65">
      <w:pPr>
        <w:autoSpaceDE w:val="0"/>
        <w:autoSpaceDN w:val="0"/>
        <w:adjustRightInd w:val="0"/>
        <w:jc w:val="both"/>
        <w:rPr>
          <w:rFonts w:ascii="Arial" w:hAnsi="Arial" w:cs="Arial"/>
          <w:i/>
          <w:iCs/>
          <w:color w:val="000000"/>
        </w:rPr>
      </w:pPr>
      <w:r>
        <w:rPr>
          <w:rFonts w:ascii="Arial" w:hAnsi="Arial" w:cs="Arial"/>
          <w:i/>
          <w:iCs/>
          <w:color w:val="000000"/>
        </w:rPr>
        <w:t>Cash and cash equivalents</w:t>
      </w:r>
    </w:p>
    <w:p w14:paraId="400BD9DD" w14:textId="14727BE5" w:rsidR="00815E65" w:rsidRPr="00CE3053" w:rsidRDefault="005961A8" w:rsidP="00815E65">
      <w:pPr>
        <w:autoSpaceDE w:val="0"/>
        <w:autoSpaceDN w:val="0"/>
        <w:adjustRightInd w:val="0"/>
        <w:spacing w:after="284" w:line="280" w:lineRule="atLeast"/>
        <w:jc w:val="both"/>
        <w:rPr>
          <w:rFonts w:ascii="Arial" w:hAnsi="Arial" w:cs="Arial"/>
          <w:lang w:val="mk-MK"/>
        </w:rPr>
      </w:pPr>
      <w:proofErr w:type="spellStart"/>
      <w:r w:rsidRPr="005961A8">
        <w:rPr>
          <w:rFonts w:ascii="Arial" w:hAnsi="Arial" w:cs="Arial"/>
          <w:lang w:val="mk-MK"/>
        </w:rPr>
        <w:t>Carrying</w:t>
      </w:r>
      <w:proofErr w:type="spellEnd"/>
      <w:r w:rsidRPr="005961A8">
        <w:rPr>
          <w:rFonts w:ascii="Arial" w:hAnsi="Arial" w:cs="Arial"/>
          <w:lang w:val="mk-MK"/>
        </w:rPr>
        <w:t xml:space="preserve"> </w:t>
      </w:r>
      <w:proofErr w:type="spellStart"/>
      <w:r w:rsidRPr="005961A8">
        <w:rPr>
          <w:rFonts w:ascii="Arial" w:hAnsi="Arial" w:cs="Arial"/>
          <w:lang w:val="mk-MK"/>
        </w:rPr>
        <w:t>value</w:t>
      </w:r>
      <w:proofErr w:type="spellEnd"/>
      <w:r w:rsidRPr="005961A8">
        <w:rPr>
          <w:rFonts w:ascii="Arial" w:hAnsi="Arial" w:cs="Arial"/>
          <w:lang w:val="mk-MK"/>
        </w:rPr>
        <w:t xml:space="preserve"> </w:t>
      </w:r>
      <w:proofErr w:type="spellStart"/>
      <w:r w:rsidRPr="005961A8">
        <w:rPr>
          <w:rFonts w:ascii="Arial" w:hAnsi="Arial" w:cs="Arial"/>
          <w:lang w:val="mk-MK"/>
        </w:rPr>
        <w:t>of</w:t>
      </w:r>
      <w:proofErr w:type="spellEnd"/>
      <w:r w:rsidRPr="005961A8">
        <w:rPr>
          <w:rFonts w:ascii="Arial" w:hAnsi="Arial" w:cs="Arial"/>
          <w:lang w:val="mk-MK"/>
        </w:rPr>
        <w:t xml:space="preserve"> </w:t>
      </w:r>
      <w:proofErr w:type="spellStart"/>
      <w:r w:rsidRPr="005961A8">
        <w:rPr>
          <w:rFonts w:ascii="Arial" w:hAnsi="Arial" w:cs="Arial"/>
          <w:lang w:val="mk-MK"/>
        </w:rPr>
        <w:t>cash</w:t>
      </w:r>
      <w:proofErr w:type="spellEnd"/>
      <w:r w:rsidRPr="005961A8">
        <w:rPr>
          <w:rFonts w:ascii="Arial" w:hAnsi="Arial" w:cs="Arial"/>
          <w:lang w:val="mk-MK"/>
        </w:rPr>
        <w:t xml:space="preserve"> </w:t>
      </w:r>
      <w:proofErr w:type="spellStart"/>
      <w:r w:rsidRPr="005961A8">
        <w:rPr>
          <w:rFonts w:ascii="Arial" w:hAnsi="Arial" w:cs="Arial"/>
          <w:lang w:val="mk-MK"/>
        </w:rPr>
        <w:t>and</w:t>
      </w:r>
      <w:proofErr w:type="spellEnd"/>
      <w:r w:rsidRPr="005961A8">
        <w:rPr>
          <w:rFonts w:ascii="Arial" w:hAnsi="Arial" w:cs="Arial"/>
          <w:lang w:val="mk-MK"/>
        </w:rPr>
        <w:t xml:space="preserve"> </w:t>
      </w:r>
      <w:proofErr w:type="spellStart"/>
      <w:r w:rsidRPr="005961A8">
        <w:rPr>
          <w:rFonts w:ascii="Arial" w:hAnsi="Arial" w:cs="Arial"/>
          <w:lang w:val="mk-MK"/>
        </w:rPr>
        <w:t>cash</w:t>
      </w:r>
      <w:proofErr w:type="spellEnd"/>
      <w:r w:rsidRPr="005961A8">
        <w:rPr>
          <w:rFonts w:ascii="Arial" w:hAnsi="Arial" w:cs="Arial"/>
          <w:lang w:val="mk-MK"/>
        </w:rPr>
        <w:t xml:space="preserve"> </w:t>
      </w:r>
      <w:proofErr w:type="spellStart"/>
      <w:r w:rsidRPr="005961A8">
        <w:rPr>
          <w:rFonts w:ascii="Arial" w:hAnsi="Arial" w:cs="Arial"/>
          <w:lang w:val="mk-MK"/>
        </w:rPr>
        <w:t>equivalents</w:t>
      </w:r>
      <w:proofErr w:type="spellEnd"/>
      <w:r w:rsidRPr="005961A8">
        <w:rPr>
          <w:rFonts w:ascii="Arial" w:hAnsi="Arial" w:cs="Arial"/>
          <w:lang w:val="mk-MK"/>
        </w:rPr>
        <w:t xml:space="preserve"> </w:t>
      </w:r>
      <w:proofErr w:type="spellStart"/>
      <w:r w:rsidRPr="005961A8">
        <w:rPr>
          <w:rFonts w:ascii="Arial" w:hAnsi="Arial" w:cs="Arial"/>
          <w:lang w:val="mk-MK"/>
        </w:rPr>
        <w:t>is</w:t>
      </w:r>
      <w:proofErr w:type="spellEnd"/>
      <w:r w:rsidRPr="005961A8">
        <w:rPr>
          <w:rFonts w:ascii="Arial" w:hAnsi="Arial" w:cs="Arial"/>
          <w:lang w:val="mk-MK"/>
        </w:rPr>
        <w:t xml:space="preserve"> </w:t>
      </w:r>
      <w:proofErr w:type="spellStart"/>
      <w:r w:rsidRPr="005961A8">
        <w:rPr>
          <w:rFonts w:ascii="Arial" w:hAnsi="Arial" w:cs="Arial"/>
          <w:lang w:val="mk-MK"/>
        </w:rPr>
        <w:t>considered</w:t>
      </w:r>
      <w:proofErr w:type="spellEnd"/>
      <w:r w:rsidRPr="005961A8">
        <w:rPr>
          <w:rFonts w:ascii="Arial" w:hAnsi="Arial" w:cs="Arial"/>
          <w:lang w:val="mk-MK"/>
        </w:rPr>
        <w:t xml:space="preserve"> </w:t>
      </w:r>
      <w:proofErr w:type="spellStart"/>
      <w:r w:rsidRPr="005961A8">
        <w:rPr>
          <w:rFonts w:ascii="Arial" w:hAnsi="Arial" w:cs="Arial"/>
          <w:lang w:val="mk-MK"/>
        </w:rPr>
        <w:t>to</w:t>
      </w:r>
      <w:proofErr w:type="spellEnd"/>
      <w:r w:rsidRPr="005961A8">
        <w:rPr>
          <w:rFonts w:ascii="Arial" w:hAnsi="Arial" w:cs="Arial"/>
          <w:lang w:val="mk-MK"/>
        </w:rPr>
        <w:t xml:space="preserve"> </w:t>
      </w:r>
      <w:proofErr w:type="spellStart"/>
      <w:r w:rsidRPr="005961A8">
        <w:rPr>
          <w:rFonts w:ascii="Arial" w:hAnsi="Arial" w:cs="Arial"/>
          <w:lang w:val="mk-MK"/>
        </w:rPr>
        <w:t>approximate</w:t>
      </w:r>
      <w:proofErr w:type="spellEnd"/>
      <w:r w:rsidRPr="005961A8">
        <w:rPr>
          <w:rFonts w:ascii="Arial" w:hAnsi="Arial" w:cs="Arial"/>
          <w:lang w:val="mk-MK"/>
        </w:rPr>
        <w:t xml:space="preserve"> </w:t>
      </w:r>
      <w:proofErr w:type="spellStart"/>
      <w:r w:rsidRPr="005961A8">
        <w:rPr>
          <w:rFonts w:ascii="Arial" w:hAnsi="Arial" w:cs="Arial"/>
          <w:lang w:val="mk-MK"/>
        </w:rPr>
        <w:t>their</w:t>
      </w:r>
      <w:proofErr w:type="spellEnd"/>
      <w:r w:rsidRPr="005961A8">
        <w:rPr>
          <w:rFonts w:ascii="Arial" w:hAnsi="Arial" w:cs="Arial"/>
          <w:lang w:val="mk-MK"/>
        </w:rPr>
        <w:t xml:space="preserve"> </w:t>
      </w:r>
      <w:proofErr w:type="spellStart"/>
      <w:r w:rsidRPr="005961A8">
        <w:rPr>
          <w:rFonts w:ascii="Arial" w:hAnsi="Arial" w:cs="Arial"/>
          <w:lang w:val="mk-MK"/>
        </w:rPr>
        <w:t>fair</w:t>
      </w:r>
      <w:proofErr w:type="spellEnd"/>
      <w:r w:rsidRPr="005961A8">
        <w:rPr>
          <w:rFonts w:ascii="Arial" w:hAnsi="Arial" w:cs="Arial"/>
          <w:lang w:val="mk-MK"/>
        </w:rPr>
        <w:t xml:space="preserve"> </w:t>
      </w:r>
      <w:proofErr w:type="spellStart"/>
      <w:r w:rsidRPr="005961A8">
        <w:rPr>
          <w:rFonts w:ascii="Arial" w:hAnsi="Arial" w:cs="Arial"/>
          <w:lang w:val="mk-MK"/>
        </w:rPr>
        <w:t>value</w:t>
      </w:r>
      <w:proofErr w:type="spellEnd"/>
      <w:r w:rsidRPr="005961A8">
        <w:rPr>
          <w:rFonts w:ascii="Arial" w:hAnsi="Arial" w:cs="Arial"/>
          <w:lang w:val="mk-MK"/>
        </w:rPr>
        <w:t xml:space="preserve">, </w:t>
      </w:r>
      <w:proofErr w:type="spellStart"/>
      <w:r w:rsidRPr="005961A8">
        <w:rPr>
          <w:rFonts w:ascii="Arial" w:hAnsi="Arial" w:cs="Arial"/>
          <w:lang w:val="mk-MK"/>
        </w:rPr>
        <w:t>considering</w:t>
      </w:r>
      <w:proofErr w:type="spellEnd"/>
      <w:r w:rsidRPr="005961A8">
        <w:rPr>
          <w:rFonts w:ascii="Arial" w:hAnsi="Arial" w:cs="Arial"/>
          <w:lang w:val="mk-MK"/>
        </w:rPr>
        <w:t xml:space="preserve"> </w:t>
      </w:r>
      <w:proofErr w:type="spellStart"/>
      <w:r w:rsidRPr="005961A8">
        <w:rPr>
          <w:rFonts w:ascii="Arial" w:hAnsi="Arial" w:cs="Arial"/>
          <w:lang w:val="mk-MK"/>
        </w:rPr>
        <w:t>they</w:t>
      </w:r>
      <w:proofErr w:type="spellEnd"/>
      <w:r w:rsidRPr="005961A8">
        <w:rPr>
          <w:rFonts w:ascii="Arial" w:hAnsi="Arial" w:cs="Arial"/>
          <w:lang w:val="mk-MK"/>
        </w:rPr>
        <w:t xml:space="preserve"> </w:t>
      </w:r>
      <w:proofErr w:type="spellStart"/>
      <w:r w:rsidRPr="005961A8">
        <w:rPr>
          <w:rFonts w:ascii="Arial" w:hAnsi="Arial" w:cs="Arial"/>
          <w:lang w:val="mk-MK"/>
        </w:rPr>
        <w:t>include</w:t>
      </w:r>
      <w:proofErr w:type="spellEnd"/>
      <w:r w:rsidRPr="005961A8">
        <w:rPr>
          <w:rFonts w:ascii="Arial" w:hAnsi="Arial" w:cs="Arial"/>
          <w:lang w:val="mk-MK"/>
        </w:rPr>
        <w:t xml:space="preserve"> </w:t>
      </w:r>
      <w:proofErr w:type="spellStart"/>
      <w:r w:rsidRPr="005961A8">
        <w:rPr>
          <w:rFonts w:ascii="Arial" w:hAnsi="Arial" w:cs="Arial"/>
          <w:lang w:val="mk-MK"/>
        </w:rPr>
        <w:t>cash</w:t>
      </w:r>
      <w:proofErr w:type="spellEnd"/>
      <w:r w:rsidRPr="005961A8">
        <w:rPr>
          <w:rFonts w:ascii="Arial" w:hAnsi="Arial" w:cs="Arial"/>
          <w:lang w:val="mk-MK"/>
        </w:rPr>
        <w:t xml:space="preserve">, </w:t>
      </w:r>
      <w:proofErr w:type="spellStart"/>
      <w:r w:rsidRPr="005961A8">
        <w:rPr>
          <w:rFonts w:ascii="Arial" w:hAnsi="Arial" w:cs="Arial"/>
          <w:lang w:val="mk-MK"/>
        </w:rPr>
        <w:t>bank</w:t>
      </w:r>
      <w:proofErr w:type="spellEnd"/>
      <w:r w:rsidRPr="005961A8">
        <w:rPr>
          <w:rFonts w:ascii="Arial" w:hAnsi="Arial" w:cs="Arial"/>
          <w:lang w:val="mk-MK"/>
        </w:rPr>
        <w:t xml:space="preserve"> </w:t>
      </w:r>
      <w:proofErr w:type="spellStart"/>
      <w:r w:rsidRPr="005961A8">
        <w:rPr>
          <w:rFonts w:ascii="Arial" w:hAnsi="Arial" w:cs="Arial"/>
          <w:lang w:val="mk-MK"/>
        </w:rPr>
        <w:t>accounts</w:t>
      </w:r>
      <w:proofErr w:type="spellEnd"/>
      <w:r w:rsidRPr="005961A8">
        <w:rPr>
          <w:rFonts w:ascii="Arial" w:hAnsi="Arial" w:cs="Arial"/>
          <w:lang w:val="mk-MK"/>
        </w:rPr>
        <w:t xml:space="preserve"> </w:t>
      </w:r>
      <w:proofErr w:type="spellStart"/>
      <w:r w:rsidRPr="005961A8">
        <w:rPr>
          <w:rFonts w:ascii="Arial" w:hAnsi="Arial" w:cs="Arial"/>
          <w:lang w:val="mk-MK"/>
        </w:rPr>
        <w:t>and</w:t>
      </w:r>
      <w:proofErr w:type="spellEnd"/>
      <w:r w:rsidRPr="005961A8">
        <w:rPr>
          <w:rFonts w:ascii="Arial" w:hAnsi="Arial" w:cs="Arial"/>
          <w:lang w:val="mk-MK"/>
        </w:rPr>
        <w:t xml:space="preserve"> </w:t>
      </w:r>
      <w:proofErr w:type="spellStart"/>
      <w:r w:rsidRPr="005961A8">
        <w:rPr>
          <w:rFonts w:ascii="Arial" w:hAnsi="Arial" w:cs="Arial"/>
          <w:lang w:val="mk-MK"/>
        </w:rPr>
        <w:t>deposits</w:t>
      </w:r>
      <w:proofErr w:type="spellEnd"/>
      <w:r w:rsidRPr="005961A8">
        <w:rPr>
          <w:rFonts w:ascii="Arial" w:hAnsi="Arial" w:cs="Arial"/>
          <w:lang w:val="mk-MK"/>
        </w:rPr>
        <w:t xml:space="preserve"> </w:t>
      </w:r>
      <w:proofErr w:type="spellStart"/>
      <w:r w:rsidRPr="005961A8">
        <w:rPr>
          <w:rFonts w:ascii="Arial" w:hAnsi="Arial" w:cs="Arial"/>
          <w:lang w:val="mk-MK"/>
        </w:rPr>
        <w:t>in</w:t>
      </w:r>
      <w:proofErr w:type="spellEnd"/>
      <w:r w:rsidRPr="005961A8">
        <w:rPr>
          <w:rFonts w:ascii="Arial" w:hAnsi="Arial" w:cs="Arial"/>
          <w:lang w:val="mk-MK"/>
        </w:rPr>
        <w:t xml:space="preserve"> </w:t>
      </w:r>
      <w:proofErr w:type="spellStart"/>
      <w:r w:rsidRPr="005961A8">
        <w:rPr>
          <w:rFonts w:ascii="Arial" w:hAnsi="Arial" w:cs="Arial"/>
          <w:lang w:val="mk-MK"/>
        </w:rPr>
        <w:t>banks</w:t>
      </w:r>
      <w:proofErr w:type="spellEnd"/>
      <w:r w:rsidRPr="005961A8">
        <w:rPr>
          <w:rFonts w:ascii="Arial" w:hAnsi="Arial" w:cs="Arial"/>
          <w:lang w:val="mk-MK"/>
        </w:rPr>
        <w:t xml:space="preserve"> </w:t>
      </w:r>
      <w:proofErr w:type="spellStart"/>
      <w:r w:rsidRPr="005961A8">
        <w:rPr>
          <w:rFonts w:ascii="Arial" w:hAnsi="Arial" w:cs="Arial"/>
          <w:lang w:val="mk-MK"/>
        </w:rPr>
        <w:t>with</w:t>
      </w:r>
      <w:proofErr w:type="spellEnd"/>
      <w:r w:rsidRPr="005961A8">
        <w:rPr>
          <w:rFonts w:ascii="Arial" w:hAnsi="Arial" w:cs="Arial"/>
          <w:lang w:val="mk-MK"/>
        </w:rPr>
        <w:t xml:space="preserve"> </w:t>
      </w:r>
      <w:proofErr w:type="spellStart"/>
      <w:r w:rsidRPr="005961A8">
        <w:rPr>
          <w:rFonts w:ascii="Arial" w:hAnsi="Arial" w:cs="Arial"/>
          <w:lang w:val="mk-MK"/>
        </w:rPr>
        <w:t>short-term</w:t>
      </w:r>
      <w:proofErr w:type="spellEnd"/>
      <w:r w:rsidRPr="005961A8">
        <w:rPr>
          <w:rFonts w:ascii="Arial" w:hAnsi="Arial" w:cs="Arial"/>
          <w:lang w:val="mk-MK"/>
        </w:rPr>
        <w:t xml:space="preserve"> </w:t>
      </w:r>
      <w:proofErr w:type="spellStart"/>
      <w:r w:rsidRPr="005961A8">
        <w:rPr>
          <w:rFonts w:ascii="Arial" w:hAnsi="Arial" w:cs="Arial"/>
          <w:lang w:val="mk-MK"/>
        </w:rPr>
        <w:t>maturity</w:t>
      </w:r>
      <w:proofErr w:type="spellEnd"/>
      <w:r w:rsidR="00815E65" w:rsidRPr="001E6526">
        <w:rPr>
          <w:rFonts w:ascii="Arial" w:hAnsi="Arial" w:cs="Arial"/>
          <w:lang w:val="mk-MK"/>
        </w:rPr>
        <w:t>.</w:t>
      </w:r>
    </w:p>
    <w:p w14:paraId="21B1BD2B" w14:textId="1E495214" w:rsidR="00815E65" w:rsidRPr="005961A8" w:rsidRDefault="005961A8" w:rsidP="00815E65">
      <w:pPr>
        <w:jc w:val="both"/>
        <w:rPr>
          <w:rFonts w:ascii="Arial" w:hAnsi="Arial" w:cs="Arial"/>
          <w:i/>
        </w:rPr>
      </w:pPr>
      <w:r>
        <w:rPr>
          <w:rFonts w:ascii="Arial" w:hAnsi="Arial" w:cs="Arial"/>
          <w:i/>
        </w:rPr>
        <w:t>Interest and other receivables</w:t>
      </w:r>
    </w:p>
    <w:p w14:paraId="3AB2D1D8" w14:textId="3B567435" w:rsidR="00815E65" w:rsidRPr="00CE3053" w:rsidRDefault="00926FDF" w:rsidP="00815E65">
      <w:pPr>
        <w:autoSpaceDE w:val="0"/>
        <w:autoSpaceDN w:val="0"/>
        <w:adjustRightInd w:val="0"/>
        <w:spacing w:after="284" w:line="280" w:lineRule="atLeast"/>
        <w:jc w:val="both"/>
        <w:rPr>
          <w:rFonts w:ascii="Arial" w:hAnsi="Arial" w:cs="Arial"/>
          <w:lang w:val="mk-MK"/>
        </w:rPr>
      </w:pPr>
      <w:proofErr w:type="spellStart"/>
      <w:r w:rsidRPr="00926FDF">
        <w:rPr>
          <w:rFonts w:ascii="Arial" w:hAnsi="Arial" w:cs="Arial"/>
          <w:lang w:val="mk-MK"/>
        </w:rPr>
        <w:t>Fair</w:t>
      </w:r>
      <w:proofErr w:type="spellEnd"/>
      <w:r w:rsidRPr="00926FDF">
        <w:rPr>
          <w:rFonts w:ascii="Arial" w:hAnsi="Arial" w:cs="Arial"/>
          <w:lang w:val="mk-MK"/>
        </w:rPr>
        <w:t xml:space="preserve"> </w:t>
      </w:r>
      <w:proofErr w:type="spellStart"/>
      <w:r w:rsidRPr="00926FDF">
        <w:rPr>
          <w:rFonts w:ascii="Arial" w:hAnsi="Arial" w:cs="Arial"/>
          <w:lang w:val="mk-MK"/>
        </w:rPr>
        <w:t>value</w:t>
      </w:r>
      <w:proofErr w:type="spellEnd"/>
      <w:r w:rsidRPr="00926FDF">
        <w:rPr>
          <w:rFonts w:ascii="Arial" w:hAnsi="Arial" w:cs="Arial"/>
          <w:lang w:val="mk-MK"/>
        </w:rPr>
        <w:t xml:space="preserve"> </w:t>
      </w:r>
      <w:proofErr w:type="spellStart"/>
      <w:r w:rsidRPr="00926FDF">
        <w:rPr>
          <w:rFonts w:ascii="Arial" w:hAnsi="Arial" w:cs="Arial"/>
          <w:lang w:val="mk-MK"/>
        </w:rPr>
        <w:t>of</w:t>
      </w:r>
      <w:proofErr w:type="spellEnd"/>
      <w:r w:rsidRPr="00926FDF">
        <w:rPr>
          <w:rFonts w:ascii="Arial" w:hAnsi="Arial" w:cs="Arial"/>
          <w:lang w:val="mk-MK"/>
        </w:rPr>
        <w:t xml:space="preserve"> </w:t>
      </w:r>
      <w:proofErr w:type="spellStart"/>
      <w:r w:rsidRPr="00926FDF">
        <w:rPr>
          <w:rFonts w:ascii="Arial" w:hAnsi="Arial" w:cs="Arial"/>
          <w:lang w:val="mk-MK"/>
        </w:rPr>
        <w:t>interest</w:t>
      </w:r>
      <w:proofErr w:type="spellEnd"/>
      <w:r w:rsidRPr="00926FDF">
        <w:rPr>
          <w:rFonts w:ascii="Arial" w:hAnsi="Arial" w:cs="Arial"/>
          <w:lang w:val="mk-MK"/>
        </w:rPr>
        <w:t xml:space="preserve"> </w:t>
      </w:r>
      <w:proofErr w:type="spellStart"/>
      <w:r w:rsidRPr="00926FDF">
        <w:rPr>
          <w:rFonts w:ascii="Arial" w:hAnsi="Arial" w:cs="Arial"/>
          <w:lang w:val="mk-MK"/>
        </w:rPr>
        <w:t>and</w:t>
      </w:r>
      <w:proofErr w:type="spellEnd"/>
      <w:r w:rsidRPr="00926FDF">
        <w:rPr>
          <w:rFonts w:ascii="Arial" w:hAnsi="Arial" w:cs="Arial"/>
          <w:lang w:val="mk-MK"/>
        </w:rPr>
        <w:t xml:space="preserve"> </w:t>
      </w:r>
      <w:proofErr w:type="spellStart"/>
      <w:r w:rsidRPr="00926FDF">
        <w:rPr>
          <w:rFonts w:ascii="Arial" w:hAnsi="Arial" w:cs="Arial"/>
          <w:lang w:val="mk-MK"/>
        </w:rPr>
        <w:t>other</w:t>
      </w:r>
      <w:proofErr w:type="spellEnd"/>
      <w:r w:rsidRPr="00926FDF">
        <w:rPr>
          <w:rFonts w:ascii="Arial" w:hAnsi="Arial" w:cs="Arial"/>
          <w:lang w:val="mk-MK"/>
        </w:rPr>
        <w:t xml:space="preserve"> </w:t>
      </w:r>
      <w:proofErr w:type="spellStart"/>
      <w:r w:rsidRPr="00926FDF">
        <w:rPr>
          <w:rFonts w:ascii="Arial" w:hAnsi="Arial" w:cs="Arial"/>
          <w:lang w:val="mk-MK"/>
        </w:rPr>
        <w:t>receivables</w:t>
      </w:r>
      <w:proofErr w:type="spellEnd"/>
      <w:r w:rsidRPr="00926FDF">
        <w:rPr>
          <w:rFonts w:ascii="Arial" w:hAnsi="Arial" w:cs="Arial"/>
          <w:lang w:val="mk-MK"/>
        </w:rPr>
        <w:t xml:space="preserve"> </w:t>
      </w:r>
      <w:proofErr w:type="spellStart"/>
      <w:r w:rsidRPr="00926FDF">
        <w:rPr>
          <w:rFonts w:ascii="Arial" w:hAnsi="Arial" w:cs="Arial"/>
          <w:lang w:val="mk-MK"/>
        </w:rPr>
        <w:t>corresponds</w:t>
      </w:r>
      <w:proofErr w:type="spellEnd"/>
      <w:r w:rsidRPr="00926FDF">
        <w:rPr>
          <w:rFonts w:ascii="Arial" w:hAnsi="Arial" w:cs="Arial"/>
          <w:lang w:val="mk-MK"/>
        </w:rPr>
        <w:t xml:space="preserve"> </w:t>
      </w:r>
      <w:proofErr w:type="spellStart"/>
      <w:r w:rsidRPr="00926FDF">
        <w:rPr>
          <w:rFonts w:ascii="Arial" w:hAnsi="Arial" w:cs="Arial"/>
          <w:lang w:val="mk-MK"/>
        </w:rPr>
        <w:t>to</w:t>
      </w:r>
      <w:proofErr w:type="spellEnd"/>
      <w:r w:rsidRPr="00926FDF">
        <w:rPr>
          <w:rFonts w:ascii="Arial" w:hAnsi="Arial" w:cs="Arial"/>
          <w:lang w:val="mk-MK"/>
        </w:rPr>
        <w:t xml:space="preserve"> </w:t>
      </w:r>
      <w:proofErr w:type="spellStart"/>
      <w:r w:rsidRPr="00926FDF">
        <w:rPr>
          <w:rFonts w:ascii="Arial" w:hAnsi="Arial" w:cs="Arial"/>
          <w:lang w:val="mk-MK"/>
        </w:rPr>
        <w:t>their</w:t>
      </w:r>
      <w:proofErr w:type="spellEnd"/>
      <w:r w:rsidRPr="00926FDF">
        <w:rPr>
          <w:rFonts w:ascii="Arial" w:hAnsi="Arial" w:cs="Arial"/>
          <w:lang w:val="mk-MK"/>
        </w:rPr>
        <w:t xml:space="preserve"> </w:t>
      </w:r>
      <w:proofErr w:type="spellStart"/>
      <w:r w:rsidRPr="00926FDF">
        <w:rPr>
          <w:rFonts w:ascii="Arial" w:hAnsi="Arial" w:cs="Arial"/>
          <w:lang w:val="mk-MK"/>
        </w:rPr>
        <w:t>accounting</w:t>
      </w:r>
      <w:proofErr w:type="spellEnd"/>
      <w:r w:rsidRPr="00926FDF">
        <w:rPr>
          <w:rFonts w:ascii="Arial" w:hAnsi="Arial" w:cs="Arial"/>
          <w:lang w:val="mk-MK"/>
        </w:rPr>
        <w:t xml:space="preserve"> </w:t>
      </w:r>
      <w:proofErr w:type="spellStart"/>
      <w:r w:rsidRPr="00926FDF">
        <w:rPr>
          <w:rFonts w:ascii="Arial" w:hAnsi="Arial" w:cs="Arial"/>
          <w:lang w:val="mk-MK"/>
        </w:rPr>
        <w:t>value</w:t>
      </w:r>
      <w:proofErr w:type="spellEnd"/>
      <w:r w:rsidRPr="00926FDF">
        <w:rPr>
          <w:rFonts w:ascii="Arial" w:hAnsi="Arial" w:cs="Arial"/>
          <w:lang w:val="mk-MK"/>
        </w:rPr>
        <w:t xml:space="preserve"> </w:t>
      </w:r>
      <w:proofErr w:type="spellStart"/>
      <w:r w:rsidRPr="00926FDF">
        <w:rPr>
          <w:rFonts w:ascii="Arial" w:hAnsi="Arial" w:cs="Arial"/>
          <w:lang w:val="mk-MK"/>
        </w:rPr>
        <w:t>due</w:t>
      </w:r>
      <w:proofErr w:type="spellEnd"/>
      <w:r w:rsidRPr="00926FDF">
        <w:rPr>
          <w:rFonts w:ascii="Arial" w:hAnsi="Arial" w:cs="Arial"/>
          <w:lang w:val="mk-MK"/>
        </w:rPr>
        <w:t xml:space="preserve"> </w:t>
      </w:r>
      <w:proofErr w:type="spellStart"/>
      <w:r w:rsidRPr="00926FDF">
        <w:rPr>
          <w:rFonts w:ascii="Arial" w:hAnsi="Arial" w:cs="Arial"/>
          <w:lang w:val="mk-MK"/>
        </w:rPr>
        <w:t>to</w:t>
      </w:r>
      <w:proofErr w:type="spellEnd"/>
      <w:r w:rsidRPr="00926FDF">
        <w:rPr>
          <w:rFonts w:ascii="Arial" w:hAnsi="Arial" w:cs="Arial"/>
          <w:lang w:val="mk-MK"/>
        </w:rPr>
        <w:t xml:space="preserve"> </w:t>
      </w:r>
      <w:proofErr w:type="spellStart"/>
      <w:r w:rsidRPr="00926FDF">
        <w:rPr>
          <w:rFonts w:ascii="Arial" w:hAnsi="Arial" w:cs="Arial"/>
          <w:lang w:val="mk-MK"/>
        </w:rPr>
        <w:t>their</w:t>
      </w:r>
      <w:proofErr w:type="spellEnd"/>
      <w:r w:rsidRPr="00926FDF">
        <w:rPr>
          <w:rFonts w:ascii="Arial" w:hAnsi="Arial" w:cs="Arial"/>
          <w:lang w:val="mk-MK"/>
        </w:rPr>
        <w:t xml:space="preserve"> </w:t>
      </w:r>
      <w:proofErr w:type="spellStart"/>
      <w:r w:rsidRPr="00926FDF">
        <w:rPr>
          <w:rFonts w:ascii="Arial" w:hAnsi="Arial" w:cs="Arial"/>
          <w:lang w:val="mk-MK"/>
        </w:rPr>
        <w:t>short-term</w:t>
      </w:r>
      <w:proofErr w:type="spellEnd"/>
      <w:r w:rsidRPr="00926FDF">
        <w:rPr>
          <w:rFonts w:ascii="Arial" w:hAnsi="Arial" w:cs="Arial"/>
          <w:lang w:val="mk-MK"/>
        </w:rPr>
        <w:t xml:space="preserve"> </w:t>
      </w:r>
      <w:proofErr w:type="spellStart"/>
      <w:r w:rsidRPr="00926FDF">
        <w:rPr>
          <w:rFonts w:ascii="Arial" w:hAnsi="Arial" w:cs="Arial"/>
          <w:lang w:val="mk-MK"/>
        </w:rPr>
        <w:t>maturity</w:t>
      </w:r>
      <w:proofErr w:type="spellEnd"/>
      <w:r w:rsidRPr="00926FDF">
        <w:rPr>
          <w:rFonts w:ascii="Arial" w:hAnsi="Arial" w:cs="Arial"/>
          <w:lang w:val="mk-MK"/>
        </w:rPr>
        <w:t>.</w:t>
      </w:r>
    </w:p>
    <w:p w14:paraId="79292049" w14:textId="743AA1D7" w:rsidR="00815E65" w:rsidRPr="00EC3400" w:rsidRDefault="00EC3400" w:rsidP="00815E65">
      <w:pPr>
        <w:autoSpaceDE w:val="0"/>
        <w:autoSpaceDN w:val="0"/>
        <w:adjustRightInd w:val="0"/>
        <w:jc w:val="both"/>
        <w:rPr>
          <w:rFonts w:ascii="Arial" w:hAnsi="Arial" w:cs="Arial"/>
          <w:i/>
          <w:iCs/>
        </w:rPr>
      </w:pPr>
      <w:r>
        <w:rPr>
          <w:rFonts w:ascii="Arial" w:hAnsi="Arial" w:cs="Arial"/>
          <w:i/>
          <w:iCs/>
        </w:rPr>
        <w:t>Liabilities for claims and other liabilities</w:t>
      </w:r>
    </w:p>
    <w:p w14:paraId="7C9BBD4E" w14:textId="77777777" w:rsidR="00815E65" w:rsidRDefault="00EC3400" w:rsidP="00EC3400">
      <w:pPr>
        <w:pStyle w:val="BodyText"/>
        <w:jc w:val="both"/>
        <w:rPr>
          <w:rFonts w:ascii="Arial" w:hAnsi="Arial" w:cs="Arial"/>
          <w:lang w:val="mk-MK"/>
        </w:rPr>
      </w:pPr>
      <w:proofErr w:type="spellStart"/>
      <w:r w:rsidRPr="00EC3400">
        <w:rPr>
          <w:rFonts w:ascii="Arial" w:hAnsi="Arial" w:cs="Arial"/>
          <w:lang w:val="mk-MK"/>
        </w:rPr>
        <w:t>Fair</w:t>
      </w:r>
      <w:proofErr w:type="spellEnd"/>
      <w:r w:rsidRPr="00EC3400">
        <w:rPr>
          <w:rFonts w:ascii="Arial" w:hAnsi="Arial" w:cs="Arial"/>
          <w:lang w:val="mk-MK"/>
        </w:rPr>
        <w:t xml:space="preserve"> </w:t>
      </w:r>
      <w:proofErr w:type="spellStart"/>
      <w:r w:rsidRPr="00EC3400">
        <w:rPr>
          <w:rFonts w:ascii="Arial" w:hAnsi="Arial" w:cs="Arial"/>
          <w:lang w:val="mk-MK"/>
        </w:rPr>
        <w:t>value</w:t>
      </w:r>
      <w:proofErr w:type="spellEnd"/>
      <w:r w:rsidRPr="00EC3400">
        <w:rPr>
          <w:rFonts w:ascii="Arial" w:hAnsi="Arial" w:cs="Arial"/>
          <w:lang w:val="mk-MK"/>
        </w:rPr>
        <w:t xml:space="preserve"> </w:t>
      </w:r>
      <w:proofErr w:type="spellStart"/>
      <w:r w:rsidRPr="00EC3400">
        <w:rPr>
          <w:rFonts w:ascii="Arial" w:hAnsi="Arial" w:cs="Arial"/>
          <w:lang w:val="mk-MK"/>
        </w:rPr>
        <w:t>of</w:t>
      </w:r>
      <w:proofErr w:type="spellEnd"/>
      <w:r w:rsidRPr="00EC3400">
        <w:rPr>
          <w:rFonts w:ascii="Arial" w:hAnsi="Arial" w:cs="Arial"/>
          <w:lang w:val="mk-MK"/>
        </w:rPr>
        <w:t xml:space="preserve"> </w:t>
      </w:r>
      <w:proofErr w:type="spellStart"/>
      <w:r w:rsidRPr="00EC3400">
        <w:rPr>
          <w:rFonts w:ascii="Arial" w:hAnsi="Arial" w:cs="Arial"/>
          <w:lang w:val="mk-MK"/>
        </w:rPr>
        <w:t>claims</w:t>
      </w:r>
      <w:proofErr w:type="spellEnd"/>
      <w:r w:rsidRPr="00EC3400">
        <w:rPr>
          <w:rFonts w:ascii="Arial" w:hAnsi="Arial" w:cs="Arial"/>
          <w:lang w:val="mk-MK"/>
        </w:rPr>
        <w:t xml:space="preserve"> </w:t>
      </w:r>
      <w:proofErr w:type="spellStart"/>
      <w:r w:rsidRPr="00EC3400">
        <w:rPr>
          <w:rFonts w:ascii="Arial" w:hAnsi="Arial" w:cs="Arial"/>
          <w:lang w:val="mk-MK"/>
        </w:rPr>
        <w:t>payables</w:t>
      </w:r>
      <w:proofErr w:type="spellEnd"/>
      <w:r w:rsidRPr="00EC3400">
        <w:rPr>
          <w:rFonts w:ascii="Arial" w:hAnsi="Arial" w:cs="Arial"/>
          <w:lang w:val="mk-MK"/>
        </w:rPr>
        <w:t xml:space="preserve"> </w:t>
      </w:r>
      <w:proofErr w:type="spellStart"/>
      <w:r w:rsidRPr="00EC3400">
        <w:rPr>
          <w:rFonts w:ascii="Arial" w:hAnsi="Arial" w:cs="Arial"/>
          <w:lang w:val="mk-MK"/>
        </w:rPr>
        <w:t>and</w:t>
      </w:r>
      <w:proofErr w:type="spellEnd"/>
      <w:r w:rsidRPr="00EC3400">
        <w:rPr>
          <w:rFonts w:ascii="Arial" w:hAnsi="Arial" w:cs="Arial"/>
          <w:lang w:val="mk-MK"/>
        </w:rPr>
        <w:t xml:space="preserve"> </w:t>
      </w:r>
      <w:proofErr w:type="spellStart"/>
      <w:r w:rsidRPr="00EC3400">
        <w:rPr>
          <w:rFonts w:ascii="Arial" w:hAnsi="Arial" w:cs="Arial"/>
          <w:lang w:val="mk-MK"/>
        </w:rPr>
        <w:t>other</w:t>
      </w:r>
      <w:proofErr w:type="spellEnd"/>
      <w:r w:rsidRPr="00EC3400">
        <w:rPr>
          <w:rFonts w:ascii="Arial" w:hAnsi="Arial" w:cs="Arial"/>
          <w:lang w:val="mk-MK"/>
        </w:rPr>
        <w:t xml:space="preserve"> </w:t>
      </w:r>
      <w:proofErr w:type="spellStart"/>
      <w:r w:rsidRPr="00EC3400">
        <w:rPr>
          <w:rFonts w:ascii="Arial" w:hAnsi="Arial" w:cs="Arial"/>
          <w:lang w:val="mk-MK"/>
        </w:rPr>
        <w:t>payables</w:t>
      </w:r>
      <w:proofErr w:type="spellEnd"/>
      <w:r w:rsidRPr="00EC3400">
        <w:rPr>
          <w:rFonts w:ascii="Arial" w:hAnsi="Arial" w:cs="Arial"/>
          <w:lang w:val="mk-MK"/>
        </w:rPr>
        <w:t xml:space="preserve"> </w:t>
      </w:r>
      <w:proofErr w:type="spellStart"/>
      <w:r w:rsidRPr="00EC3400">
        <w:rPr>
          <w:rFonts w:ascii="Arial" w:hAnsi="Arial" w:cs="Arial"/>
          <w:lang w:val="mk-MK"/>
        </w:rPr>
        <w:t>is</w:t>
      </w:r>
      <w:proofErr w:type="spellEnd"/>
      <w:r w:rsidRPr="00EC3400">
        <w:rPr>
          <w:rFonts w:ascii="Arial" w:hAnsi="Arial" w:cs="Arial"/>
          <w:lang w:val="mk-MK"/>
        </w:rPr>
        <w:t xml:space="preserve"> </w:t>
      </w:r>
      <w:proofErr w:type="spellStart"/>
      <w:r w:rsidRPr="00EC3400">
        <w:rPr>
          <w:rFonts w:ascii="Arial" w:hAnsi="Arial" w:cs="Arial"/>
          <w:lang w:val="mk-MK"/>
        </w:rPr>
        <w:t>considered</w:t>
      </w:r>
      <w:proofErr w:type="spellEnd"/>
      <w:r w:rsidRPr="00EC3400">
        <w:rPr>
          <w:rFonts w:ascii="Arial" w:hAnsi="Arial" w:cs="Arial"/>
          <w:lang w:val="mk-MK"/>
        </w:rPr>
        <w:t xml:space="preserve"> </w:t>
      </w:r>
      <w:proofErr w:type="spellStart"/>
      <w:r w:rsidRPr="00EC3400">
        <w:rPr>
          <w:rFonts w:ascii="Arial" w:hAnsi="Arial" w:cs="Arial"/>
          <w:lang w:val="mk-MK"/>
        </w:rPr>
        <w:t>to</w:t>
      </w:r>
      <w:proofErr w:type="spellEnd"/>
      <w:r w:rsidRPr="00EC3400">
        <w:rPr>
          <w:rFonts w:ascii="Arial" w:hAnsi="Arial" w:cs="Arial"/>
          <w:lang w:val="mk-MK"/>
        </w:rPr>
        <w:t xml:space="preserve"> </w:t>
      </w:r>
      <w:proofErr w:type="spellStart"/>
      <w:r w:rsidRPr="00EC3400">
        <w:rPr>
          <w:rFonts w:ascii="Arial" w:hAnsi="Arial" w:cs="Arial"/>
          <w:lang w:val="mk-MK"/>
        </w:rPr>
        <w:t>be</w:t>
      </w:r>
      <w:proofErr w:type="spellEnd"/>
      <w:r w:rsidRPr="00EC3400">
        <w:rPr>
          <w:rFonts w:ascii="Arial" w:hAnsi="Arial" w:cs="Arial"/>
          <w:lang w:val="mk-MK"/>
        </w:rPr>
        <w:t xml:space="preserve"> </w:t>
      </w:r>
      <w:proofErr w:type="spellStart"/>
      <w:r w:rsidRPr="00EC3400">
        <w:rPr>
          <w:rFonts w:ascii="Arial" w:hAnsi="Arial" w:cs="Arial"/>
          <w:lang w:val="mk-MK"/>
        </w:rPr>
        <w:t>approximate</w:t>
      </w:r>
      <w:proofErr w:type="spellEnd"/>
      <w:r w:rsidRPr="00EC3400">
        <w:rPr>
          <w:rFonts w:ascii="Arial" w:hAnsi="Arial" w:cs="Arial"/>
          <w:lang w:val="mk-MK"/>
        </w:rPr>
        <w:t xml:space="preserve"> </w:t>
      </w:r>
      <w:proofErr w:type="spellStart"/>
      <w:r w:rsidRPr="00EC3400">
        <w:rPr>
          <w:rFonts w:ascii="Arial" w:hAnsi="Arial" w:cs="Arial"/>
          <w:lang w:val="mk-MK"/>
        </w:rPr>
        <w:t>to</w:t>
      </w:r>
      <w:proofErr w:type="spellEnd"/>
      <w:r w:rsidRPr="00EC3400">
        <w:rPr>
          <w:rFonts w:ascii="Arial" w:hAnsi="Arial" w:cs="Arial"/>
          <w:lang w:val="mk-MK"/>
        </w:rPr>
        <w:t xml:space="preserve"> </w:t>
      </w:r>
      <w:proofErr w:type="spellStart"/>
      <w:r w:rsidRPr="00EC3400">
        <w:rPr>
          <w:rFonts w:ascii="Arial" w:hAnsi="Arial" w:cs="Arial"/>
          <w:lang w:val="mk-MK"/>
        </w:rPr>
        <w:t>their</w:t>
      </w:r>
      <w:proofErr w:type="spellEnd"/>
      <w:r w:rsidRPr="00EC3400">
        <w:rPr>
          <w:rFonts w:ascii="Arial" w:hAnsi="Arial" w:cs="Arial"/>
          <w:lang w:val="mk-MK"/>
        </w:rPr>
        <w:t xml:space="preserve"> </w:t>
      </w:r>
      <w:proofErr w:type="spellStart"/>
      <w:r w:rsidRPr="00EC3400">
        <w:rPr>
          <w:rFonts w:ascii="Arial" w:hAnsi="Arial" w:cs="Arial"/>
          <w:lang w:val="mk-MK"/>
        </w:rPr>
        <w:t>carrying</w:t>
      </w:r>
      <w:proofErr w:type="spellEnd"/>
      <w:r w:rsidRPr="00EC3400">
        <w:rPr>
          <w:rFonts w:ascii="Arial" w:hAnsi="Arial" w:cs="Arial"/>
          <w:lang w:val="mk-MK"/>
        </w:rPr>
        <w:t xml:space="preserve"> </w:t>
      </w:r>
      <w:proofErr w:type="spellStart"/>
      <w:r w:rsidRPr="00EC3400">
        <w:rPr>
          <w:rFonts w:ascii="Arial" w:hAnsi="Arial" w:cs="Arial"/>
          <w:lang w:val="mk-MK"/>
        </w:rPr>
        <w:t>value</w:t>
      </w:r>
      <w:proofErr w:type="spellEnd"/>
      <w:r w:rsidRPr="00EC3400">
        <w:rPr>
          <w:rFonts w:ascii="Arial" w:hAnsi="Arial" w:cs="Arial"/>
          <w:lang w:val="mk-MK"/>
        </w:rPr>
        <w:t xml:space="preserve"> </w:t>
      </w:r>
      <w:proofErr w:type="spellStart"/>
      <w:r w:rsidRPr="00EC3400">
        <w:rPr>
          <w:rFonts w:ascii="Arial" w:hAnsi="Arial" w:cs="Arial"/>
          <w:lang w:val="mk-MK"/>
        </w:rPr>
        <w:t>due</w:t>
      </w:r>
      <w:proofErr w:type="spellEnd"/>
      <w:r w:rsidRPr="00EC3400">
        <w:rPr>
          <w:rFonts w:ascii="Arial" w:hAnsi="Arial" w:cs="Arial"/>
          <w:lang w:val="mk-MK"/>
        </w:rPr>
        <w:t xml:space="preserve"> </w:t>
      </w:r>
      <w:proofErr w:type="spellStart"/>
      <w:r w:rsidRPr="00EC3400">
        <w:rPr>
          <w:rFonts w:ascii="Arial" w:hAnsi="Arial" w:cs="Arial"/>
          <w:lang w:val="mk-MK"/>
        </w:rPr>
        <w:t>to</w:t>
      </w:r>
      <w:proofErr w:type="spellEnd"/>
      <w:r w:rsidRPr="00EC3400">
        <w:rPr>
          <w:rFonts w:ascii="Arial" w:hAnsi="Arial" w:cs="Arial"/>
          <w:lang w:val="mk-MK"/>
        </w:rPr>
        <w:t xml:space="preserve"> </w:t>
      </w:r>
      <w:proofErr w:type="spellStart"/>
      <w:r w:rsidRPr="00EC3400">
        <w:rPr>
          <w:rFonts w:ascii="Arial" w:hAnsi="Arial" w:cs="Arial"/>
          <w:lang w:val="mk-MK"/>
        </w:rPr>
        <w:t>their</w:t>
      </w:r>
      <w:proofErr w:type="spellEnd"/>
      <w:r w:rsidRPr="00EC3400">
        <w:rPr>
          <w:rFonts w:ascii="Arial" w:hAnsi="Arial" w:cs="Arial"/>
          <w:lang w:val="mk-MK"/>
        </w:rPr>
        <w:t xml:space="preserve"> </w:t>
      </w:r>
      <w:proofErr w:type="spellStart"/>
      <w:r w:rsidRPr="00EC3400">
        <w:rPr>
          <w:rFonts w:ascii="Arial" w:hAnsi="Arial" w:cs="Arial"/>
          <w:lang w:val="mk-MK"/>
        </w:rPr>
        <w:t>short-term</w:t>
      </w:r>
      <w:proofErr w:type="spellEnd"/>
      <w:r w:rsidRPr="00EC3400">
        <w:rPr>
          <w:rFonts w:ascii="Arial" w:hAnsi="Arial" w:cs="Arial"/>
          <w:lang w:val="mk-MK"/>
        </w:rPr>
        <w:t xml:space="preserve"> </w:t>
      </w:r>
      <w:proofErr w:type="spellStart"/>
      <w:r w:rsidRPr="00EC3400">
        <w:rPr>
          <w:rFonts w:ascii="Arial" w:hAnsi="Arial" w:cs="Arial"/>
          <w:lang w:val="mk-MK"/>
        </w:rPr>
        <w:t>maturity</w:t>
      </w:r>
      <w:proofErr w:type="spellEnd"/>
      <w:r w:rsidRPr="00EC3400">
        <w:rPr>
          <w:rFonts w:ascii="Arial" w:hAnsi="Arial" w:cs="Arial"/>
          <w:lang w:val="mk-MK"/>
        </w:rPr>
        <w:t>.</w:t>
      </w:r>
    </w:p>
    <w:p w14:paraId="004505AF" w14:textId="77777777" w:rsidR="005F248E" w:rsidRPr="00604A4A" w:rsidRDefault="005F248E" w:rsidP="005F248E">
      <w:pPr>
        <w:pStyle w:val="ListParagraph"/>
        <w:numPr>
          <w:ilvl w:val="0"/>
          <w:numId w:val="22"/>
        </w:numPr>
        <w:rPr>
          <w:rFonts w:ascii="Arial" w:hAnsi="Arial" w:cs="Arial"/>
          <w:b/>
          <w:color w:val="4F2D7F"/>
          <w:lang w:val="mk-MK"/>
        </w:rPr>
      </w:pPr>
      <w:r>
        <w:rPr>
          <w:rFonts w:ascii="Arial" w:hAnsi="Arial" w:cs="Arial"/>
          <w:b/>
          <w:color w:val="4F2D7F"/>
        </w:rPr>
        <w:t>S</w:t>
      </w:r>
      <w:proofErr w:type="spellStart"/>
      <w:r w:rsidRPr="00604A4A">
        <w:rPr>
          <w:rFonts w:ascii="Arial" w:hAnsi="Arial" w:cs="Arial"/>
          <w:b/>
          <w:color w:val="4F2D7F"/>
          <w:lang w:val="mk-MK"/>
        </w:rPr>
        <w:t>ignificant</w:t>
      </w:r>
      <w:proofErr w:type="spellEnd"/>
      <w:r w:rsidRPr="00604A4A">
        <w:rPr>
          <w:rFonts w:ascii="Arial" w:hAnsi="Arial" w:cs="Arial"/>
          <w:b/>
          <w:color w:val="4F2D7F"/>
          <w:lang w:val="mk-MK"/>
        </w:rPr>
        <w:t xml:space="preserve"> </w:t>
      </w:r>
      <w:proofErr w:type="spellStart"/>
      <w:r w:rsidRPr="00604A4A">
        <w:rPr>
          <w:rFonts w:ascii="Arial" w:hAnsi="Arial" w:cs="Arial"/>
          <w:b/>
          <w:color w:val="4F2D7F"/>
          <w:lang w:val="mk-MK"/>
        </w:rPr>
        <w:t>accounting</w:t>
      </w:r>
      <w:proofErr w:type="spellEnd"/>
      <w:r w:rsidRPr="00604A4A">
        <w:rPr>
          <w:rFonts w:ascii="Arial" w:hAnsi="Arial" w:cs="Arial"/>
          <w:b/>
          <w:color w:val="4F2D7F"/>
          <w:lang w:val="mk-MK"/>
        </w:rPr>
        <w:t xml:space="preserve"> </w:t>
      </w:r>
      <w:proofErr w:type="spellStart"/>
      <w:r w:rsidRPr="00604A4A">
        <w:rPr>
          <w:rFonts w:ascii="Arial" w:hAnsi="Arial" w:cs="Arial"/>
          <w:b/>
          <w:color w:val="4F2D7F"/>
          <w:lang w:val="mk-MK"/>
        </w:rPr>
        <w:t>estimates</w:t>
      </w:r>
      <w:proofErr w:type="spellEnd"/>
      <w:r w:rsidRPr="00604A4A">
        <w:rPr>
          <w:rFonts w:ascii="Arial" w:hAnsi="Arial" w:cs="Arial"/>
          <w:b/>
          <w:color w:val="4F2D7F"/>
          <w:lang w:val="mk-MK"/>
        </w:rPr>
        <w:t xml:space="preserve"> </w:t>
      </w:r>
      <w:proofErr w:type="spellStart"/>
      <w:r w:rsidRPr="00604A4A">
        <w:rPr>
          <w:rFonts w:ascii="Arial" w:hAnsi="Arial" w:cs="Arial"/>
          <w:b/>
          <w:color w:val="4F2D7F"/>
          <w:lang w:val="mk-MK"/>
        </w:rPr>
        <w:t>and</w:t>
      </w:r>
      <w:proofErr w:type="spellEnd"/>
      <w:r w:rsidRPr="00604A4A">
        <w:rPr>
          <w:rFonts w:ascii="Arial" w:hAnsi="Arial" w:cs="Arial"/>
          <w:b/>
          <w:color w:val="4F2D7F"/>
          <w:lang w:val="mk-MK"/>
        </w:rPr>
        <w:t xml:space="preserve"> </w:t>
      </w:r>
      <w:proofErr w:type="spellStart"/>
      <w:r w:rsidRPr="00604A4A">
        <w:rPr>
          <w:rFonts w:ascii="Arial" w:hAnsi="Arial" w:cs="Arial"/>
          <w:b/>
          <w:color w:val="4F2D7F"/>
          <w:lang w:val="mk-MK"/>
        </w:rPr>
        <w:t>judgements</w:t>
      </w:r>
      <w:proofErr w:type="spellEnd"/>
      <w:r w:rsidRPr="00604A4A">
        <w:rPr>
          <w:rFonts w:ascii="Arial" w:hAnsi="Arial" w:cs="Arial"/>
          <w:b/>
          <w:color w:val="4F2D7F"/>
          <w:lang w:val="mk-MK"/>
        </w:rPr>
        <w:t xml:space="preserve"> </w:t>
      </w:r>
    </w:p>
    <w:p w14:paraId="72F7C10B" w14:textId="77777777" w:rsidR="005F248E" w:rsidRPr="00C07E8D" w:rsidRDefault="005F248E" w:rsidP="005F248E">
      <w:pPr>
        <w:pStyle w:val="BodyText"/>
        <w:jc w:val="both"/>
        <w:rPr>
          <w:rFonts w:ascii="Arial" w:hAnsi="Arial" w:cs="Arial"/>
          <w:lang w:val="en-US"/>
        </w:rPr>
      </w:pPr>
      <w:proofErr w:type="spellStart"/>
      <w:r w:rsidRPr="002B02BC">
        <w:rPr>
          <w:rFonts w:ascii="Arial" w:hAnsi="Arial" w:cs="Arial"/>
          <w:lang w:val="mk-MK"/>
        </w:rPr>
        <w:t>In</w:t>
      </w:r>
      <w:proofErr w:type="spellEnd"/>
      <w:r w:rsidRPr="002B02BC">
        <w:rPr>
          <w:rFonts w:ascii="Arial" w:hAnsi="Arial" w:cs="Arial"/>
          <w:lang w:val="mk-MK"/>
        </w:rPr>
        <w:t xml:space="preserve"> </w:t>
      </w:r>
      <w:proofErr w:type="spellStart"/>
      <w:r w:rsidRPr="002B02BC">
        <w:rPr>
          <w:rFonts w:ascii="Arial" w:hAnsi="Arial" w:cs="Arial"/>
          <w:lang w:val="mk-MK"/>
        </w:rPr>
        <w:t>the</w:t>
      </w:r>
      <w:proofErr w:type="spellEnd"/>
      <w:r w:rsidRPr="002B02BC">
        <w:rPr>
          <w:rFonts w:ascii="Arial" w:hAnsi="Arial" w:cs="Arial"/>
          <w:lang w:val="mk-MK"/>
        </w:rPr>
        <w:t xml:space="preserve"> </w:t>
      </w:r>
      <w:proofErr w:type="spellStart"/>
      <w:r w:rsidRPr="002B02BC">
        <w:rPr>
          <w:rFonts w:ascii="Arial" w:hAnsi="Arial" w:cs="Arial"/>
          <w:lang w:val="mk-MK"/>
        </w:rPr>
        <w:t>application</w:t>
      </w:r>
      <w:proofErr w:type="spellEnd"/>
      <w:r w:rsidRPr="002B02BC">
        <w:rPr>
          <w:rFonts w:ascii="Arial" w:hAnsi="Arial" w:cs="Arial"/>
          <w:lang w:val="mk-MK"/>
        </w:rPr>
        <w:t xml:space="preserve"> </w:t>
      </w:r>
      <w:proofErr w:type="spellStart"/>
      <w:r w:rsidRPr="002B02BC">
        <w:rPr>
          <w:rFonts w:ascii="Arial" w:hAnsi="Arial" w:cs="Arial"/>
          <w:lang w:val="mk-MK"/>
        </w:rPr>
        <w:t>of</w:t>
      </w:r>
      <w:proofErr w:type="spellEnd"/>
      <w:r w:rsidRPr="002B02BC">
        <w:rPr>
          <w:rFonts w:ascii="Arial" w:hAnsi="Arial" w:cs="Arial"/>
          <w:lang w:val="mk-MK"/>
        </w:rPr>
        <w:t xml:space="preserve"> </w:t>
      </w:r>
      <w:proofErr w:type="spellStart"/>
      <w:r w:rsidRPr="002B02BC">
        <w:rPr>
          <w:rFonts w:ascii="Arial" w:hAnsi="Arial" w:cs="Arial"/>
          <w:lang w:val="mk-MK"/>
        </w:rPr>
        <w:t>the</w:t>
      </w:r>
      <w:proofErr w:type="spellEnd"/>
      <w:r w:rsidRPr="002B02BC">
        <w:rPr>
          <w:rFonts w:ascii="Arial" w:hAnsi="Arial" w:cs="Arial"/>
          <w:lang w:val="mk-MK"/>
        </w:rPr>
        <w:t xml:space="preserve"> </w:t>
      </w:r>
      <w:proofErr w:type="spellStart"/>
      <w:r w:rsidRPr="002B02BC">
        <w:rPr>
          <w:rFonts w:ascii="Arial" w:hAnsi="Arial" w:cs="Arial"/>
          <w:lang w:val="mk-MK"/>
        </w:rPr>
        <w:t>Fund’s</w:t>
      </w:r>
      <w:proofErr w:type="spellEnd"/>
      <w:r w:rsidRPr="002B02BC">
        <w:rPr>
          <w:rFonts w:ascii="Arial" w:hAnsi="Arial" w:cs="Arial"/>
          <w:lang w:val="mk-MK"/>
        </w:rPr>
        <w:t xml:space="preserve"> </w:t>
      </w:r>
      <w:proofErr w:type="spellStart"/>
      <w:r w:rsidRPr="002B02BC">
        <w:rPr>
          <w:rFonts w:ascii="Arial" w:hAnsi="Arial" w:cs="Arial"/>
          <w:lang w:val="mk-MK"/>
        </w:rPr>
        <w:t>accounting</w:t>
      </w:r>
      <w:proofErr w:type="spellEnd"/>
      <w:r w:rsidRPr="002B02BC">
        <w:rPr>
          <w:rFonts w:ascii="Arial" w:hAnsi="Arial" w:cs="Arial"/>
          <w:lang w:val="mk-MK"/>
        </w:rPr>
        <w:t xml:space="preserve"> </w:t>
      </w:r>
      <w:proofErr w:type="spellStart"/>
      <w:r w:rsidRPr="002B02BC">
        <w:rPr>
          <w:rFonts w:ascii="Arial" w:hAnsi="Arial" w:cs="Arial"/>
          <w:lang w:val="mk-MK"/>
        </w:rPr>
        <w:t>policies</w:t>
      </w:r>
      <w:proofErr w:type="spellEnd"/>
      <w:r w:rsidRPr="002B02BC">
        <w:rPr>
          <w:rFonts w:ascii="Arial" w:hAnsi="Arial" w:cs="Arial"/>
          <w:lang w:val="mk-MK"/>
        </w:rPr>
        <w:t xml:space="preserve">, </w:t>
      </w:r>
      <w:proofErr w:type="spellStart"/>
      <w:r w:rsidRPr="002B02BC">
        <w:rPr>
          <w:rFonts w:ascii="Arial" w:hAnsi="Arial" w:cs="Arial"/>
          <w:lang w:val="mk-MK"/>
        </w:rPr>
        <w:t>which</w:t>
      </w:r>
      <w:proofErr w:type="spellEnd"/>
      <w:r w:rsidRPr="002B02BC">
        <w:rPr>
          <w:rFonts w:ascii="Arial" w:hAnsi="Arial" w:cs="Arial"/>
          <w:lang w:val="mk-MK"/>
        </w:rPr>
        <w:t xml:space="preserve"> </w:t>
      </w:r>
      <w:proofErr w:type="spellStart"/>
      <w:r w:rsidRPr="002B02BC">
        <w:rPr>
          <w:rFonts w:ascii="Arial" w:hAnsi="Arial" w:cs="Arial"/>
          <w:lang w:val="mk-MK"/>
        </w:rPr>
        <w:t>are</w:t>
      </w:r>
      <w:proofErr w:type="spellEnd"/>
      <w:r w:rsidRPr="002B02BC">
        <w:rPr>
          <w:rFonts w:ascii="Arial" w:hAnsi="Arial" w:cs="Arial"/>
          <w:lang w:val="mk-MK"/>
        </w:rPr>
        <w:t xml:space="preserve"> </w:t>
      </w:r>
      <w:proofErr w:type="spellStart"/>
      <w:r w:rsidRPr="002B02BC">
        <w:rPr>
          <w:rFonts w:ascii="Arial" w:hAnsi="Arial" w:cs="Arial"/>
          <w:lang w:val="mk-MK"/>
        </w:rPr>
        <w:t>described</w:t>
      </w:r>
      <w:proofErr w:type="spellEnd"/>
      <w:r w:rsidRPr="002B02BC">
        <w:rPr>
          <w:rFonts w:ascii="Arial" w:hAnsi="Arial" w:cs="Arial"/>
          <w:lang w:val="mk-MK"/>
        </w:rPr>
        <w:t xml:space="preserve"> </w:t>
      </w:r>
      <w:proofErr w:type="spellStart"/>
      <w:r w:rsidRPr="002B02BC">
        <w:rPr>
          <w:rFonts w:ascii="Arial" w:hAnsi="Arial" w:cs="Arial"/>
          <w:lang w:val="mk-MK"/>
        </w:rPr>
        <w:t>in</w:t>
      </w:r>
      <w:proofErr w:type="spellEnd"/>
      <w:r w:rsidRPr="002B02BC">
        <w:rPr>
          <w:rFonts w:ascii="Arial" w:hAnsi="Arial" w:cs="Arial"/>
          <w:lang w:val="mk-MK"/>
        </w:rPr>
        <w:t xml:space="preserve"> </w:t>
      </w:r>
      <w:proofErr w:type="spellStart"/>
      <w:r w:rsidRPr="002B02BC">
        <w:rPr>
          <w:rFonts w:ascii="Arial" w:hAnsi="Arial" w:cs="Arial"/>
          <w:lang w:val="mk-MK"/>
        </w:rPr>
        <w:t>Note</w:t>
      </w:r>
      <w:proofErr w:type="spellEnd"/>
      <w:r w:rsidRPr="002B02BC">
        <w:rPr>
          <w:rFonts w:ascii="Arial" w:hAnsi="Arial" w:cs="Arial"/>
          <w:lang w:val="mk-MK"/>
        </w:rPr>
        <w:t xml:space="preserve"> 2 </w:t>
      </w:r>
      <w:proofErr w:type="spellStart"/>
      <w:r w:rsidRPr="002B02BC">
        <w:rPr>
          <w:rFonts w:ascii="Arial" w:hAnsi="Arial" w:cs="Arial"/>
          <w:lang w:val="mk-MK"/>
        </w:rPr>
        <w:t>in</w:t>
      </w:r>
      <w:proofErr w:type="spellEnd"/>
      <w:r w:rsidRPr="002B02BC">
        <w:rPr>
          <w:rFonts w:ascii="Arial" w:hAnsi="Arial" w:cs="Arial"/>
          <w:lang w:val="mk-MK"/>
        </w:rPr>
        <w:t xml:space="preserve"> </w:t>
      </w:r>
      <w:proofErr w:type="spellStart"/>
      <w:r w:rsidRPr="002B02BC">
        <w:rPr>
          <w:rFonts w:ascii="Arial" w:hAnsi="Arial" w:cs="Arial"/>
          <w:lang w:val="mk-MK"/>
        </w:rPr>
        <w:t>these</w:t>
      </w:r>
      <w:proofErr w:type="spellEnd"/>
      <w:r w:rsidRPr="002B02BC">
        <w:rPr>
          <w:rFonts w:ascii="Arial" w:hAnsi="Arial" w:cs="Arial"/>
          <w:lang w:val="mk-MK"/>
        </w:rPr>
        <w:t xml:space="preserve"> </w:t>
      </w:r>
      <w:proofErr w:type="spellStart"/>
      <w:r w:rsidRPr="002B02BC">
        <w:rPr>
          <w:rFonts w:ascii="Arial" w:hAnsi="Arial" w:cs="Arial"/>
          <w:lang w:val="mk-MK"/>
        </w:rPr>
        <w:t>financial</w:t>
      </w:r>
      <w:proofErr w:type="spellEnd"/>
      <w:r w:rsidRPr="002B02BC">
        <w:rPr>
          <w:rFonts w:ascii="Arial" w:hAnsi="Arial" w:cs="Arial"/>
          <w:lang w:val="mk-MK"/>
        </w:rPr>
        <w:t xml:space="preserve"> </w:t>
      </w:r>
      <w:proofErr w:type="spellStart"/>
      <w:r w:rsidRPr="002B02BC">
        <w:rPr>
          <w:rFonts w:ascii="Arial" w:hAnsi="Arial" w:cs="Arial"/>
          <w:lang w:val="mk-MK"/>
        </w:rPr>
        <w:t>statements</w:t>
      </w:r>
      <w:proofErr w:type="spellEnd"/>
      <w:r w:rsidRPr="002B02BC">
        <w:rPr>
          <w:rFonts w:ascii="Arial" w:hAnsi="Arial" w:cs="Arial"/>
          <w:lang w:val="mk-MK"/>
        </w:rPr>
        <w:t xml:space="preserve">, </w:t>
      </w:r>
      <w:proofErr w:type="spellStart"/>
      <w:r w:rsidRPr="002B02BC">
        <w:rPr>
          <w:rFonts w:ascii="Arial" w:hAnsi="Arial" w:cs="Arial"/>
          <w:lang w:val="mk-MK"/>
        </w:rPr>
        <w:t>Management</w:t>
      </w:r>
      <w:proofErr w:type="spellEnd"/>
      <w:r w:rsidRPr="002B02BC">
        <w:rPr>
          <w:rFonts w:ascii="Arial" w:hAnsi="Arial" w:cs="Arial"/>
          <w:lang w:val="mk-MK"/>
        </w:rPr>
        <w:t xml:space="preserve"> </w:t>
      </w:r>
      <w:proofErr w:type="spellStart"/>
      <w:r w:rsidRPr="002B02BC">
        <w:rPr>
          <w:rFonts w:ascii="Arial" w:hAnsi="Arial" w:cs="Arial"/>
          <w:lang w:val="mk-MK"/>
        </w:rPr>
        <w:t>is</w:t>
      </w:r>
      <w:proofErr w:type="spellEnd"/>
      <w:r w:rsidRPr="002B02BC">
        <w:rPr>
          <w:rFonts w:ascii="Arial" w:hAnsi="Arial" w:cs="Arial"/>
          <w:lang w:val="mk-MK"/>
        </w:rPr>
        <w:t xml:space="preserve"> </w:t>
      </w:r>
      <w:proofErr w:type="spellStart"/>
      <w:r w:rsidRPr="002B02BC">
        <w:rPr>
          <w:rFonts w:ascii="Arial" w:hAnsi="Arial" w:cs="Arial"/>
          <w:lang w:val="mk-MK"/>
        </w:rPr>
        <w:t>required</w:t>
      </w:r>
      <w:proofErr w:type="spellEnd"/>
      <w:r w:rsidRPr="002B02BC">
        <w:rPr>
          <w:rFonts w:ascii="Arial" w:hAnsi="Arial" w:cs="Arial"/>
          <w:lang w:val="mk-MK"/>
        </w:rPr>
        <w:t xml:space="preserve"> </w:t>
      </w:r>
      <w:proofErr w:type="spellStart"/>
      <w:r w:rsidRPr="002B02BC">
        <w:rPr>
          <w:rFonts w:ascii="Arial" w:hAnsi="Arial" w:cs="Arial"/>
          <w:lang w:val="mk-MK"/>
        </w:rPr>
        <w:t>to</w:t>
      </w:r>
      <w:proofErr w:type="spellEnd"/>
      <w:r w:rsidRPr="002B02BC">
        <w:rPr>
          <w:rFonts w:ascii="Arial" w:hAnsi="Arial" w:cs="Arial"/>
          <w:lang w:val="mk-MK"/>
        </w:rPr>
        <w:t xml:space="preserve"> </w:t>
      </w:r>
      <w:proofErr w:type="spellStart"/>
      <w:r w:rsidRPr="002B02BC">
        <w:rPr>
          <w:rFonts w:ascii="Arial" w:hAnsi="Arial" w:cs="Arial"/>
          <w:lang w:val="mk-MK"/>
        </w:rPr>
        <w:t>make</w:t>
      </w:r>
      <w:proofErr w:type="spellEnd"/>
      <w:r w:rsidRPr="002B02BC">
        <w:rPr>
          <w:rFonts w:ascii="Arial" w:hAnsi="Arial" w:cs="Arial"/>
          <w:lang w:val="mk-MK"/>
        </w:rPr>
        <w:t xml:space="preserve"> </w:t>
      </w:r>
      <w:proofErr w:type="spellStart"/>
      <w:r w:rsidRPr="002B02BC">
        <w:rPr>
          <w:rFonts w:ascii="Arial" w:hAnsi="Arial" w:cs="Arial"/>
          <w:lang w:val="mk-MK"/>
        </w:rPr>
        <w:t>judgements</w:t>
      </w:r>
      <w:proofErr w:type="spellEnd"/>
      <w:r w:rsidRPr="002B02BC">
        <w:rPr>
          <w:rFonts w:ascii="Arial" w:hAnsi="Arial" w:cs="Arial"/>
          <w:lang w:val="mk-MK"/>
        </w:rPr>
        <w:t xml:space="preserve">, </w:t>
      </w:r>
      <w:proofErr w:type="spellStart"/>
      <w:r w:rsidRPr="002B02BC">
        <w:rPr>
          <w:rFonts w:ascii="Arial" w:hAnsi="Arial" w:cs="Arial"/>
          <w:lang w:val="mk-MK"/>
        </w:rPr>
        <w:t>estimates</w:t>
      </w:r>
      <w:proofErr w:type="spellEnd"/>
      <w:r w:rsidRPr="002B02BC">
        <w:rPr>
          <w:rFonts w:ascii="Arial" w:hAnsi="Arial" w:cs="Arial"/>
          <w:lang w:val="mk-MK"/>
        </w:rPr>
        <w:t xml:space="preserve"> </w:t>
      </w:r>
      <w:proofErr w:type="spellStart"/>
      <w:r w:rsidRPr="002B02BC">
        <w:rPr>
          <w:rFonts w:ascii="Arial" w:hAnsi="Arial" w:cs="Arial"/>
          <w:lang w:val="mk-MK"/>
        </w:rPr>
        <w:t>and</w:t>
      </w:r>
      <w:proofErr w:type="spellEnd"/>
      <w:r w:rsidRPr="002B02BC">
        <w:rPr>
          <w:rFonts w:ascii="Arial" w:hAnsi="Arial" w:cs="Arial"/>
          <w:lang w:val="mk-MK"/>
        </w:rPr>
        <w:t xml:space="preserve"> </w:t>
      </w:r>
      <w:proofErr w:type="spellStart"/>
      <w:r w:rsidRPr="002B02BC">
        <w:rPr>
          <w:rFonts w:ascii="Arial" w:hAnsi="Arial" w:cs="Arial"/>
          <w:lang w:val="mk-MK"/>
        </w:rPr>
        <w:t>assumptions</w:t>
      </w:r>
      <w:proofErr w:type="spellEnd"/>
      <w:r w:rsidRPr="002B02BC">
        <w:rPr>
          <w:rFonts w:ascii="Arial" w:hAnsi="Arial" w:cs="Arial"/>
          <w:lang w:val="mk-MK"/>
        </w:rPr>
        <w:t xml:space="preserve"> </w:t>
      </w:r>
      <w:proofErr w:type="spellStart"/>
      <w:r w:rsidRPr="002B02BC">
        <w:rPr>
          <w:rFonts w:ascii="Arial" w:hAnsi="Arial" w:cs="Arial"/>
          <w:lang w:val="mk-MK"/>
        </w:rPr>
        <w:t>about</w:t>
      </w:r>
      <w:proofErr w:type="spellEnd"/>
      <w:r w:rsidRPr="002B02BC">
        <w:rPr>
          <w:rFonts w:ascii="Arial" w:hAnsi="Arial" w:cs="Arial"/>
          <w:lang w:val="mk-MK"/>
        </w:rPr>
        <w:t xml:space="preserve"> </w:t>
      </w:r>
      <w:proofErr w:type="spellStart"/>
      <w:r w:rsidRPr="002B02BC">
        <w:rPr>
          <w:rFonts w:ascii="Arial" w:hAnsi="Arial" w:cs="Arial"/>
          <w:lang w:val="mk-MK"/>
        </w:rPr>
        <w:t>the</w:t>
      </w:r>
      <w:proofErr w:type="spellEnd"/>
      <w:r w:rsidRPr="002B02BC">
        <w:rPr>
          <w:rFonts w:ascii="Arial" w:hAnsi="Arial" w:cs="Arial"/>
          <w:lang w:val="mk-MK"/>
        </w:rPr>
        <w:t xml:space="preserve"> </w:t>
      </w:r>
      <w:proofErr w:type="spellStart"/>
      <w:r w:rsidRPr="002B02BC">
        <w:rPr>
          <w:rFonts w:ascii="Arial" w:hAnsi="Arial" w:cs="Arial"/>
          <w:lang w:val="mk-MK"/>
        </w:rPr>
        <w:t>carrying</w:t>
      </w:r>
      <w:proofErr w:type="spellEnd"/>
      <w:r w:rsidRPr="002B02BC">
        <w:rPr>
          <w:rFonts w:ascii="Arial" w:hAnsi="Arial" w:cs="Arial"/>
          <w:lang w:val="mk-MK"/>
        </w:rPr>
        <w:t xml:space="preserve"> </w:t>
      </w:r>
      <w:proofErr w:type="spellStart"/>
      <w:r w:rsidRPr="002B02BC">
        <w:rPr>
          <w:rFonts w:ascii="Arial" w:hAnsi="Arial" w:cs="Arial"/>
          <w:lang w:val="mk-MK"/>
        </w:rPr>
        <w:t>amounts</w:t>
      </w:r>
      <w:proofErr w:type="spellEnd"/>
      <w:r w:rsidRPr="002B02BC">
        <w:rPr>
          <w:rFonts w:ascii="Arial" w:hAnsi="Arial" w:cs="Arial"/>
          <w:lang w:val="mk-MK"/>
        </w:rPr>
        <w:t xml:space="preserve"> </w:t>
      </w:r>
      <w:proofErr w:type="spellStart"/>
      <w:r w:rsidRPr="002B02BC">
        <w:rPr>
          <w:rFonts w:ascii="Arial" w:hAnsi="Arial" w:cs="Arial"/>
          <w:lang w:val="mk-MK"/>
        </w:rPr>
        <w:t>of</w:t>
      </w:r>
      <w:proofErr w:type="spellEnd"/>
      <w:r w:rsidRPr="002B02BC">
        <w:rPr>
          <w:rFonts w:ascii="Arial" w:hAnsi="Arial" w:cs="Arial"/>
          <w:lang w:val="mk-MK"/>
        </w:rPr>
        <w:t xml:space="preserve"> </w:t>
      </w:r>
      <w:proofErr w:type="spellStart"/>
      <w:r w:rsidRPr="002B02BC">
        <w:rPr>
          <w:rFonts w:ascii="Arial" w:hAnsi="Arial" w:cs="Arial"/>
          <w:lang w:val="mk-MK"/>
        </w:rPr>
        <w:t>assets</w:t>
      </w:r>
      <w:proofErr w:type="spellEnd"/>
      <w:r w:rsidRPr="002B02BC">
        <w:rPr>
          <w:rFonts w:ascii="Arial" w:hAnsi="Arial" w:cs="Arial"/>
          <w:lang w:val="mk-MK"/>
        </w:rPr>
        <w:t xml:space="preserve"> </w:t>
      </w:r>
      <w:proofErr w:type="spellStart"/>
      <w:r w:rsidRPr="002B02BC">
        <w:rPr>
          <w:rFonts w:ascii="Arial" w:hAnsi="Arial" w:cs="Arial"/>
          <w:lang w:val="mk-MK"/>
        </w:rPr>
        <w:t>and</w:t>
      </w:r>
      <w:proofErr w:type="spellEnd"/>
      <w:r w:rsidRPr="002B02BC">
        <w:rPr>
          <w:rFonts w:ascii="Arial" w:hAnsi="Arial" w:cs="Arial"/>
          <w:lang w:val="mk-MK"/>
        </w:rPr>
        <w:t xml:space="preserve"> </w:t>
      </w:r>
      <w:proofErr w:type="spellStart"/>
      <w:r w:rsidRPr="002B02BC">
        <w:rPr>
          <w:rFonts w:ascii="Arial" w:hAnsi="Arial" w:cs="Arial"/>
          <w:lang w:val="mk-MK"/>
        </w:rPr>
        <w:t>liabilities</w:t>
      </w:r>
      <w:proofErr w:type="spellEnd"/>
      <w:r w:rsidRPr="002B02BC">
        <w:rPr>
          <w:rFonts w:ascii="Arial" w:hAnsi="Arial" w:cs="Arial"/>
          <w:lang w:val="mk-MK"/>
        </w:rPr>
        <w:t xml:space="preserve"> </w:t>
      </w:r>
      <w:proofErr w:type="spellStart"/>
      <w:r w:rsidRPr="002B02BC">
        <w:rPr>
          <w:rFonts w:ascii="Arial" w:hAnsi="Arial" w:cs="Arial"/>
          <w:lang w:val="mk-MK"/>
        </w:rPr>
        <w:t>that</w:t>
      </w:r>
      <w:proofErr w:type="spellEnd"/>
      <w:r w:rsidRPr="002B02BC">
        <w:rPr>
          <w:rFonts w:ascii="Arial" w:hAnsi="Arial" w:cs="Arial"/>
          <w:lang w:val="mk-MK"/>
        </w:rPr>
        <w:t xml:space="preserve"> </w:t>
      </w:r>
      <w:proofErr w:type="spellStart"/>
      <w:r w:rsidRPr="002B02BC">
        <w:rPr>
          <w:rFonts w:ascii="Arial" w:hAnsi="Arial" w:cs="Arial"/>
          <w:lang w:val="mk-MK"/>
        </w:rPr>
        <w:t>are</w:t>
      </w:r>
      <w:proofErr w:type="spellEnd"/>
      <w:r w:rsidRPr="002B02BC">
        <w:rPr>
          <w:rFonts w:ascii="Arial" w:hAnsi="Arial" w:cs="Arial"/>
          <w:lang w:val="mk-MK"/>
        </w:rPr>
        <w:t xml:space="preserve"> </w:t>
      </w:r>
      <w:proofErr w:type="spellStart"/>
      <w:r w:rsidRPr="002B02BC">
        <w:rPr>
          <w:rFonts w:ascii="Arial" w:hAnsi="Arial" w:cs="Arial"/>
          <w:lang w:val="mk-MK"/>
        </w:rPr>
        <w:t>not</w:t>
      </w:r>
      <w:proofErr w:type="spellEnd"/>
      <w:r w:rsidRPr="002B02BC">
        <w:rPr>
          <w:rFonts w:ascii="Arial" w:hAnsi="Arial" w:cs="Arial"/>
          <w:lang w:val="mk-MK"/>
        </w:rPr>
        <w:t xml:space="preserve"> </w:t>
      </w:r>
      <w:proofErr w:type="spellStart"/>
      <w:r w:rsidRPr="002B02BC">
        <w:rPr>
          <w:rFonts w:ascii="Arial" w:hAnsi="Arial" w:cs="Arial"/>
          <w:lang w:val="mk-MK"/>
        </w:rPr>
        <w:t>readily</w:t>
      </w:r>
      <w:proofErr w:type="spellEnd"/>
      <w:r w:rsidRPr="002B02BC">
        <w:rPr>
          <w:rFonts w:ascii="Arial" w:hAnsi="Arial" w:cs="Arial"/>
          <w:lang w:val="mk-MK"/>
        </w:rPr>
        <w:t xml:space="preserve"> </w:t>
      </w:r>
      <w:proofErr w:type="spellStart"/>
      <w:r w:rsidRPr="002B02BC">
        <w:rPr>
          <w:rFonts w:ascii="Arial" w:hAnsi="Arial" w:cs="Arial"/>
          <w:lang w:val="mk-MK"/>
        </w:rPr>
        <w:t>apparent</w:t>
      </w:r>
      <w:proofErr w:type="spellEnd"/>
      <w:r w:rsidRPr="002B02BC">
        <w:rPr>
          <w:rFonts w:ascii="Arial" w:hAnsi="Arial" w:cs="Arial"/>
          <w:lang w:val="mk-MK"/>
        </w:rPr>
        <w:t xml:space="preserve"> </w:t>
      </w:r>
      <w:proofErr w:type="spellStart"/>
      <w:r w:rsidRPr="002B02BC">
        <w:rPr>
          <w:rFonts w:ascii="Arial" w:hAnsi="Arial" w:cs="Arial"/>
          <w:lang w:val="mk-MK"/>
        </w:rPr>
        <w:t>from</w:t>
      </w:r>
      <w:proofErr w:type="spellEnd"/>
      <w:r w:rsidRPr="002B02BC">
        <w:rPr>
          <w:rFonts w:ascii="Arial" w:hAnsi="Arial" w:cs="Arial"/>
          <w:lang w:val="mk-MK"/>
        </w:rPr>
        <w:t xml:space="preserve"> </w:t>
      </w:r>
      <w:proofErr w:type="spellStart"/>
      <w:r w:rsidRPr="002B02BC">
        <w:rPr>
          <w:rFonts w:ascii="Arial" w:hAnsi="Arial" w:cs="Arial"/>
          <w:lang w:val="mk-MK"/>
        </w:rPr>
        <w:t>other</w:t>
      </w:r>
      <w:proofErr w:type="spellEnd"/>
      <w:r w:rsidRPr="002B02BC">
        <w:rPr>
          <w:rFonts w:ascii="Arial" w:hAnsi="Arial" w:cs="Arial"/>
          <w:lang w:val="mk-MK"/>
        </w:rPr>
        <w:t xml:space="preserve"> </w:t>
      </w:r>
      <w:proofErr w:type="spellStart"/>
      <w:r w:rsidRPr="002B02BC">
        <w:rPr>
          <w:rFonts w:ascii="Arial" w:hAnsi="Arial" w:cs="Arial"/>
          <w:lang w:val="mk-MK"/>
        </w:rPr>
        <w:t>sources</w:t>
      </w:r>
      <w:proofErr w:type="spellEnd"/>
      <w:r w:rsidRPr="002B02BC">
        <w:rPr>
          <w:rFonts w:ascii="Arial" w:hAnsi="Arial" w:cs="Arial"/>
          <w:lang w:val="mk-MK"/>
        </w:rPr>
        <w:t xml:space="preserve">. </w:t>
      </w:r>
      <w:proofErr w:type="spellStart"/>
      <w:r w:rsidRPr="002B02BC">
        <w:rPr>
          <w:rFonts w:ascii="Arial" w:hAnsi="Arial" w:cs="Arial"/>
          <w:lang w:val="mk-MK"/>
        </w:rPr>
        <w:t>The</w:t>
      </w:r>
      <w:proofErr w:type="spellEnd"/>
      <w:r w:rsidRPr="002B02BC">
        <w:rPr>
          <w:rFonts w:ascii="Arial" w:hAnsi="Arial" w:cs="Arial"/>
          <w:lang w:val="mk-MK"/>
        </w:rPr>
        <w:t xml:space="preserve"> </w:t>
      </w:r>
      <w:proofErr w:type="spellStart"/>
      <w:r w:rsidRPr="002B02BC">
        <w:rPr>
          <w:rFonts w:ascii="Arial" w:hAnsi="Arial" w:cs="Arial"/>
          <w:lang w:val="mk-MK"/>
        </w:rPr>
        <w:t>estimates</w:t>
      </w:r>
      <w:proofErr w:type="spellEnd"/>
      <w:r w:rsidRPr="002B02BC">
        <w:rPr>
          <w:rFonts w:ascii="Arial" w:hAnsi="Arial" w:cs="Arial"/>
          <w:lang w:val="mk-MK"/>
        </w:rPr>
        <w:t xml:space="preserve"> </w:t>
      </w:r>
      <w:proofErr w:type="spellStart"/>
      <w:r w:rsidRPr="002B02BC">
        <w:rPr>
          <w:rFonts w:ascii="Arial" w:hAnsi="Arial" w:cs="Arial"/>
          <w:lang w:val="mk-MK"/>
        </w:rPr>
        <w:t>and</w:t>
      </w:r>
      <w:proofErr w:type="spellEnd"/>
      <w:r w:rsidRPr="002B02BC">
        <w:rPr>
          <w:rFonts w:ascii="Arial" w:hAnsi="Arial" w:cs="Arial"/>
          <w:lang w:val="mk-MK"/>
        </w:rPr>
        <w:t xml:space="preserve"> </w:t>
      </w:r>
      <w:proofErr w:type="spellStart"/>
      <w:r w:rsidRPr="002B02BC">
        <w:rPr>
          <w:rFonts w:ascii="Arial" w:hAnsi="Arial" w:cs="Arial"/>
          <w:lang w:val="mk-MK"/>
        </w:rPr>
        <w:t>associated</w:t>
      </w:r>
      <w:proofErr w:type="spellEnd"/>
      <w:r w:rsidRPr="002B02BC">
        <w:rPr>
          <w:rFonts w:ascii="Arial" w:hAnsi="Arial" w:cs="Arial"/>
          <w:lang w:val="mk-MK"/>
        </w:rPr>
        <w:t xml:space="preserve"> </w:t>
      </w:r>
      <w:proofErr w:type="spellStart"/>
      <w:r w:rsidRPr="002B02BC">
        <w:rPr>
          <w:rFonts w:ascii="Arial" w:hAnsi="Arial" w:cs="Arial"/>
          <w:lang w:val="mk-MK"/>
        </w:rPr>
        <w:t>assumptions</w:t>
      </w:r>
      <w:proofErr w:type="spellEnd"/>
      <w:r w:rsidRPr="002B02BC">
        <w:rPr>
          <w:rFonts w:ascii="Arial" w:hAnsi="Arial" w:cs="Arial"/>
          <w:lang w:val="mk-MK"/>
        </w:rPr>
        <w:t xml:space="preserve"> </w:t>
      </w:r>
      <w:proofErr w:type="spellStart"/>
      <w:r w:rsidRPr="002B02BC">
        <w:rPr>
          <w:rFonts w:ascii="Arial" w:hAnsi="Arial" w:cs="Arial"/>
          <w:lang w:val="mk-MK"/>
        </w:rPr>
        <w:t>are</w:t>
      </w:r>
      <w:proofErr w:type="spellEnd"/>
      <w:r w:rsidRPr="002B02BC">
        <w:rPr>
          <w:rFonts w:ascii="Arial" w:hAnsi="Arial" w:cs="Arial"/>
          <w:lang w:val="mk-MK"/>
        </w:rPr>
        <w:t xml:space="preserve"> </w:t>
      </w:r>
      <w:proofErr w:type="spellStart"/>
      <w:r w:rsidRPr="002B02BC">
        <w:rPr>
          <w:rFonts w:ascii="Arial" w:hAnsi="Arial" w:cs="Arial"/>
          <w:lang w:val="mk-MK"/>
        </w:rPr>
        <w:t>based</w:t>
      </w:r>
      <w:proofErr w:type="spellEnd"/>
      <w:r w:rsidRPr="002B02BC">
        <w:rPr>
          <w:rFonts w:ascii="Arial" w:hAnsi="Arial" w:cs="Arial"/>
          <w:lang w:val="mk-MK"/>
        </w:rPr>
        <w:t xml:space="preserve"> </w:t>
      </w:r>
      <w:proofErr w:type="spellStart"/>
      <w:r w:rsidRPr="002B02BC">
        <w:rPr>
          <w:rFonts w:ascii="Arial" w:hAnsi="Arial" w:cs="Arial"/>
          <w:lang w:val="mk-MK"/>
        </w:rPr>
        <w:t>on</w:t>
      </w:r>
      <w:proofErr w:type="spellEnd"/>
      <w:r w:rsidRPr="002B02BC">
        <w:rPr>
          <w:rFonts w:ascii="Arial" w:hAnsi="Arial" w:cs="Arial"/>
          <w:lang w:val="mk-MK"/>
        </w:rPr>
        <w:t xml:space="preserve"> </w:t>
      </w:r>
      <w:proofErr w:type="spellStart"/>
      <w:r w:rsidRPr="002B02BC">
        <w:rPr>
          <w:rFonts w:ascii="Arial" w:hAnsi="Arial" w:cs="Arial"/>
          <w:lang w:val="mk-MK"/>
        </w:rPr>
        <w:t>historical</w:t>
      </w:r>
      <w:proofErr w:type="spellEnd"/>
      <w:r w:rsidRPr="002B02BC">
        <w:rPr>
          <w:rFonts w:ascii="Arial" w:hAnsi="Arial" w:cs="Arial"/>
          <w:lang w:val="mk-MK"/>
        </w:rPr>
        <w:t xml:space="preserve"> </w:t>
      </w:r>
      <w:proofErr w:type="spellStart"/>
      <w:r w:rsidRPr="002B02BC">
        <w:rPr>
          <w:rFonts w:ascii="Arial" w:hAnsi="Arial" w:cs="Arial"/>
          <w:lang w:val="mk-MK"/>
        </w:rPr>
        <w:t>experience</w:t>
      </w:r>
      <w:proofErr w:type="spellEnd"/>
      <w:r w:rsidRPr="002B02BC">
        <w:rPr>
          <w:rFonts w:ascii="Arial" w:hAnsi="Arial" w:cs="Arial"/>
          <w:lang w:val="mk-MK"/>
        </w:rPr>
        <w:t xml:space="preserve"> </w:t>
      </w:r>
      <w:proofErr w:type="spellStart"/>
      <w:r w:rsidRPr="002B02BC">
        <w:rPr>
          <w:rFonts w:ascii="Arial" w:hAnsi="Arial" w:cs="Arial"/>
          <w:lang w:val="mk-MK"/>
        </w:rPr>
        <w:t>and</w:t>
      </w:r>
      <w:proofErr w:type="spellEnd"/>
      <w:r w:rsidRPr="002B02BC">
        <w:rPr>
          <w:rFonts w:ascii="Arial" w:hAnsi="Arial" w:cs="Arial"/>
          <w:lang w:val="mk-MK"/>
        </w:rPr>
        <w:t xml:space="preserve"> </w:t>
      </w:r>
      <w:proofErr w:type="spellStart"/>
      <w:r w:rsidRPr="002B02BC">
        <w:rPr>
          <w:rFonts w:ascii="Arial" w:hAnsi="Arial" w:cs="Arial"/>
          <w:lang w:val="mk-MK"/>
        </w:rPr>
        <w:t>other</w:t>
      </w:r>
      <w:proofErr w:type="spellEnd"/>
      <w:r w:rsidRPr="002B02BC">
        <w:rPr>
          <w:rFonts w:ascii="Arial" w:hAnsi="Arial" w:cs="Arial"/>
          <w:lang w:val="mk-MK"/>
        </w:rPr>
        <w:t xml:space="preserve"> </w:t>
      </w:r>
      <w:proofErr w:type="spellStart"/>
      <w:r w:rsidRPr="002B02BC">
        <w:rPr>
          <w:rFonts w:ascii="Arial" w:hAnsi="Arial" w:cs="Arial"/>
          <w:lang w:val="mk-MK"/>
        </w:rPr>
        <w:t>factors</w:t>
      </w:r>
      <w:proofErr w:type="spellEnd"/>
      <w:r w:rsidRPr="002B02BC">
        <w:rPr>
          <w:rFonts w:ascii="Arial" w:hAnsi="Arial" w:cs="Arial"/>
          <w:lang w:val="mk-MK"/>
        </w:rPr>
        <w:t xml:space="preserve"> </w:t>
      </w:r>
      <w:proofErr w:type="spellStart"/>
      <w:r w:rsidRPr="002B02BC">
        <w:rPr>
          <w:rFonts w:ascii="Arial" w:hAnsi="Arial" w:cs="Arial"/>
          <w:lang w:val="mk-MK"/>
        </w:rPr>
        <w:t>that</w:t>
      </w:r>
      <w:proofErr w:type="spellEnd"/>
      <w:r w:rsidRPr="002B02BC">
        <w:rPr>
          <w:rFonts w:ascii="Arial" w:hAnsi="Arial" w:cs="Arial"/>
          <w:lang w:val="mk-MK"/>
        </w:rPr>
        <w:t xml:space="preserve"> </w:t>
      </w:r>
      <w:proofErr w:type="spellStart"/>
      <w:r w:rsidRPr="002B02BC">
        <w:rPr>
          <w:rFonts w:ascii="Arial" w:hAnsi="Arial" w:cs="Arial"/>
          <w:lang w:val="mk-MK"/>
        </w:rPr>
        <w:t>are</w:t>
      </w:r>
      <w:proofErr w:type="spellEnd"/>
      <w:r w:rsidRPr="002B02BC">
        <w:rPr>
          <w:rFonts w:ascii="Arial" w:hAnsi="Arial" w:cs="Arial"/>
          <w:lang w:val="mk-MK"/>
        </w:rPr>
        <w:t xml:space="preserve"> </w:t>
      </w:r>
      <w:proofErr w:type="spellStart"/>
      <w:r w:rsidRPr="002B02BC">
        <w:rPr>
          <w:rFonts w:ascii="Arial" w:hAnsi="Arial" w:cs="Arial"/>
          <w:lang w:val="mk-MK"/>
        </w:rPr>
        <w:t>considered</w:t>
      </w:r>
      <w:proofErr w:type="spellEnd"/>
      <w:r w:rsidRPr="002B02BC">
        <w:rPr>
          <w:rFonts w:ascii="Arial" w:hAnsi="Arial" w:cs="Arial"/>
          <w:lang w:val="mk-MK"/>
        </w:rPr>
        <w:t xml:space="preserve"> </w:t>
      </w:r>
      <w:proofErr w:type="spellStart"/>
      <w:r w:rsidRPr="002B02BC">
        <w:rPr>
          <w:rFonts w:ascii="Arial" w:hAnsi="Arial" w:cs="Arial"/>
          <w:lang w:val="mk-MK"/>
        </w:rPr>
        <w:t>relevant</w:t>
      </w:r>
      <w:proofErr w:type="spellEnd"/>
      <w:r w:rsidRPr="002B02BC">
        <w:rPr>
          <w:rFonts w:ascii="Arial" w:hAnsi="Arial" w:cs="Arial"/>
          <w:lang w:val="mk-MK"/>
        </w:rPr>
        <w:t xml:space="preserve">. </w:t>
      </w:r>
      <w:proofErr w:type="spellStart"/>
      <w:r w:rsidRPr="002B02BC">
        <w:rPr>
          <w:rFonts w:ascii="Arial" w:hAnsi="Arial" w:cs="Arial"/>
          <w:lang w:val="mk-MK"/>
        </w:rPr>
        <w:t>Actual</w:t>
      </w:r>
      <w:proofErr w:type="spellEnd"/>
      <w:r w:rsidRPr="002B02BC">
        <w:rPr>
          <w:rFonts w:ascii="Arial" w:hAnsi="Arial" w:cs="Arial"/>
          <w:lang w:val="mk-MK"/>
        </w:rPr>
        <w:t xml:space="preserve"> </w:t>
      </w:r>
      <w:proofErr w:type="spellStart"/>
      <w:r w:rsidRPr="002B02BC">
        <w:rPr>
          <w:rFonts w:ascii="Arial" w:hAnsi="Arial" w:cs="Arial"/>
          <w:lang w:val="mk-MK"/>
        </w:rPr>
        <w:t>results</w:t>
      </w:r>
      <w:proofErr w:type="spellEnd"/>
      <w:r w:rsidRPr="002B02BC">
        <w:rPr>
          <w:rFonts w:ascii="Arial" w:hAnsi="Arial" w:cs="Arial"/>
          <w:lang w:val="mk-MK"/>
        </w:rPr>
        <w:t xml:space="preserve"> </w:t>
      </w:r>
      <w:proofErr w:type="spellStart"/>
      <w:r w:rsidRPr="002B02BC">
        <w:rPr>
          <w:rFonts w:ascii="Arial" w:hAnsi="Arial" w:cs="Arial"/>
          <w:lang w:val="mk-MK"/>
        </w:rPr>
        <w:t>may</w:t>
      </w:r>
      <w:proofErr w:type="spellEnd"/>
      <w:r w:rsidRPr="002B02BC">
        <w:rPr>
          <w:rFonts w:ascii="Arial" w:hAnsi="Arial" w:cs="Arial"/>
          <w:lang w:val="mk-MK"/>
        </w:rPr>
        <w:t xml:space="preserve"> </w:t>
      </w:r>
      <w:proofErr w:type="spellStart"/>
      <w:r w:rsidRPr="002B02BC">
        <w:rPr>
          <w:rFonts w:ascii="Arial" w:hAnsi="Arial" w:cs="Arial"/>
          <w:lang w:val="mk-MK"/>
        </w:rPr>
        <w:t>differ</w:t>
      </w:r>
      <w:proofErr w:type="spellEnd"/>
      <w:r w:rsidRPr="002B02BC">
        <w:rPr>
          <w:rFonts w:ascii="Arial" w:hAnsi="Arial" w:cs="Arial"/>
          <w:lang w:val="mk-MK"/>
        </w:rPr>
        <w:t xml:space="preserve"> </w:t>
      </w:r>
      <w:proofErr w:type="spellStart"/>
      <w:r w:rsidRPr="002B02BC">
        <w:rPr>
          <w:rFonts w:ascii="Arial" w:hAnsi="Arial" w:cs="Arial"/>
          <w:lang w:val="mk-MK"/>
        </w:rPr>
        <w:t>from</w:t>
      </w:r>
      <w:proofErr w:type="spellEnd"/>
      <w:r w:rsidRPr="002B02BC">
        <w:rPr>
          <w:rFonts w:ascii="Arial" w:hAnsi="Arial" w:cs="Arial"/>
          <w:lang w:val="mk-MK"/>
        </w:rPr>
        <w:t xml:space="preserve"> </w:t>
      </w:r>
      <w:proofErr w:type="spellStart"/>
      <w:r w:rsidRPr="002B02BC">
        <w:rPr>
          <w:rFonts w:ascii="Arial" w:hAnsi="Arial" w:cs="Arial"/>
          <w:lang w:val="mk-MK"/>
        </w:rPr>
        <w:t>these</w:t>
      </w:r>
      <w:proofErr w:type="spellEnd"/>
      <w:r w:rsidRPr="002B02BC">
        <w:rPr>
          <w:rFonts w:ascii="Arial" w:hAnsi="Arial" w:cs="Arial"/>
          <w:lang w:val="mk-MK"/>
        </w:rPr>
        <w:t xml:space="preserve"> </w:t>
      </w:r>
      <w:proofErr w:type="spellStart"/>
      <w:r w:rsidRPr="002B02BC">
        <w:rPr>
          <w:rFonts w:ascii="Arial" w:hAnsi="Arial" w:cs="Arial"/>
          <w:lang w:val="mk-MK"/>
        </w:rPr>
        <w:t>estimates</w:t>
      </w:r>
      <w:proofErr w:type="spellEnd"/>
      <w:r>
        <w:rPr>
          <w:rFonts w:ascii="Arial" w:hAnsi="Arial" w:cs="Arial"/>
          <w:lang w:val="en-US"/>
        </w:rPr>
        <w:t>.</w:t>
      </w:r>
    </w:p>
    <w:p w14:paraId="25B5C53A" w14:textId="77777777" w:rsidR="005F248E" w:rsidRPr="00CE3053" w:rsidRDefault="005F248E" w:rsidP="005F248E">
      <w:pPr>
        <w:pStyle w:val="BodyText"/>
        <w:jc w:val="both"/>
        <w:rPr>
          <w:rFonts w:ascii="Arial" w:hAnsi="Arial" w:cs="Arial"/>
          <w:lang w:val="mk-MK"/>
        </w:rPr>
      </w:pPr>
      <w:proofErr w:type="spellStart"/>
      <w:r w:rsidRPr="002B02BC">
        <w:rPr>
          <w:rFonts w:ascii="Arial" w:hAnsi="Arial" w:cs="Arial"/>
          <w:lang w:val="mk-MK"/>
        </w:rPr>
        <w:t>Estimates</w:t>
      </w:r>
      <w:proofErr w:type="spellEnd"/>
      <w:r w:rsidRPr="002B02BC">
        <w:rPr>
          <w:rFonts w:ascii="Arial" w:hAnsi="Arial" w:cs="Arial"/>
          <w:lang w:val="mk-MK"/>
        </w:rPr>
        <w:t xml:space="preserve"> </w:t>
      </w:r>
      <w:proofErr w:type="spellStart"/>
      <w:r w:rsidRPr="002B02BC">
        <w:rPr>
          <w:rFonts w:ascii="Arial" w:hAnsi="Arial" w:cs="Arial"/>
          <w:lang w:val="mk-MK"/>
        </w:rPr>
        <w:t>and</w:t>
      </w:r>
      <w:proofErr w:type="spellEnd"/>
      <w:r w:rsidRPr="002B02BC">
        <w:rPr>
          <w:rFonts w:ascii="Arial" w:hAnsi="Arial" w:cs="Arial"/>
          <w:lang w:val="mk-MK"/>
        </w:rPr>
        <w:t xml:space="preserve"> </w:t>
      </w:r>
      <w:proofErr w:type="spellStart"/>
      <w:r w:rsidRPr="002B02BC">
        <w:rPr>
          <w:rFonts w:ascii="Arial" w:hAnsi="Arial" w:cs="Arial"/>
          <w:lang w:val="mk-MK"/>
        </w:rPr>
        <w:t>underlying</w:t>
      </w:r>
      <w:proofErr w:type="spellEnd"/>
      <w:r w:rsidRPr="002B02BC">
        <w:rPr>
          <w:rFonts w:ascii="Arial" w:hAnsi="Arial" w:cs="Arial"/>
          <w:lang w:val="mk-MK"/>
        </w:rPr>
        <w:t xml:space="preserve"> </w:t>
      </w:r>
      <w:proofErr w:type="spellStart"/>
      <w:r w:rsidRPr="002B02BC">
        <w:rPr>
          <w:rFonts w:ascii="Arial" w:hAnsi="Arial" w:cs="Arial"/>
          <w:lang w:val="mk-MK"/>
        </w:rPr>
        <w:t>assumptions</w:t>
      </w:r>
      <w:proofErr w:type="spellEnd"/>
      <w:r w:rsidRPr="002B02BC">
        <w:rPr>
          <w:rFonts w:ascii="Arial" w:hAnsi="Arial" w:cs="Arial"/>
          <w:lang w:val="mk-MK"/>
        </w:rPr>
        <w:t xml:space="preserve"> </w:t>
      </w:r>
      <w:proofErr w:type="spellStart"/>
      <w:r w:rsidRPr="002B02BC">
        <w:rPr>
          <w:rFonts w:ascii="Arial" w:hAnsi="Arial" w:cs="Arial"/>
          <w:lang w:val="mk-MK"/>
        </w:rPr>
        <w:t>are</w:t>
      </w:r>
      <w:proofErr w:type="spellEnd"/>
      <w:r w:rsidRPr="002B02BC">
        <w:rPr>
          <w:rFonts w:ascii="Arial" w:hAnsi="Arial" w:cs="Arial"/>
          <w:lang w:val="mk-MK"/>
        </w:rPr>
        <w:t xml:space="preserve"> </w:t>
      </w:r>
      <w:proofErr w:type="spellStart"/>
      <w:r w:rsidRPr="002B02BC">
        <w:rPr>
          <w:rFonts w:ascii="Arial" w:hAnsi="Arial" w:cs="Arial"/>
          <w:lang w:val="mk-MK"/>
        </w:rPr>
        <w:t>reviewed</w:t>
      </w:r>
      <w:proofErr w:type="spellEnd"/>
      <w:r w:rsidRPr="002B02BC">
        <w:rPr>
          <w:rFonts w:ascii="Arial" w:hAnsi="Arial" w:cs="Arial"/>
          <w:lang w:val="mk-MK"/>
        </w:rPr>
        <w:t xml:space="preserve"> </w:t>
      </w:r>
      <w:proofErr w:type="spellStart"/>
      <w:r w:rsidRPr="002B02BC">
        <w:rPr>
          <w:rFonts w:ascii="Arial" w:hAnsi="Arial" w:cs="Arial"/>
          <w:lang w:val="mk-MK"/>
        </w:rPr>
        <w:t>on</w:t>
      </w:r>
      <w:proofErr w:type="spellEnd"/>
      <w:r w:rsidRPr="002B02BC">
        <w:rPr>
          <w:rFonts w:ascii="Arial" w:hAnsi="Arial" w:cs="Arial"/>
          <w:lang w:val="mk-MK"/>
        </w:rPr>
        <w:t xml:space="preserve"> </w:t>
      </w:r>
      <w:proofErr w:type="spellStart"/>
      <w:r w:rsidRPr="002B02BC">
        <w:rPr>
          <w:rFonts w:ascii="Arial" w:hAnsi="Arial" w:cs="Arial"/>
          <w:lang w:val="mk-MK"/>
        </w:rPr>
        <w:t>an</w:t>
      </w:r>
      <w:proofErr w:type="spellEnd"/>
      <w:r w:rsidRPr="002B02BC">
        <w:rPr>
          <w:rFonts w:ascii="Arial" w:hAnsi="Arial" w:cs="Arial"/>
          <w:lang w:val="mk-MK"/>
        </w:rPr>
        <w:t xml:space="preserve"> </w:t>
      </w:r>
      <w:proofErr w:type="spellStart"/>
      <w:r w:rsidRPr="002B02BC">
        <w:rPr>
          <w:rFonts w:ascii="Arial" w:hAnsi="Arial" w:cs="Arial"/>
          <w:lang w:val="mk-MK"/>
        </w:rPr>
        <w:t>on-going</w:t>
      </w:r>
      <w:proofErr w:type="spellEnd"/>
      <w:r w:rsidRPr="002B02BC">
        <w:rPr>
          <w:rFonts w:ascii="Arial" w:hAnsi="Arial" w:cs="Arial"/>
          <w:lang w:val="mk-MK"/>
        </w:rPr>
        <w:t xml:space="preserve"> </w:t>
      </w:r>
      <w:proofErr w:type="spellStart"/>
      <w:r w:rsidRPr="002B02BC">
        <w:rPr>
          <w:rFonts w:ascii="Arial" w:hAnsi="Arial" w:cs="Arial"/>
          <w:lang w:val="mk-MK"/>
        </w:rPr>
        <w:t>basis</w:t>
      </w:r>
      <w:proofErr w:type="spellEnd"/>
      <w:r w:rsidRPr="002B02BC">
        <w:rPr>
          <w:rFonts w:ascii="Arial" w:hAnsi="Arial" w:cs="Arial"/>
          <w:lang w:val="mk-MK"/>
        </w:rPr>
        <w:t xml:space="preserve">. </w:t>
      </w:r>
      <w:proofErr w:type="spellStart"/>
      <w:r w:rsidRPr="002B02BC">
        <w:rPr>
          <w:rFonts w:ascii="Arial" w:hAnsi="Arial" w:cs="Arial"/>
          <w:lang w:val="mk-MK"/>
        </w:rPr>
        <w:t>Revisions</w:t>
      </w:r>
      <w:proofErr w:type="spellEnd"/>
      <w:r w:rsidRPr="002B02BC">
        <w:rPr>
          <w:rFonts w:ascii="Arial" w:hAnsi="Arial" w:cs="Arial"/>
          <w:lang w:val="mk-MK"/>
        </w:rPr>
        <w:t xml:space="preserve"> </w:t>
      </w:r>
      <w:proofErr w:type="spellStart"/>
      <w:r w:rsidRPr="002B02BC">
        <w:rPr>
          <w:rFonts w:ascii="Arial" w:hAnsi="Arial" w:cs="Arial"/>
          <w:lang w:val="mk-MK"/>
        </w:rPr>
        <w:t>to</w:t>
      </w:r>
      <w:proofErr w:type="spellEnd"/>
      <w:r w:rsidRPr="002B02BC">
        <w:rPr>
          <w:rFonts w:ascii="Arial" w:hAnsi="Arial" w:cs="Arial"/>
          <w:lang w:val="mk-MK"/>
        </w:rPr>
        <w:t xml:space="preserve"> </w:t>
      </w:r>
      <w:proofErr w:type="spellStart"/>
      <w:r w:rsidRPr="002B02BC">
        <w:rPr>
          <w:rFonts w:ascii="Arial" w:hAnsi="Arial" w:cs="Arial"/>
          <w:lang w:val="mk-MK"/>
        </w:rPr>
        <w:t>accounting</w:t>
      </w:r>
      <w:proofErr w:type="spellEnd"/>
      <w:r w:rsidRPr="002B02BC">
        <w:rPr>
          <w:rFonts w:ascii="Arial" w:hAnsi="Arial" w:cs="Arial"/>
          <w:lang w:val="mk-MK"/>
        </w:rPr>
        <w:t xml:space="preserve"> </w:t>
      </w:r>
      <w:proofErr w:type="spellStart"/>
      <w:r w:rsidRPr="002B02BC">
        <w:rPr>
          <w:rFonts w:ascii="Arial" w:hAnsi="Arial" w:cs="Arial"/>
          <w:lang w:val="mk-MK"/>
        </w:rPr>
        <w:t>estimates</w:t>
      </w:r>
      <w:proofErr w:type="spellEnd"/>
      <w:r w:rsidRPr="002B02BC">
        <w:rPr>
          <w:rFonts w:ascii="Arial" w:hAnsi="Arial" w:cs="Arial"/>
          <w:lang w:val="mk-MK"/>
        </w:rPr>
        <w:t xml:space="preserve"> </w:t>
      </w:r>
      <w:proofErr w:type="spellStart"/>
      <w:r w:rsidRPr="002B02BC">
        <w:rPr>
          <w:rFonts w:ascii="Arial" w:hAnsi="Arial" w:cs="Arial"/>
          <w:lang w:val="mk-MK"/>
        </w:rPr>
        <w:t>are</w:t>
      </w:r>
      <w:proofErr w:type="spellEnd"/>
      <w:r w:rsidRPr="002B02BC">
        <w:rPr>
          <w:rFonts w:ascii="Arial" w:hAnsi="Arial" w:cs="Arial"/>
          <w:lang w:val="mk-MK"/>
        </w:rPr>
        <w:t xml:space="preserve"> </w:t>
      </w:r>
      <w:proofErr w:type="spellStart"/>
      <w:r w:rsidRPr="002B02BC">
        <w:rPr>
          <w:rFonts w:ascii="Arial" w:hAnsi="Arial" w:cs="Arial"/>
          <w:lang w:val="mk-MK"/>
        </w:rPr>
        <w:t>recognised</w:t>
      </w:r>
      <w:proofErr w:type="spellEnd"/>
      <w:r w:rsidRPr="002B02BC">
        <w:rPr>
          <w:rFonts w:ascii="Arial" w:hAnsi="Arial" w:cs="Arial"/>
          <w:lang w:val="mk-MK"/>
        </w:rPr>
        <w:t xml:space="preserve"> </w:t>
      </w:r>
      <w:proofErr w:type="spellStart"/>
      <w:r w:rsidRPr="002B02BC">
        <w:rPr>
          <w:rFonts w:ascii="Arial" w:hAnsi="Arial" w:cs="Arial"/>
          <w:lang w:val="mk-MK"/>
        </w:rPr>
        <w:t>in</w:t>
      </w:r>
      <w:proofErr w:type="spellEnd"/>
      <w:r w:rsidRPr="002B02BC">
        <w:rPr>
          <w:rFonts w:ascii="Arial" w:hAnsi="Arial" w:cs="Arial"/>
          <w:lang w:val="mk-MK"/>
        </w:rPr>
        <w:t xml:space="preserve"> </w:t>
      </w:r>
      <w:proofErr w:type="spellStart"/>
      <w:r w:rsidRPr="002B02BC">
        <w:rPr>
          <w:rFonts w:ascii="Arial" w:hAnsi="Arial" w:cs="Arial"/>
          <w:lang w:val="mk-MK"/>
        </w:rPr>
        <w:t>the</w:t>
      </w:r>
      <w:proofErr w:type="spellEnd"/>
      <w:r w:rsidRPr="002B02BC">
        <w:rPr>
          <w:rFonts w:ascii="Arial" w:hAnsi="Arial" w:cs="Arial"/>
          <w:lang w:val="mk-MK"/>
        </w:rPr>
        <w:t xml:space="preserve"> </w:t>
      </w:r>
      <w:proofErr w:type="spellStart"/>
      <w:r w:rsidRPr="002B02BC">
        <w:rPr>
          <w:rFonts w:ascii="Arial" w:hAnsi="Arial" w:cs="Arial"/>
          <w:lang w:val="mk-MK"/>
        </w:rPr>
        <w:t>period</w:t>
      </w:r>
      <w:proofErr w:type="spellEnd"/>
      <w:r w:rsidRPr="002B02BC">
        <w:rPr>
          <w:rFonts w:ascii="Arial" w:hAnsi="Arial" w:cs="Arial"/>
          <w:lang w:val="mk-MK"/>
        </w:rPr>
        <w:t xml:space="preserve"> </w:t>
      </w:r>
      <w:proofErr w:type="spellStart"/>
      <w:r w:rsidRPr="002B02BC">
        <w:rPr>
          <w:rFonts w:ascii="Arial" w:hAnsi="Arial" w:cs="Arial"/>
          <w:lang w:val="mk-MK"/>
        </w:rPr>
        <w:t>in</w:t>
      </w:r>
      <w:proofErr w:type="spellEnd"/>
      <w:r w:rsidRPr="002B02BC">
        <w:rPr>
          <w:rFonts w:ascii="Arial" w:hAnsi="Arial" w:cs="Arial"/>
          <w:lang w:val="mk-MK"/>
        </w:rPr>
        <w:t xml:space="preserve"> </w:t>
      </w:r>
      <w:proofErr w:type="spellStart"/>
      <w:r w:rsidRPr="002B02BC">
        <w:rPr>
          <w:rFonts w:ascii="Arial" w:hAnsi="Arial" w:cs="Arial"/>
          <w:lang w:val="mk-MK"/>
        </w:rPr>
        <w:t>which</w:t>
      </w:r>
      <w:proofErr w:type="spellEnd"/>
      <w:r w:rsidRPr="002B02BC">
        <w:rPr>
          <w:rFonts w:ascii="Arial" w:hAnsi="Arial" w:cs="Arial"/>
          <w:lang w:val="mk-MK"/>
        </w:rPr>
        <w:t xml:space="preserve"> </w:t>
      </w:r>
      <w:proofErr w:type="spellStart"/>
      <w:r w:rsidRPr="002B02BC">
        <w:rPr>
          <w:rFonts w:ascii="Arial" w:hAnsi="Arial" w:cs="Arial"/>
          <w:lang w:val="mk-MK"/>
        </w:rPr>
        <w:t>the</w:t>
      </w:r>
      <w:proofErr w:type="spellEnd"/>
      <w:r w:rsidRPr="002B02BC">
        <w:rPr>
          <w:rFonts w:ascii="Arial" w:hAnsi="Arial" w:cs="Arial"/>
          <w:lang w:val="mk-MK"/>
        </w:rPr>
        <w:t xml:space="preserve"> </w:t>
      </w:r>
      <w:proofErr w:type="spellStart"/>
      <w:r w:rsidRPr="002B02BC">
        <w:rPr>
          <w:rFonts w:ascii="Arial" w:hAnsi="Arial" w:cs="Arial"/>
          <w:lang w:val="mk-MK"/>
        </w:rPr>
        <w:t>estimate</w:t>
      </w:r>
      <w:proofErr w:type="spellEnd"/>
      <w:r w:rsidRPr="002B02BC">
        <w:rPr>
          <w:rFonts w:ascii="Arial" w:hAnsi="Arial" w:cs="Arial"/>
          <w:lang w:val="mk-MK"/>
        </w:rPr>
        <w:t xml:space="preserve"> </w:t>
      </w:r>
      <w:proofErr w:type="spellStart"/>
      <w:r w:rsidRPr="002B02BC">
        <w:rPr>
          <w:rFonts w:ascii="Arial" w:hAnsi="Arial" w:cs="Arial"/>
          <w:lang w:val="mk-MK"/>
        </w:rPr>
        <w:t>is</w:t>
      </w:r>
      <w:proofErr w:type="spellEnd"/>
      <w:r w:rsidRPr="002B02BC">
        <w:rPr>
          <w:rFonts w:ascii="Arial" w:hAnsi="Arial" w:cs="Arial"/>
          <w:lang w:val="mk-MK"/>
        </w:rPr>
        <w:t xml:space="preserve"> </w:t>
      </w:r>
      <w:proofErr w:type="spellStart"/>
      <w:r w:rsidRPr="002B02BC">
        <w:rPr>
          <w:rFonts w:ascii="Arial" w:hAnsi="Arial" w:cs="Arial"/>
          <w:lang w:val="mk-MK"/>
        </w:rPr>
        <w:t>revised</w:t>
      </w:r>
      <w:proofErr w:type="spellEnd"/>
      <w:r w:rsidRPr="002B02BC">
        <w:rPr>
          <w:rFonts w:ascii="Arial" w:hAnsi="Arial" w:cs="Arial"/>
          <w:lang w:val="mk-MK"/>
        </w:rPr>
        <w:t xml:space="preserve"> </w:t>
      </w:r>
      <w:proofErr w:type="spellStart"/>
      <w:r w:rsidRPr="002B02BC">
        <w:rPr>
          <w:rFonts w:ascii="Arial" w:hAnsi="Arial" w:cs="Arial"/>
          <w:lang w:val="mk-MK"/>
        </w:rPr>
        <w:t>if</w:t>
      </w:r>
      <w:proofErr w:type="spellEnd"/>
      <w:r w:rsidRPr="002B02BC">
        <w:rPr>
          <w:rFonts w:ascii="Arial" w:hAnsi="Arial" w:cs="Arial"/>
          <w:lang w:val="mk-MK"/>
        </w:rPr>
        <w:t xml:space="preserve"> </w:t>
      </w:r>
      <w:proofErr w:type="spellStart"/>
      <w:r w:rsidRPr="002B02BC">
        <w:rPr>
          <w:rFonts w:ascii="Arial" w:hAnsi="Arial" w:cs="Arial"/>
          <w:lang w:val="mk-MK"/>
        </w:rPr>
        <w:t>the</w:t>
      </w:r>
      <w:proofErr w:type="spellEnd"/>
      <w:r w:rsidRPr="002B02BC">
        <w:rPr>
          <w:rFonts w:ascii="Arial" w:hAnsi="Arial" w:cs="Arial"/>
          <w:lang w:val="mk-MK"/>
        </w:rPr>
        <w:t xml:space="preserve"> </w:t>
      </w:r>
      <w:proofErr w:type="spellStart"/>
      <w:r w:rsidRPr="002B02BC">
        <w:rPr>
          <w:rFonts w:ascii="Arial" w:hAnsi="Arial" w:cs="Arial"/>
          <w:lang w:val="mk-MK"/>
        </w:rPr>
        <w:t>revision</w:t>
      </w:r>
      <w:proofErr w:type="spellEnd"/>
      <w:r w:rsidRPr="002B02BC">
        <w:rPr>
          <w:rFonts w:ascii="Arial" w:hAnsi="Arial" w:cs="Arial"/>
          <w:lang w:val="mk-MK"/>
        </w:rPr>
        <w:t xml:space="preserve"> </w:t>
      </w:r>
      <w:proofErr w:type="spellStart"/>
      <w:r w:rsidRPr="002B02BC">
        <w:rPr>
          <w:rFonts w:ascii="Arial" w:hAnsi="Arial" w:cs="Arial"/>
          <w:lang w:val="mk-MK"/>
        </w:rPr>
        <w:t>affects</w:t>
      </w:r>
      <w:proofErr w:type="spellEnd"/>
      <w:r w:rsidRPr="002B02BC">
        <w:rPr>
          <w:rFonts w:ascii="Arial" w:hAnsi="Arial" w:cs="Arial"/>
          <w:lang w:val="mk-MK"/>
        </w:rPr>
        <w:t xml:space="preserve"> </w:t>
      </w:r>
      <w:proofErr w:type="spellStart"/>
      <w:r w:rsidRPr="002B02BC">
        <w:rPr>
          <w:rFonts w:ascii="Arial" w:hAnsi="Arial" w:cs="Arial"/>
          <w:lang w:val="mk-MK"/>
        </w:rPr>
        <w:t>only</w:t>
      </w:r>
      <w:proofErr w:type="spellEnd"/>
      <w:r w:rsidRPr="002B02BC">
        <w:rPr>
          <w:rFonts w:ascii="Arial" w:hAnsi="Arial" w:cs="Arial"/>
          <w:lang w:val="mk-MK"/>
        </w:rPr>
        <w:t xml:space="preserve"> </w:t>
      </w:r>
      <w:proofErr w:type="spellStart"/>
      <w:r w:rsidRPr="002B02BC">
        <w:rPr>
          <w:rFonts w:ascii="Arial" w:hAnsi="Arial" w:cs="Arial"/>
          <w:lang w:val="mk-MK"/>
        </w:rPr>
        <w:t>that</w:t>
      </w:r>
      <w:proofErr w:type="spellEnd"/>
      <w:r w:rsidRPr="002B02BC">
        <w:rPr>
          <w:rFonts w:ascii="Arial" w:hAnsi="Arial" w:cs="Arial"/>
          <w:lang w:val="mk-MK"/>
        </w:rPr>
        <w:t xml:space="preserve"> </w:t>
      </w:r>
      <w:proofErr w:type="spellStart"/>
      <w:r w:rsidRPr="002B02BC">
        <w:rPr>
          <w:rFonts w:ascii="Arial" w:hAnsi="Arial" w:cs="Arial"/>
          <w:lang w:val="mk-MK"/>
        </w:rPr>
        <w:t>period</w:t>
      </w:r>
      <w:proofErr w:type="spellEnd"/>
      <w:r w:rsidRPr="002B02BC">
        <w:rPr>
          <w:rFonts w:ascii="Arial" w:hAnsi="Arial" w:cs="Arial"/>
          <w:lang w:val="mk-MK"/>
        </w:rPr>
        <w:t xml:space="preserve"> </w:t>
      </w:r>
      <w:proofErr w:type="spellStart"/>
      <w:r w:rsidRPr="002B02BC">
        <w:rPr>
          <w:rFonts w:ascii="Arial" w:hAnsi="Arial" w:cs="Arial"/>
          <w:lang w:val="mk-MK"/>
        </w:rPr>
        <w:t>or</w:t>
      </w:r>
      <w:proofErr w:type="spellEnd"/>
      <w:r w:rsidRPr="002B02BC">
        <w:rPr>
          <w:rFonts w:ascii="Arial" w:hAnsi="Arial" w:cs="Arial"/>
          <w:lang w:val="mk-MK"/>
        </w:rPr>
        <w:t xml:space="preserve"> </w:t>
      </w:r>
      <w:proofErr w:type="spellStart"/>
      <w:r w:rsidRPr="002B02BC">
        <w:rPr>
          <w:rFonts w:ascii="Arial" w:hAnsi="Arial" w:cs="Arial"/>
          <w:lang w:val="mk-MK"/>
        </w:rPr>
        <w:t>in</w:t>
      </w:r>
      <w:proofErr w:type="spellEnd"/>
      <w:r w:rsidRPr="002B02BC">
        <w:rPr>
          <w:rFonts w:ascii="Arial" w:hAnsi="Arial" w:cs="Arial"/>
          <w:lang w:val="mk-MK"/>
        </w:rPr>
        <w:t xml:space="preserve"> </w:t>
      </w:r>
      <w:proofErr w:type="spellStart"/>
      <w:r w:rsidRPr="002B02BC">
        <w:rPr>
          <w:rFonts w:ascii="Arial" w:hAnsi="Arial" w:cs="Arial"/>
          <w:lang w:val="mk-MK"/>
        </w:rPr>
        <w:t>the</w:t>
      </w:r>
      <w:proofErr w:type="spellEnd"/>
      <w:r w:rsidRPr="002B02BC">
        <w:rPr>
          <w:rFonts w:ascii="Arial" w:hAnsi="Arial" w:cs="Arial"/>
          <w:lang w:val="mk-MK"/>
        </w:rPr>
        <w:t xml:space="preserve"> </w:t>
      </w:r>
      <w:proofErr w:type="spellStart"/>
      <w:r w:rsidRPr="002B02BC">
        <w:rPr>
          <w:rFonts w:ascii="Arial" w:hAnsi="Arial" w:cs="Arial"/>
          <w:lang w:val="mk-MK"/>
        </w:rPr>
        <w:t>period</w:t>
      </w:r>
      <w:proofErr w:type="spellEnd"/>
      <w:r w:rsidRPr="002B02BC">
        <w:rPr>
          <w:rFonts w:ascii="Arial" w:hAnsi="Arial" w:cs="Arial"/>
          <w:lang w:val="mk-MK"/>
        </w:rPr>
        <w:t xml:space="preserve"> </w:t>
      </w:r>
      <w:proofErr w:type="spellStart"/>
      <w:r w:rsidRPr="002B02BC">
        <w:rPr>
          <w:rFonts w:ascii="Arial" w:hAnsi="Arial" w:cs="Arial"/>
          <w:lang w:val="mk-MK"/>
        </w:rPr>
        <w:t>of</w:t>
      </w:r>
      <w:proofErr w:type="spellEnd"/>
      <w:r w:rsidRPr="002B02BC">
        <w:rPr>
          <w:rFonts w:ascii="Arial" w:hAnsi="Arial" w:cs="Arial"/>
          <w:lang w:val="mk-MK"/>
        </w:rPr>
        <w:t xml:space="preserve"> </w:t>
      </w:r>
      <w:proofErr w:type="spellStart"/>
      <w:r w:rsidRPr="002B02BC">
        <w:rPr>
          <w:rFonts w:ascii="Arial" w:hAnsi="Arial" w:cs="Arial"/>
          <w:lang w:val="mk-MK"/>
        </w:rPr>
        <w:t>the</w:t>
      </w:r>
      <w:proofErr w:type="spellEnd"/>
      <w:r w:rsidRPr="002B02BC">
        <w:rPr>
          <w:rFonts w:ascii="Arial" w:hAnsi="Arial" w:cs="Arial"/>
          <w:lang w:val="mk-MK"/>
        </w:rPr>
        <w:t xml:space="preserve"> </w:t>
      </w:r>
      <w:proofErr w:type="spellStart"/>
      <w:r w:rsidRPr="002B02BC">
        <w:rPr>
          <w:rFonts w:ascii="Arial" w:hAnsi="Arial" w:cs="Arial"/>
          <w:lang w:val="mk-MK"/>
        </w:rPr>
        <w:t>revision</w:t>
      </w:r>
      <w:proofErr w:type="spellEnd"/>
      <w:r w:rsidRPr="002B02BC">
        <w:rPr>
          <w:rFonts w:ascii="Arial" w:hAnsi="Arial" w:cs="Arial"/>
          <w:lang w:val="mk-MK"/>
        </w:rPr>
        <w:t xml:space="preserve"> </w:t>
      </w:r>
      <w:proofErr w:type="spellStart"/>
      <w:r w:rsidRPr="002B02BC">
        <w:rPr>
          <w:rFonts w:ascii="Arial" w:hAnsi="Arial" w:cs="Arial"/>
          <w:lang w:val="mk-MK"/>
        </w:rPr>
        <w:t>and</w:t>
      </w:r>
      <w:proofErr w:type="spellEnd"/>
      <w:r w:rsidRPr="002B02BC">
        <w:rPr>
          <w:rFonts w:ascii="Arial" w:hAnsi="Arial" w:cs="Arial"/>
          <w:lang w:val="mk-MK"/>
        </w:rPr>
        <w:t xml:space="preserve"> </w:t>
      </w:r>
      <w:proofErr w:type="spellStart"/>
      <w:r w:rsidRPr="002B02BC">
        <w:rPr>
          <w:rFonts w:ascii="Arial" w:hAnsi="Arial" w:cs="Arial"/>
          <w:lang w:val="mk-MK"/>
        </w:rPr>
        <w:t>future</w:t>
      </w:r>
      <w:proofErr w:type="spellEnd"/>
      <w:r w:rsidRPr="002B02BC">
        <w:rPr>
          <w:rFonts w:ascii="Arial" w:hAnsi="Arial" w:cs="Arial"/>
          <w:lang w:val="mk-MK"/>
        </w:rPr>
        <w:t xml:space="preserve"> </w:t>
      </w:r>
      <w:proofErr w:type="spellStart"/>
      <w:r w:rsidRPr="002B02BC">
        <w:rPr>
          <w:rFonts w:ascii="Arial" w:hAnsi="Arial" w:cs="Arial"/>
          <w:lang w:val="mk-MK"/>
        </w:rPr>
        <w:t>periods</w:t>
      </w:r>
      <w:proofErr w:type="spellEnd"/>
      <w:r w:rsidRPr="002B02BC">
        <w:rPr>
          <w:rFonts w:ascii="Arial" w:hAnsi="Arial" w:cs="Arial"/>
          <w:lang w:val="mk-MK"/>
        </w:rPr>
        <w:t xml:space="preserve"> </w:t>
      </w:r>
      <w:proofErr w:type="spellStart"/>
      <w:r w:rsidRPr="002B02BC">
        <w:rPr>
          <w:rFonts w:ascii="Arial" w:hAnsi="Arial" w:cs="Arial"/>
          <w:lang w:val="mk-MK"/>
        </w:rPr>
        <w:t>if</w:t>
      </w:r>
      <w:proofErr w:type="spellEnd"/>
      <w:r w:rsidRPr="002B02BC">
        <w:rPr>
          <w:rFonts w:ascii="Arial" w:hAnsi="Arial" w:cs="Arial"/>
          <w:lang w:val="mk-MK"/>
        </w:rPr>
        <w:t xml:space="preserve"> </w:t>
      </w:r>
      <w:proofErr w:type="spellStart"/>
      <w:r w:rsidRPr="002B02BC">
        <w:rPr>
          <w:rFonts w:ascii="Arial" w:hAnsi="Arial" w:cs="Arial"/>
          <w:lang w:val="mk-MK"/>
        </w:rPr>
        <w:t>the</w:t>
      </w:r>
      <w:proofErr w:type="spellEnd"/>
      <w:r w:rsidRPr="002B02BC">
        <w:rPr>
          <w:rFonts w:ascii="Arial" w:hAnsi="Arial" w:cs="Arial"/>
          <w:lang w:val="mk-MK"/>
        </w:rPr>
        <w:t xml:space="preserve"> </w:t>
      </w:r>
      <w:proofErr w:type="spellStart"/>
      <w:r w:rsidRPr="002B02BC">
        <w:rPr>
          <w:rFonts w:ascii="Arial" w:hAnsi="Arial" w:cs="Arial"/>
          <w:lang w:val="mk-MK"/>
        </w:rPr>
        <w:t>revision</w:t>
      </w:r>
      <w:proofErr w:type="spellEnd"/>
      <w:r w:rsidRPr="002B02BC">
        <w:rPr>
          <w:rFonts w:ascii="Arial" w:hAnsi="Arial" w:cs="Arial"/>
          <w:lang w:val="mk-MK"/>
        </w:rPr>
        <w:t xml:space="preserve"> </w:t>
      </w:r>
      <w:proofErr w:type="spellStart"/>
      <w:r w:rsidRPr="002B02BC">
        <w:rPr>
          <w:rFonts w:ascii="Arial" w:hAnsi="Arial" w:cs="Arial"/>
          <w:lang w:val="mk-MK"/>
        </w:rPr>
        <w:t>affects</w:t>
      </w:r>
      <w:proofErr w:type="spellEnd"/>
      <w:r w:rsidRPr="002B02BC">
        <w:rPr>
          <w:rFonts w:ascii="Arial" w:hAnsi="Arial" w:cs="Arial"/>
          <w:lang w:val="mk-MK"/>
        </w:rPr>
        <w:t xml:space="preserve"> </w:t>
      </w:r>
      <w:proofErr w:type="spellStart"/>
      <w:r w:rsidRPr="002B02BC">
        <w:rPr>
          <w:rFonts w:ascii="Arial" w:hAnsi="Arial" w:cs="Arial"/>
          <w:lang w:val="mk-MK"/>
        </w:rPr>
        <w:t>both</w:t>
      </w:r>
      <w:proofErr w:type="spellEnd"/>
      <w:r w:rsidRPr="002B02BC">
        <w:rPr>
          <w:rFonts w:ascii="Arial" w:hAnsi="Arial" w:cs="Arial"/>
          <w:lang w:val="mk-MK"/>
        </w:rPr>
        <w:t xml:space="preserve"> </w:t>
      </w:r>
      <w:proofErr w:type="spellStart"/>
      <w:r w:rsidRPr="002B02BC">
        <w:rPr>
          <w:rFonts w:ascii="Arial" w:hAnsi="Arial" w:cs="Arial"/>
          <w:lang w:val="mk-MK"/>
        </w:rPr>
        <w:t>current</w:t>
      </w:r>
      <w:proofErr w:type="spellEnd"/>
      <w:r w:rsidRPr="002B02BC">
        <w:rPr>
          <w:rFonts w:ascii="Arial" w:hAnsi="Arial" w:cs="Arial"/>
          <w:lang w:val="mk-MK"/>
        </w:rPr>
        <w:t xml:space="preserve"> </w:t>
      </w:r>
      <w:proofErr w:type="spellStart"/>
      <w:r w:rsidRPr="002B02BC">
        <w:rPr>
          <w:rFonts w:ascii="Arial" w:hAnsi="Arial" w:cs="Arial"/>
          <w:lang w:val="mk-MK"/>
        </w:rPr>
        <w:t>and</w:t>
      </w:r>
      <w:proofErr w:type="spellEnd"/>
      <w:r w:rsidRPr="002B02BC">
        <w:rPr>
          <w:rFonts w:ascii="Arial" w:hAnsi="Arial" w:cs="Arial"/>
          <w:lang w:val="mk-MK"/>
        </w:rPr>
        <w:t xml:space="preserve"> </w:t>
      </w:r>
      <w:proofErr w:type="spellStart"/>
      <w:r w:rsidRPr="002B02BC">
        <w:rPr>
          <w:rFonts w:ascii="Arial" w:hAnsi="Arial" w:cs="Arial"/>
          <w:lang w:val="mk-MK"/>
        </w:rPr>
        <w:t>future</w:t>
      </w:r>
      <w:proofErr w:type="spellEnd"/>
      <w:r w:rsidRPr="002B02BC">
        <w:rPr>
          <w:rFonts w:ascii="Arial" w:hAnsi="Arial" w:cs="Arial"/>
          <w:lang w:val="mk-MK"/>
        </w:rPr>
        <w:t xml:space="preserve"> </w:t>
      </w:r>
      <w:proofErr w:type="spellStart"/>
      <w:r w:rsidRPr="002B02BC">
        <w:rPr>
          <w:rFonts w:ascii="Arial" w:hAnsi="Arial" w:cs="Arial"/>
          <w:lang w:val="mk-MK"/>
        </w:rPr>
        <w:t>periods</w:t>
      </w:r>
      <w:proofErr w:type="spellEnd"/>
      <w:r w:rsidRPr="00CE3053">
        <w:rPr>
          <w:rFonts w:ascii="Arial" w:hAnsi="Arial" w:cs="Arial"/>
          <w:lang w:val="mk-MK"/>
        </w:rPr>
        <w:t>.</w:t>
      </w:r>
    </w:p>
    <w:p w14:paraId="495BF818" w14:textId="77777777" w:rsidR="005F248E" w:rsidRPr="002B02BC" w:rsidRDefault="005F248E" w:rsidP="005F248E">
      <w:pPr>
        <w:pStyle w:val="BodyText"/>
        <w:jc w:val="both"/>
        <w:rPr>
          <w:i/>
          <w:iCs/>
          <w:noProof/>
          <w:lang w:val="mk-MK"/>
        </w:rPr>
      </w:pPr>
      <w:r w:rsidRPr="002B02BC">
        <w:rPr>
          <w:i/>
          <w:iCs/>
          <w:noProof/>
          <w:lang w:val="mk-MK"/>
        </w:rPr>
        <w:t>Uncertainty in estimates</w:t>
      </w:r>
    </w:p>
    <w:p w14:paraId="68498922" w14:textId="77777777" w:rsidR="005F248E" w:rsidRPr="00CE3053" w:rsidRDefault="005F248E" w:rsidP="005F248E">
      <w:pPr>
        <w:pStyle w:val="BodyText"/>
        <w:jc w:val="both"/>
        <w:rPr>
          <w:i/>
          <w:iCs/>
          <w:noProof/>
          <w:lang w:val="mk-MK"/>
        </w:rPr>
      </w:pPr>
      <w:r w:rsidRPr="002B02BC">
        <w:rPr>
          <w:i/>
          <w:iCs/>
          <w:noProof/>
          <w:lang w:val="mk-MK"/>
        </w:rPr>
        <w:t>Impairment of non-financial assets</w:t>
      </w:r>
    </w:p>
    <w:p w14:paraId="681EC413" w14:textId="77777777" w:rsidR="005F248E" w:rsidRPr="00CE3053" w:rsidRDefault="005F248E" w:rsidP="005F248E">
      <w:pPr>
        <w:pStyle w:val="BodyText"/>
        <w:jc w:val="both"/>
        <w:rPr>
          <w:noProof/>
          <w:lang w:val="mk-MK"/>
        </w:rPr>
      </w:pPr>
      <w:r w:rsidRPr="002379CC">
        <w:rPr>
          <w:noProof/>
          <w:lang w:val="mk-MK"/>
        </w:rPr>
        <w:t>Impairment losses are recognized in the amount by which the carrying amount of the asset or cash-generating unit exceeds the recoverable amount. In determining the recoverable amount, Management estimates the expected prices, cash flows from each cash-generating unit and determines the appropriate interest rate when calculating the present value of those cash flows.</w:t>
      </w:r>
    </w:p>
    <w:p w14:paraId="5C31744D" w14:textId="7DBA4408" w:rsidR="005F248E" w:rsidRPr="00EC3400" w:rsidRDefault="005F248E" w:rsidP="00EC3400">
      <w:pPr>
        <w:pStyle w:val="BodyText"/>
        <w:jc w:val="both"/>
        <w:rPr>
          <w:rFonts w:ascii="Arial" w:hAnsi="Arial" w:cs="Arial"/>
          <w:lang w:val="mk-MK"/>
        </w:rPr>
        <w:sectPr w:rsidR="005F248E" w:rsidRPr="00EC3400" w:rsidSect="00815E65">
          <w:headerReference w:type="even" r:id="rId26"/>
          <w:headerReference w:type="default" r:id="rId27"/>
          <w:footerReference w:type="default" r:id="rId28"/>
          <w:headerReference w:type="first" r:id="rId29"/>
          <w:pgSz w:w="11906" w:h="16838" w:code="9"/>
          <w:pgMar w:top="1620" w:right="737" w:bottom="1138" w:left="2608" w:header="706" w:footer="562" w:gutter="0"/>
          <w:cols w:space="708"/>
          <w:docGrid w:linePitch="360"/>
        </w:sectPr>
      </w:pPr>
    </w:p>
    <w:p w14:paraId="5E8DFA82" w14:textId="72112B26" w:rsidR="005F248E" w:rsidRPr="005F248E" w:rsidRDefault="005F248E" w:rsidP="005F248E">
      <w:pPr>
        <w:jc w:val="both"/>
        <w:rPr>
          <w:rFonts w:ascii="Arial" w:hAnsi="Arial" w:cs="Arial"/>
          <w:b/>
          <w:bCs/>
          <w:color w:val="747678"/>
          <w:lang w:val="mk-MK"/>
        </w:rPr>
      </w:pPr>
      <w:r w:rsidRPr="005F248E">
        <w:rPr>
          <w:rFonts w:ascii="Arial" w:hAnsi="Arial" w:cs="Arial"/>
          <w:b/>
          <w:bCs/>
          <w:color w:val="747678"/>
        </w:rPr>
        <w:lastRenderedPageBreak/>
        <w:t xml:space="preserve">Significant accounting estimates and </w:t>
      </w:r>
      <w:proofErr w:type="gramStart"/>
      <w:r w:rsidRPr="005F248E">
        <w:rPr>
          <w:rFonts w:ascii="Arial" w:hAnsi="Arial" w:cs="Arial"/>
          <w:b/>
          <w:bCs/>
          <w:color w:val="747678"/>
        </w:rPr>
        <w:t xml:space="preserve">judgements </w:t>
      </w:r>
      <w:r w:rsidRPr="00CE3053">
        <w:rPr>
          <w:rFonts w:ascii="Arial" w:hAnsi="Arial" w:cs="Arial"/>
          <w:b/>
          <w:bCs/>
          <w:color w:val="747678"/>
          <w:lang w:val="mk-MK"/>
        </w:rPr>
        <w:t xml:space="preserve"> (</w:t>
      </w:r>
      <w:proofErr w:type="gramEnd"/>
      <w:r>
        <w:rPr>
          <w:rFonts w:ascii="Arial" w:hAnsi="Arial" w:cs="Arial"/>
          <w:b/>
          <w:bCs/>
          <w:color w:val="747678"/>
        </w:rPr>
        <w:t>continued</w:t>
      </w:r>
      <w:r w:rsidRPr="00CE3053">
        <w:rPr>
          <w:rFonts w:ascii="Arial" w:hAnsi="Arial" w:cs="Arial"/>
          <w:b/>
          <w:bCs/>
          <w:color w:val="747678"/>
          <w:lang w:val="mk-MK"/>
        </w:rPr>
        <w:t>)</w:t>
      </w:r>
    </w:p>
    <w:p w14:paraId="29C3F5F0" w14:textId="7D0FB48A" w:rsidR="005F43FB" w:rsidRDefault="005F43FB" w:rsidP="00EE1673">
      <w:pPr>
        <w:pStyle w:val="BodyText"/>
        <w:jc w:val="both"/>
        <w:rPr>
          <w:i/>
          <w:iCs/>
          <w:noProof/>
          <w:lang w:val="mk-MK"/>
        </w:rPr>
      </w:pPr>
      <w:r w:rsidRPr="005F43FB">
        <w:rPr>
          <w:i/>
          <w:iCs/>
          <w:noProof/>
          <w:lang w:val="mk-MK"/>
        </w:rPr>
        <w:t>Lifespan of depreciable assets</w:t>
      </w:r>
    </w:p>
    <w:p w14:paraId="3ABC2269" w14:textId="6E9A1FD4" w:rsidR="00EE1673" w:rsidRPr="00CE3053" w:rsidRDefault="002379CC" w:rsidP="00EE1673">
      <w:pPr>
        <w:pStyle w:val="BodyText"/>
        <w:jc w:val="both"/>
        <w:rPr>
          <w:noProof/>
          <w:lang w:val="mk-MK"/>
        </w:rPr>
      </w:pPr>
      <w:r w:rsidRPr="002379CC">
        <w:rPr>
          <w:noProof/>
          <w:lang w:val="mk-MK"/>
        </w:rPr>
        <w:t>The management regularly checks the useful life of the assets that are depreciated on December 31, 2021. Management estimates that the determined useful life of the assets represents the expected usability (usefulness) of the assets. The recorded values of these assets are analyzed in Notes 10 and 11. The actual results, however, may differ due to technological obsolescence.</w:t>
      </w:r>
    </w:p>
    <w:p w14:paraId="580D81D3" w14:textId="77777777" w:rsidR="002379CC" w:rsidRPr="002379CC" w:rsidRDefault="002379CC" w:rsidP="002379CC">
      <w:pPr>
        <w:spacing w:line="280" w:lineRule="atLeast"/>
        <w:ind w:left="634" w:right="-14" w:hanging="634"/>
        <w:jc w:val="both"/>
        <w:rPr>
          <w:rFonts w:ascii="Arial" w:hAnsi="Arial" w:cs="Arial"/>
          <w:bCs/>
          <w:i/>
          <w:lang w:val="mk-MK"/>
        </w:rPr>
      </w:pPr>
      <w:proofErr w:type="spellStart"/>
      <w:r w:rsidRPr="002379CC">
        <w:rPr>
          <w:rFonts w:ascii="Arial" w:hAnsi="Arial" w:cs="Arial"/>
          <w:bCs/>
          <w:i/>
          <w:lang w:val="mk-MK"/>
        </w:rPr>
        <w:t>Impairment</w:t>
      </w:r>
      <w:proofErr w:type="spellEnd"/>
      <w:r w:rsidRPr="002379CC">
        <w:rPr>
          <w:rFonts w:ascii="Arial" w:hAnsi="Arial" w:cs="Arial"/>
          <w:bCs/>
          <w:i/>
          <w:lang w:val="mk-MK"/>
        </w:rPr>
        <w:t xml:space="preserve"> </w:t>
      </w:r>
      <w:proofErr w:type="spellStart"/>
      <w:r w:rsidRPr="002379CC">
        <w:rPr>
          <w:rFonts w:ascii="Arial" w:hAnsi="Arial" w:cs="Arial"/>
          <w:bCs/>
          <w:i/>
          <w:lang w:val="mk-MK"/>
        </w:rPr>
        <w:t>of</w:t>
      </w:r>
      <w:proofErr w:type="spellEnd"/>
      <w:r w:rsidRPr="002379CC">
        <w:rPr>
          <w:rFonts w:ascii="Arial" w:hAnsi="Arial" w:cs="Arial"/>
          <w:bCs/>
          <w:i/>
          <w:lang w:val="mk-MK"/>
        </w:rPr>
        <w:t xml:space="preserve"> </w:t>
      </w:r>
      <w:proofErr w:type="spellStart"/>
      <w:r w:rsidRPr="002379CC">
        <w:rPr>
          <w:rFonts w:ascii="Arial" w:hAnsi="Arial" w:cs="Arial"/>
          <w:bCs/>
          <w:i/>
          <w:lang w:val="mk-MK"/>
        </w:rPr>
        <w:t>held</w:t>
      </w:r>
      <w:proofErr w:type="spellEnd"/>
      <w:r w:rsidRPr="002379CC">
        <w:rPr>
          <w:rFonts w:ascii="Arial" w:hAnsi="Arial" w:cs="Arial"/>
          <w:bCs/>
          <w:i/>
          <w:lang w:val="mk-MK"/>
        </w:rPr>
        <w:t xml:space="preserve"> </w:t>
      </w:r>
      <w:proofErr w:type="spellStart"/>
      <w:r w:rsidRPr="002379CC">
        <w:rPr>
          <w:rFonts w:ascii="Arial" w:hAnsi="Arial" w:cs="Arial"/>
          <w:bCs/>
          <w:i/>
          <w:lang w:val="mk-MK"/>
        </w:rPr>
        <w:t>to</w:t>
      </w:r>
      <w:proofErr w:type="spellEnd"/>
      <w:r w:rsidRPr="002379CC">
        <w:rPr>
          <w:rFonts w:ascii="Arial" w:hAnsi="Arial" w:cs="Arial"/>
          <w:bCs/>
          <w:i/>
          <w:lang w:val="mk-MK"/>
        </w:rPr>
        <w:t xml:space="preserve"> </w:t>
      </w:r>
      <w:proofErr w:type="spellStart"/>
      <w:r w:rsidRPr="002379CC">
        <w:rPr>
          <w:rFonts w:ascii="Arial" w:hAnsi="Arial" w:cs="Arial"/>
          <w:bCs/>
          <w:i/>
          <w:lang w:val="mk-MK"/>
        </w:rPr>
        <w:t>maturity</w:t>
      </w:r>
      <w:proofErr w:type="spellEnd"/>
      <w:r w:rsidRPr="002379CC">
        <w:rPr>
          <w:rFonts w:ascii="Arial" w:hAnsi="Arial" w:cs="Arial"/>
          <w:bCs/>
          <w:i/>
          <w:lang w:val="mk-MK"/>
        </w:rPr>
        <w:t xml:space="preserve"> </w:t>
      </w:r>
      <w:proofErr w:type="spellStart"/>
      <w:r w:rsidRPr="002379CC">
        <w:rPr>
          <w:rFonts w:ascii="Arial" w:hAnsi="Arial" w:cs="Arial"/>
          <w:bCs/>
          <w:i/>
          <w:lang w:val="mk-MK"/>
        </w:rPr>
        <w:t>investments</w:t>
      </w:r>
      <w:proofErr w:type="spellEnd"/>
    </w:p>
    <w:p w14:paraId="5CE608D6" w14:textId="45A33E18" w:rsidR="00815E65" w:rsidRPr="00CE3053" w:rsidRDefault="002379CC" w:rsidP="002379CC">
      <w:pPr>
        <w:spacing w:after="284" w:line="280" w:lineRule="atLeast"/>
        <w:jc w:val="both"/>
        <w:rPr>
          <w:rFonts w:ascii="Arial" w:hAnsi="Arial" w:cs="Arial"/>
          <w:bCs/>
          <w:lang w:val="mk-MK"/>
        </w:rPr>
      </w:pPr>
      <w:proofErr w:type="spellStart"/>
      <w:r w:rsidRPr="002379CC">
        <w:rPr>
          <w:rFonts w:ascii="Arial" w:hAnsi="Arial" w:cs="Arial"/>
          <w:bCs/>
          <w:lang w:val="mk-MK"/>
        </w:rPr>
        <w:t>The</w:t>
      </w:r>
      <w:proofErr w:type="spellEnd"/>
      <w:r w:rsidRPr="002379CC">
        <w:rPr>
          <w:rFonts w:ascii="Arial" w:hAnsi="Arial" w:cs="Arial"/>
          <w:bCs/>
          <w:lang w:val="mk-MK"/>
        </w:rPr>
        <w:t xml:space="preserve"> </w:t>
      </w:r>
      <w:proofErr w:type="spellStart"/>
      <w:r w:rsidRPr="002379CC">
        <w:rPr>
          <w:rFonts w:ascii="Arial" w:hAnsi="Arial" w:cs="Arial"/>
          <w:bCs/>
          <w:lang w:val="mk-MK"/>
        </w:rPr>
        <w:t>Fund</w:t>
      </w:r>
      <w:proofErr w:type="spellEnd"/>
      <w:r w:rsidRPr="002379CC">
        <w:rPr>
          <w:rFonts w:ascii="Arial" w:hAnsi="Arial" w:cs="Arial"/>
          <w:bCs/>
          <w:lang w:val="mk-MK"/>
        </w:rPr>
        <w:t xml:space="preserve"> </w:t>
      </w:r>
      <w:proofErr w:type="spellStart"/>
      <w:r w:rsidRPr="002379CC">
        <w:rPr>
          <w:rFonts w:ascii="Arial" w:hAnsi="Arial" w:cs="Arial"/>
          <w:bCs/>
          <w:lang w:val="mk-MK"/>
        </w:rPr>
        <w:t>determines</w:t>
      </w:r>
      <w:proofErr w:type="spellEnd"/>
      <w:r w:rsidRPr="002379CC">
        <w:rPr>
          <w:rFonts w:ascii="Arial" w:hAnsi="Arial" w:cs="Arial"/>
          <w:bCs/>
          <w:lang w:val="mk-MK"/>
        </w:rPr>
        <w:t xml:space="preserve"> </w:t>
      </w:r>
      <w:proofErr w:type="spellStart"/>
      <w:r w:rsidRPr="002379CC">
        <w:rPr>
          <w:rFonts w:ascii="Arial" w:hAnsi="Arial" w:cs="Arial"/>
          <w:bCs/>
          <w:lang w:val="mk-MK"/>
        </w:rPr>
        <w:t>that</w:t>
      </w:r>
      <w:proofErr w:type="spellEnd"/>
      <w:r w:rsidRPr="002379CC">
        <w:rPr>
          <w:rFonts w:ascii="Arial" w:hAnsi="Arial" w:cs="Arial"/>
          <w:bCs/>
          <w:lang w:val="mk-MK"/>
        </w:rPr>
        <w:t xml:space="preserve"> </w:t>
      </w:r>
      <w:proofErr w:type="spellStart"/>
      <w:r w:rsidRPr="002379CC">
        <w:rPr>
          <w:rFonts w:ascii="Arial" w:hAnsi="Arial" w:cs="Arial"/>
          <w:bCs/>
          <w:lang w:val="mk-MK"/>
        </w:rPr>
        <w:t>there</w:t>
      </w:r>
      <w:proofErr w:type="spellEnd"/>
      <w:r w:rsidRPr="002379CC">
        <w:rPr>
          <w:rFonts w:ascii="Arial" w:hAnsi="Arial" w:cs="Arial"/>
          <w:bCs/>
          <w:lang w:val="mk-MK"/>
        </w:rPr>
        <w:t xml:space="preserve"> </w:t>
      </w:r>
      <w:proofErr w:type="spellStart"/>
      <w:r w:rsidRPr="002379CC">
        <w:rPr>
          <w:rFonts w:ascii="Arial" w:hAnsi="Arial" w:cs="Arial"/>
          <w:bCs/>
          <w:lang w:val="mk-MK"/>
        </w:rPr>
        <w:t>is</w:t>
      </w:r>
      <w:proofErr w:type="spellEnd"/>
      <w:r w:rsidRPr="002379CC">
        <w:rPr>
          <w:rFonts w:ascii="Arial" w:hAnsi="Arial" w:cs="Arial"/>
          <w:bCs/>
          <w:lang w:val="mk-MK"/>
        </w:rPr>
        <w:t xml:space="preserve"> </w:t>
      </w:r>
      <w:proofErr w:type="spellStart"/>
      <w:r w:rsidRPr="002379CC">
        <w:rPr>
          <w:rFonts w:ascii="Arial" w:hAnsi="Arial" w:cs="Arial"/>
          <w:bCs/>
          <w:lang w:val="mk-MK"/>
        </w:rPr>
        <w:t>impairment</w:t>
      </w:r>
      <w:proofErr w:type="spellEnd"/>
      <w:r w:rsidRPr="002379CC">
        <w:rPr>
          <w:rFonts w:ascii="Arial" w:hAnsi="Arial" w:cs="Arial"/>
          <w:bCs/>
          <w:lang w:val="mk-MK"/>
        </w:rPr>
        <w:t xml:space="preserve"> </w:t>
      </w:r>
      <w:proofErr w:type="spellStart"/>
      <w:r w:rsidRPr="002379CC">
        <w:rPr>
          <w:rFonts w:ascii="Arial" w:hAnsi="Arial" w:cs="Arial"/>
          <w:bCs/>
          <w:lang w:val="mk-MK"/>
        </w:rPr>
        <w:t>of</w:t>
      </w:r>
      <w:proofErr w:type="spellEnd"/>
      <w:r w:rsidRPr="002379CC">
        <w:rPr>
          <w:rFonts w:ascii="Arial" w:hAnsi="Arial" w:cs="Arial"/>
          <w:bCs/>
          <w:lang w:val="mk-MK"/>
        </w:rPr>
        <w:t xml:space="preserve"> </w:t>
      </w:r>
      <w:proofErr w:type="spellStart"/>
      <w:r w:rsidRPr="002379CC">
        <w:rPr>
          <w:rFonts w:ascii="Arial" w:hAnsi="Arial" w:cs="Arial"/>
          <w:bCs/>
          <w:lang w:val="mk-MK"/>
        </w:rPr>
        <w:t>the</w:t>
      </w:r>
      <w:proofErr w:type="spellEnd"/>
      <w:r w:rsidRPr="002379CC">
        <w:rPr>
          <w:rFonts w:ascii="Arial" w:hAnsi="Arial" w:cs="Arial"/>
          <w:bCs/>
          <w:lang w:val="mk-MK"/>
        </w:rPr>
        <w:t xml:space="preserve"> </w:t>
      </w:r>
      <w:proofErr w:type="spellStart"/>
      <w:r w:rsidRPr="002379CC">
        <w:rPr>
          <w:rFonts w:ascii="Arial" w:hAnsi="Arial" w:cs="Arial"/>
          <w:bCs/>
          <w:lang w:val="mk-MK"/>
        </w:rPr>
        <w:t>securities</w:t>
      </w:r>
      <w:proofErr w:type="spellEnd"/>
      <w:r w:rsidRPr="002379CC">
        <w:rPr>
          <w:rFonts w:ascii="Arial" w:hAnsi="Arial" w:cs="Arial"/>
          <w:bCs/>
          <w:lang w:val="mk-MK"/>
        </w:rPr>
        <w:t xml:space="preserve"> </w:t>
      </w:r>
      <w:proofErr w:type="spellStart"/>
      <w:r w:rsidRPr="002379CC">
        <w:rPr>
          <w:rFonts w:ascii="Arial" w:hAnsi="Arial" w:cs="Arial"/>
          <w:bCs/>
          <w:lang w:val="mk-MK"/>
        </w:rPr>
        <w:t>held</w:t>
      </w:r>
      <w:proofErr w:type="spellEnd"/>
      <w:r w:rsidRPr="002379CC">
        <w:rPr>
          <w:rFonts w:ascii="Arial" w:hAnsi="Arial" w:cs="Arial"/>
          <w:bCs/>
          <w:lang w:val="mk-MK"/>
        </w:rPr>
        <w:t xml:space="preserve"> </w:t>
      </w:r>
      <w:proofErr w:type="spellStart"/>
      <w:r w:rsidRPr="002379CC">
        <w:rPr>
          <w:rFonts w:ascii="Arial" w:hAnsi="Arial" w:cs="Arial"/>
          <w:bCs/>
          <w:lang w:val="mk-MK"/>
        </w:rPr>
        <w:t>to</w:t>
      </w:r>
      <w:proofErr w:type="spellEnd"/>
      <w:r w:rsidRPr="002379CC">
        <w:rPr>
          <w:rFonts w:ascii="Arial" w:hAnsi="Arial" w:cs="Arial"/>
          <w:bCs/>
          <w:lang w:val="mk-MK"/>
        </w:rPr>
        <w:t xml:space="preserve"> </w:t>
      </w:r>
      <w:proofErr w:type="spellStart"/>
      <w:r w:rsidRPr="002379CC">
        <w:rPr>
          <w:rFonts w:ascii="Arial" w:hAnsi="Arial" w:cs="Arial"/>
          <w:bCs/>
          <w:lang w:val="mk-MK"/>
        </w:rPr>
        <w:t>maturity</w:t>
      </w:r>
      <w:proofErr w:type="spellEnd"/>
      <w:r w:rsidRPr="002379CC">
        <w:rPr>
          <w:rFonts w:ascii="Arial" w:hAnsi="Arial" w:cs="Arial"/>
          <w:bCs/>
          <w:lang w:val="mk-MK"/>
        </w:rPr>
        <w:t xml:space="preserve"> </w:t>
      </w:r>
      <w:proofErr w:type="spellStart"/>
      <w:r w:rsidRPr="002379CC">
        <w:rPr>
          <w:rFonts w:ascii="Arial" w:hAnsi="Arial" w:cs="Arial"/>
          <w:bCs/>
          <w:lang w:val="mk-MK"/>
        </w:rPr>
        <w:t>when</w:t>
      </w:r>
      <w:proofErr w:type="spellEnd"/>
      <w:r w:rsidRPr="002379CC">
        <w:rPr>
          <w:rFonts w:ascii="Arial" w:hAnsi="Arial" w:cs="Arial"/>
          <w:bCs/>
          <w:lang w:val="mk-MK"/>
        </w:rPr>
        <w:t xml:space="preserve"> </w:t>
      </w:r>
      <w:proofErr w:type="spellStart"/>
      <w:r w:rsidRPr="002379CC">
        <w:rPr>
          <w:rFonts w:ascii="Arial" w:hAnsi="Arial" w:cs="Arial"/>
          <w:bCs/>
          <w:lang w:val="mk-MK"/>
        </w:rPr>
        <w:t>there</w:t>
      </w:r>
      <w:proofErr w:type="spellEnd"/>
      <w:r w:rsidRPr="002379CC">
        <w:rPr>
          <w:rFonts w:ascii="Arial" w:hAnsi="Arial" w:cs="Arial"/>
          <w:bCs/>
          <w:lang w:val="mk-MK"/>
        </w:rPr>
        <w:t xml:space="preserve"> </w:t>
      </w:r>
      <w:proofErr w:type="spellStart"/>
      <w:r w:rsidRPr="002379CC">
        <w:rPr>
          <w:rFonts w:ascii="Arial" w:hAnsi="Arial" w:cs="Arial"/>
          <w:bCs/>
          <w:lang w:val="mk-MK"/>
        </w:rPr>
        <w:t>is</w:t>
      </w:r>
      <w:proofErr w:type="spellEnd"/>
      <w:r w:rsidRPr="002379CC">
        <w:rPr>
          <w:rFonts w:ascii="Arial" w:hAnsi="Arial" w:cs="Arial"/>
          <w:bCs/>
          <w:lang w:val="mk-MK"/>
        </w:rPr>
        <w:t xml:space="preserve"> </w:t>
      </w:r>
      <w:proofErr w:type="spellStart"/>
      <w:r w:rsidRPr="002379CC">
        <w:rPr>
          <w:rFonts w:ascii="Arial" w:hAnsi="Arial" w:cs="Arial"/>
          <w:bCs/>
          <w:lang w:val="mk-MK"/>
        </w:rPr>
        <w:t>objective</w:t>
      </w:r>
      <w:proofErr w:type="spellEnd"/>
      <w:r w:rsidRPr="002379CC">
        <w:rPr>
          <w:rFonts w:ascii="Arial" w:hAnsi="Arial" w:cs="Arial"/>
          <w:bCs/>
          <w:lang w:val="mk-MK"/>
        </w:rPr>
        <w:t xml:space="preserve"> </w:t>
      </w:r>
      <w:proofErr w:type="spellStart"/>
      <w:r w:rsidRPr="002379CC">
        <w:rPr>
          <w:rFonts w:ascii="Arial" w:hAnsi="Arial" w:cs="Arial"/>
          <w:bCs/>
          <w:lang w:val="mk-MK"/>
        </w:rPr>
        <w:t>evidence</w:t>
      </w:r>
      <w:proofErr w:type="spellEnd"/>
      <w:r w:rsidRPr="002379CC">
        <w:rPr>
          <w:rFonts w:ascii="Arial" w:hAnsi="Arial" w:cs="Arial"/>
          <w:bCs/>
          <w:lang w:val="mk-MK"/>
        </w:rPr>
        <w:t xml:space="preserve"> </w:t>
      </w:r>
      <w:proofErr w:type="spellStart"/>
      <w:r w:rsidRPr="002379CC">
        <w:rPr>
          <w:rFonts w:ascii="Arial" w:hAnsi="Arial" w:cs="Arial"/>
          <w:bCs/>
          <w:lang w:val="mk-MK"/>
        </w:rPr>
        <w:t>of</w:t>
      </w:r>
      <w:proofErr w:type="spellEnd"/>
      <w:r w:rsidRPr="002379CC">
        <w:rPr>
          <w:rFonts w:ascii="Arial" w:hAnsi="Arial" w:cs="Arial"/>
          <w:bCs/>
          <w:lang w:val="mk-MK"/>
        </w:rPr>
        <w:t xml:space="preserve"> </w:t>
      </w:r>
      <w:proofErr w:type="spellStart"/>
      <w:r w:rsidRPr="002379CC">
        <w:rPr>
          <w:rFonts w:ascii="Arial" w:hAnsi="Arial" w:cs="Arial"/>
          <w:bCs/>
          <w:lang w:val="mk-MK"/>
        </w:rPr>
        <w:t>impairment</w:t>
      </w:r>
      <w:proofErr w:type="spellEnd"/>
      <w:r w:rsidRPr="002379CC">
        <w:rPr>
          <w:rFonts w:ascii="Arial" w:hAnsi="Arial" w:cs="Arial"/>
          <w:bCs/>
          <w:lang w:val="mk-MK"/>
        </w:rPr>
        <w:t xml:space="preserve">. </w:t>
      </w:r>
      <w:proofErr w:type="spellStart"/>
      <w:r w:rsidRPr="002379CC">
        <w:rPr>
          <w:rFonts w:ascii="Arial" w:hAnsi="Arial" w:cs="Arial"/>
          <w:bCs/>
          <w:lang w:val="mk-MK"/>
        </w:rPr>
        <w:t>In</w:t>
      </w:r>
      <w:proofErr w:type="spellEnd"/>
      <w:r w:rsidRPr="002379CC">
        <w:rPr>
          <w:rFonts w:ascii="Arial" w:hAnsi="Arial" w:cs="Arial"/>
          <w:bCs/>
          <w:lang w:val="mk-MK"/>
        </w:rPr>
        <w:t xml:space="preserve"> </w:t>
      </w:r>
      <w:proofErr w:type="spellStart"/>
      <w:r w:rsidRPr="002379CC">
        <w:rPr>
          <w:rFonts w:ascii="Arial" w:hAnsi="Arial" w:cs="Arial"/>
          <w:bCs/>
          <w:lang w:val="mk-MK"/>
        </w:rPr>
        <w:t>the</w:t>
      </w:r>
      <w:proofErr w:type="spellEnd"/>
      <w:r w:rsidRPr="002379CC">
        <w:rPr>
          <w:rFonts w:ascii="Arial" w:hAnsi="Arial" w:cs="Arial"/>
          <w:bCs/>
          <w:lang w:val="mk-MK"/>
        </w:rPr>
        <w:t xml:space="preserve"> </w:t>
      </w:r>
      <w:proofErr w:type="spellStart"/>
      <w:r w:rsidRPr="002379CC">
        <w:rPr>
          <w:rFonts w:ascii="Arial" w:hAnsi="Arial" w:cs="Arial"/>
          <w:bCs/>
          <w:lang w:val="mk-MK"/>
        </w:rPr>
        <w:t>estimation</w:t>
      </w:r>
      <w:proofErr w:type="spellEnd"/>
      <w:r w:rsidRPr="002379CC">
        <w:rPr>
          <w:rFonts w:ascii="Arial" w:hAnsi="Arial" w:cs="Arial"/>
          <w:bCs/>
          <w:lang w:val="mk-MK"/>
        </w:rPr>
        <w:t xml:space="preserve">, </w:t>
      </w:r>
      <w:proofErr w:type="spellStart"/>
      <w:r w:rsidRPr="002379CC">
        <w:rPr>
          <w:rFonts w:ascii="Arial" w:hAnsi="Arial" w:cs="Arial"/>
          <w:bCs/>
          <w:lang w:val="mk-MK"/>
        </w:rPr>
        <w:t>among</w:t>
      </w:r>
      <w:proofErr w:type="spellEnd"/>
      <w:r w:rsidRPr="002379CC">
        <w:rPr>
          <w:rFonts w:ascii="Arial" w:hAnsi="Arial" w:cs="Arial"/>
          <w:bCs/>
          <w:lang w:val="mk-MK"/>
        </w:rPr>
        <w:t xml:space="preserve"> </w:t>
      </w:r>
      <w:proofErr w:type="spellStart"/>
      <w:r w:rsidRPr="002379CC">
        <w:rPr>
          <w:rFonts w:ascii="Arial" w:hAnsi="Arial" w:cs="Arial"/>
          <w:bCs/>
          <w:lang w:val="mk-MK"/>
        </w:rPr>
        <w:t>other</w:t>
      </w:r>
      <w:proofErr w:type="spellEnd"/>
      <w:r w:rsidRPr="002379CC">
        <w:rPr>
          <w:rFonts w:ascii="Arial" w:hAnsi="Arial" w:cs="Arial"/>
          <w:bCs/>
          <w:lang w:val="mk-MK"/>
        </w:rPr>
        <w:t xml:space="preserve"> </w:t>
      </w:r>
      <w:proofErr w:type="spellStart"/>
      <w:r w:rsidRPr="002379CC">
        <w:rPr>
          <w:rFonts w:ascii="Arial" w:hAnsi="Arial" w:cs="Arial"/>
          <w:bCs/>
          <w:lang w:val="mk-MK"/>
        </w:rPr>
        <w:t>factors</w:t>
      </w:r>
      <w:proofErr w:type="spellEnd"/>
      <w:r w:rsidRPr="002379CC">
        <w:rPr>
          <w:rFonts w:ascii="Arial" w:hAnsi="Arial" w:cs="Arial"/>
          <w:bCs/>
          <w:lang w:val="mk-MK"/>
        </w:rPr>
        <w:t xml:space="preserve">, </w:t>
      </w:r>
      <w:proofErr w:type="spellStart"/>
      <w:r w:rsidRPr="002379CC">
        <w:rPr>
          <w:rFonts w:ascii="Arial" w:hAnsi="Arial" w:cs="Arial"/>
          <w:bCs/>
          <w:lang w:val="mk-MK"/>
        </w:rPr>
        <w:t>the</w:t>
      </w:r>
      <w:proofErr w:type="spellEnd"/>
      <w:r w:rsidRPr="002379CC">
        <w:rPr>
          <w:rFonts w:ascii="Arial" w:hAnsi="Arial" w:cs="Arial"/>
          <w:bCs/>
          <w:lang w:val="mk-MK"/>
        </w:rPr>
        <w:t xml:space="preserve"> </w:t>
      </w:r>
      <w:proofErr w:type="spellStart"/>
      <w:r w:rsidRPr="002379CC">
        <w:rPr>
          <w:rFonts w:ascii="Arial" w:hAnsi="Arial" w:cs="Arial"/>
          <w:bCs/>
          <w:lang w:val="mk-MK"/>
        </w:rPr>
        <w:t>Fund</w:t>
      </w:r>
      <w:proofErr w:type="spellEnd"/>
      <w:r w:rsidRPr="002379CC">
        <w:rPr>
          <w:rFonts w:ascii="Arial" w:hAnsi="Arial" w:cs="Arial"/>
          <w:bCs/>
          <w:lang w:val="mk-MK"/>
        </w:rPr>
        <w:t xml:space="preserve"> </w:t>
      </w:r>
      <w:proofErr w:type="spellStart"/>
      <w:r w:rsidRPr="002379CC">
        <w:rPr>
          <w:rFonts w:ascii="Arial" w:hAnsi="Arial" w:cs="Arial"/>
          <w:bCs/>
          <w:lang w:val="mk-MK"/>
        </w:rPr>
        <w:t>estimates</w:t>
      </w:r>
      <w:proofErr w:type="spellEnd"/>
      <w:r w:rsidRPr="002379CC">
        <w:rPr>
          <w:rFonts w:ascii="Arial" w:hAnsi="Arial" w:cs="Arial"/>
          <w:bCs/>
          <w:lang w:val="mk-MK"/>
        </w:rPr>
        <w:t xml:space="preserve"> </w:t>
      </w:r>
      <w:proofErr w:type="spellStart"/>
      <w:r w:rsidRPr="002379CC">
        <w:rPr>
          <w:rFonts w:ascii="Arial" w:hAnsi="Arial" w:cs="Arial"/>
          <w:bCs/>
          <w:lang w:val="mk-MK"/>
        </w:rPr>
        <w:t>the</w:t>
      </w:r>
      <w:proofErr w:type="spellEnd"/>
      <w:r w:rsidRPr="002379CC">
        <w:rPr>
          <w:rFonts w:ascii="Arial" w:hAnsi="Arial" w:cs="Arial"/>
          <w:bCs/>
          <w:lang w:val="mk-MK"/>
        </w:rPr>
        <w:t xml:space="preserve"> </w:t>
      </w:r>
      <w:proofErr w:type="spellStart"/>
      <w:r w:rsidRPr="002379CC">
        <w:rPr>
          <w:rFonts w:ascii="Arial" w:hAnsi="Arial" w:cs="Arial"/>
          <w:bCs/>
          <w:lang w:val="mk-MK"/>
        </w:rPr>
        <w:t>inconsistency</w:t>
      </w:r>
      <w:proofErr w:type="spellEnd"/>
      <w:r w:rsidRPr="002379CC">
        <w:rPr>
          <w:rFonts w:ascii="Arial" w:hAnsi="Arial" w:cs="Arial"/>
          <w:bCs/>
          <w:lang w:val="mk-MK"/>
        </w:rPr>
        <w:t xml:space="preserve"> </w:t>
      </w:r>
      <w:proofErr w:type="spellStart"/>
      <w:r w:rsidRPr="002379CC">
        <w:rPr>
          <w:rFonts w:ascii="Arial" w:hAnsi="Arial" w:cs="Arial"/>
          <w:bCs/>
          <w:lang w:val="mk-MK"/>
        </w:rPr>
        <w:t>in</w:t>
      </w:r>
      <w:proofErr w:type="spellEnd"/>
      <w:r w:rsidRPr="002379CC">
        <w:rPr>
          <w:rFonts w:ascii="Arial" w:hAnsi="Arial" w:cs="Arial"/>
          <w:bCs/>
          <w:lang w:val="mk-MK"/>
        </w:rPr>
        <w:t xml:space="preserve"> </w:t>
      </w:r>
      <w:proofErr w:type="spellStart"/>
      <w:r w:rsidRPr="002379CC">
        <w:rPr>
          <w:rFonts w:ascii="Arial" w:hAnsi="Arial" w:cs="Arial"/>
          <w:bCs/>
          <w:lang w:val="mk-MK"/>
        </w:rPr>
        <w:t>the</w:t>
      </w:r>
      <w:proofErr w:type="spellEnd"/>
      <w:r w:rsidRPr="002379CC">
        <w:rPr>
          <w:rFonts w:ascii="Arial" w:hAnsi="Arial" w:cs="Arial"/>
          <w:bCs/>
          <w:lang w:val="mk-MK"/>
        </w:rPr>
        <w:t xml:space="preserve"> </w:t>
      </w:r>
      <w:proofErr w:type="spellStart"/>
      <w:r w:rsidRPr="002379CC">
        <w:rPr>
          <w:rFonts w:ascii="Arial" w:hAnsi="Arial" w:cs="Arial"/>
          <w:bCs/>
          <w:lang w:val="mk-MK"/>
        </w:rPr>
        <w:t>prices</w:t>
      </w:r>
      <w:proofErr w:type="spellEnd"/>
      <w:r w:rsidRPr="002379CC">
        <w:rPr>
          <w:rFonts w:ascii="Arial" w:hAnsi="Arial" w:cs="Arial"/>
          <w:bCs/>
          <w:lang w:val="mk-MK"/>
        </w:rPr>
        <w:t xml:space="preserve"> </w:t>
      </w:r>
      <w:proofErr w:type="spellStart"/>
      <w:r w:rsidRPr="002379CC">
        <w:rPr>
          <w:rFonts w:ascii="Arial" w:hAnsi="Arial" w:cs="Arial"/>
          <w:bCs/>
          <w:lang w:val="mk-MK"/>
        </w:rPr>
        <w:t>of</w:t>
      </w:r>
      <w:proofErr w:type="spellEnd"/>
      <w:r w:rsidRPr="002379CC">
        <w:rPr>
          <w:rFonts w:ascii="Arial" w:hAnsi="Arial" w:cs="Arial"/>
          <w:bCs/>
          <w:lang w:val="mk-MK"/>
        </w:rPr>
        <w:t xml:space="preserve"> </w:t>
      </w:r>
      <w:proofErr w:type="spellStart"/>
      <w:r w:rsidRPr="002379CC">
        <w:rPr>
          <w:rFonts w:ascii="Arial" w:hAnsi="Arial" w:cs="Arial"/>
          <w:bCs/>
          <w:lang w:val="mk-MK"/>
        </w:rPr>
        <w:t>the</w:t>
      </w:r>
      <w:proofErr w:type="spellEnd"/>
      <w:r w:rsidRPr="002379CC">
        <w:rPr>
          <w:rFonts w:ascii="Arial" w:hAnsi="Arial" w:cs="Arial"/>
          <w:bCs/>
          <w:lang w:val="mk-MK"/>
        </w:rPr>
        <w:t xml:space="preserve"> </w:t>
      </w:r>
      <w:proofErr w:type="spellStart"/>
      <w:r w:rsidRPr="002379CC">
        <w:rPr>
          <w:rFonts w:ascii="Arial" w:hAnsi="Arial" w:cs="Arial"/>
          <w:bCs/>
          <w:lang w:val="mk-MK"/>
        </w:rPr>
        <w:t>securities</w:t>
      </w:r>
      <w:proofErr w:type="spellEnd"/>
      <w:r w:rsidRPr="002379CC">
        <w:rPr>
          <w:rFonts w:ascii="Arial" w:hAnsi="Arial" w:cs="Arial"/>
          <w:bCs/>
          <w:lang w:val="mk-MK"/>
        </w:rPr>
        <w:t xml:space="preserve">. </w:t>
      </w:r>
      <w:proofErr w:type="spellStart"/>
      <w:r w:rsidRPr="002379CC">
        <w:rPr>
          <w:rFonts w:ascii="Arial" w:hAnsi="Arial" w:cs="Arial"/>
          <w:bCs/>
          <w:lang w:val="mk-MK"/>
        </w:rPr>
        <w:t>Additionally</w:t>
      </w:r>
      <w:proofErr w:type="spellEnd"/>
      <w:r w:rsidRPr="002379CC">
        <w:rPr>
          <w:rFonts w:ascii="Arial" w:hAnsi="Arial" w:cs="Arial"/>
          <w:bCs/>
          <w:lang w:val="mk-MK"/>
        </w:rPr>
        <w:t xml:space="preserve">, </w:t>
      </w:r>
      <w:proofErr w:type="spellStart"/>
      <w:r w:rsidRPr="002379CC">
        <w:rPr>
          <w:rFonts w:ascii="Arial" w:hAnsi="Arial" w:cs="Arial"/>
          <w:bCs/>
          <w:lang w:val="mk-MK"/>
        </w:rPr>
        <w:t>the</w:t>
      </w:r>
      <w:proofErr w:type="spellEnd"/>
      <w:r w:rsidRPr="002379CC">
        <w:rPr>
          <w:rFonts w:ascii="Arial" w:hAnsi="Arial" w:cs="Arial"/>
          <w:bCs/>
          <w:lang w:val="mk-MK"/>
        </w:rPr>
        <w:t xml:space="preserve"> </w:t>
      </w:r>
      <w:proofErr w:type="spellStart"/>
      <w:r w:rsidRPr="002379CC">
        <w:rPr>
          <w:rFonts w:ascii="Arial" w:hAnsi="Arial" w:cs="Arial"/>
          <w:bCs/>
          <w:lang w:val="mk-MK"/>
        </w:rPr>
        <w:t>impairment</w:t>
      </w:r>
      <w:proofErr w:type="spellEnd"/>
      <w:r w:rsidRPr="002379CC">
        <w:rPr>
          <w:rFonts w:ascii="Arial" w:hAnsi="Arial" w:cs="Arial"/>
          <w:bCs/>
          <w:lang w:val="mk-MK"/>
        </w:rPr>
        <w:t xml:space="preserve"> </w:t>
      </w:r>
      <w:proofErr w:type="spellStart"/>
      <w:r w:rsidRPr="002379CC">
        <w:rPr>
          <w:rFonts w:ascii="Arial" w:hAnsi="Arial" w:cs="Arial"/>
          <w:bCs/>
          <w:lang w:val="mk-MK"/>
        </w:rPr>
        <w:t>may</w:t>
      </w:r>
      <w:proofErr w:type="spellEnd"/>
      <w:r w:rsidRPr="002379CC">
        <w:rPr>
          <w:rFonts w:ascii="Arial" w:hAnsi="Arial" w:cs="Arial"/>
          <w:bCs/>
          <w:lang w:val="mk-MK"/>
        </w:rPr>
        <w:t xml:space="preserve"> </w:t>
      </w:r>
      <w:proofErr w:type="spellStart"/>
      <w:r w:rsidRPr="002379CC">
        <w:rPr>
          <w:rFonts w:ascii="Arial" w:hAnsi="Arial" w:cs="Arial"/>
          <w:bCs/>
          <w:lang w:val="mk-MK"/>
        </w:rPr>
        <w:t>be</w:t>
      </w:r>
      <w:proofErr w:type="spellEnd"/>
      <w:r w:rsidRPr="002379CC">
        <w:rPr>
          <w:rFonts w:ascii="Arial" w:hAnsi="Arial" w:cs="Arial"/>
          <w:bCs/>
          <w:lang w:val="mk-MK"/>
        </w:rPr>
        <w:t xml:space="preserve"> </w:t>
      </w:r>
      <w:proofErr w:type="spellStart"/>
      <w:r w:rsidRPr="002379CC">
        <w:rPr>
          <w:rFonts w:ascii="Arial" w:hAnsi="Arial" w:cs="Arial"/>
          <w:bCs/>
          <w:lang w:val="mk-MK"/>
        </w:rPr>
        <w:t>appropriate</w:t>
      </w:r>
      <w:proofErr w:type="spellEnd"/>
      <w:r w:rsidRPr="002379CC">
        <w:rPr>
          <w:rFonts w:ascii="Arial" w:hAnsi="Arial" w:cs="Arial"/>
          <w:bCs/>
          <w:lang w:val="mk-MK"/>
        </w:rPr>
        <w:t xml:space="preserve"> </w:t>
      </w:r>
      <w:proofErr w:type="spellStart"/>
      <w:r w:rsidRPr="002379CC">
        <w:rPr>
          <w:rFonts w:ascii="Arial" w:hAnsi="Arial" w:cs="Arial"/>
          <w:bCs/>
          <w:lang w:val="mk-MK"/>
        </w:rPr>
        <w:t>when</w:t>
      </w:r>
      <w:proofErr w:type="spellEnd"/>
      <w:r w:rsidRPr="002379CC">
        <w:rPr>
          <w:rFonts w:ascii="Arial" w:hAnsi="Arial" w:cs="Arial"/>
          <w:bCs/>
          <w:lang w:val="mk-MK"/>
        </w:rPr>
        <w:t xml:space="preserve"> </w:t>
      </w:r>
      <w:proofErr w:type="spellStart"/>
      <w:r w:rsidRPr="002379CC">
        <w:rPr>
          <w:rFonts w:ascii="Arial" w:hAnsi="Arial" w:cs="Arial"/>
          <w:bCs/>
          <w:lang w:val="mk-MK"/>
        </w:rPr>
        <w:t>there</w:t>
      </w:r>
      <w:proofErr w:type="spellEnd"/>
      <w:r w:rsidRPr="002379CC">
        <w:rPr>
          <w:rFonts w:ascii="Arial" w:hAnsi="Arial" w:cs="Arial"/>
          <w:bCs/>
          <w:lang w:val="mk-MK"/>
        </w:rPr>
        <w:t xml:space="preserve"> </w:t>
      </w:r>
      <w:proofErr w:type="spellStart"/>
      <w:r w:rsidRPr="002379CC">
        <w:rPr>
          <w:rFonts w:ascii="Arial" w:hAnsi="Arial" w:cs="Arial"/>
          <w:bCs/>
          <w:lang w:val="mk-MK"/>
        </w:rPr>
        <w:t>is</w:t>
      </w:r>
      <w:proofErr w:type="spellEnd"/>
      <w:r w:rsidRPr="002379CC">
        <w:rPr>
          <w:rFonts w:ascii="Arial" w:hAnsi="Arial" w:cs="Arial"/>
          <w:bCs/>
          <w:lang w:val="mk-MK"/>
        </w:rPr>
        <w:t xml:space="preserve"> </w:t>
      </w:r>
      <w:proofErr w:type="spellStart"/>
      <w:r w:rsidRPr="002379CC">
        <w:rPr>
          <w:rFonts w:ascii="Arial" w:hAnsi="Arial" w:cs="Arial"/>
          <w:bCs/>
          <w:lang w:val="mk-MK"/>
        </w:rPr>
        <w:t>evidence</w:t>
      </w:r>
      <w:proofErr w:type="spellEnd"/>
      <w:r w:rsidRPr="002379CC">
        <w:rPr>
          <w:rFonts w:ascii="Arial" w:hAnsi="Arial" w:cs="Arial"/>
          <w:bCs/>
          <w:lang w:val="mk-MK"/>
        </w:rPr>
        <w:t xml:space="preserve"> </w:t>
      </w:r>
      <w:proofErr w:type="spellStart"/>
      <w:r w:rsidRPr="002379CC">
        <w:rPr>
          <w:rFonts w:ascii="Arial" w:hAnsi="Arial" w:cs="Arial"/>
          <w:bCs/>
          <w:lang w:val="mk-MK"/>
        </w:rPr>
        <w:t>of</w:t>
      </w:r>
      <w:proofErr w:type="spellEnd"/>
      <w:r w:rsidRPr="002379CC">
        <w:rPr>
          <w:rFonts w:ascii="Arial" w:hAnsi="Arial" w:cs="Arial"/>
          <w:bCs/>
          <w:lang w:val="mk-MK"/>
        </w:rPr>
        <w:t xml:space="preserve"> </w:t>
      </w:r>
      <w:proofErr w:type="spellStart"/>
      <w:r w:rsidRPr="002379CC">
        <w:rPr>
          <w:rFonts w:ascii="Arial" w:hAnsi="Arial" w:cs="Arial"/>
          <w:bCs/>
          <w:lang w:val="mk-MK"/>
        </w:rPr>
        <w:t>deterioration</w:t>
      </w:r>
      <w:proofErr w:type="spellEnd"/>
      <w:r w:rsidRPr="002379CC">
        <w:rPr>
          <w:rFonts w:ascii="Arial" w:hAnsi="Arial" w:cs="Arial"/>
          <w:bCs/>
          <w:lang w:val="mk-MK"/>
        </w:rPr>
        <w:t xml:space="preserve"> </w:t>
      </w:r>
      <w:proofErr w:type="spellStart"/>
      <w:r w:rsidRPr="002379CC">
        <w:rPr>
          <w:rFonts w:ascii="Arial" w:hAnsi="Arial" w:cs="Arial"/>
          <w:bCs/>
          <w:lang w:val="mk-MK"/>
        </w:rPr>
        <w:t>in</w:t>
      </w:r>
      <w:proofErr w:type="spellEnd"/>
      <w:r w:rsidRPr="002379CC">
        <w:rPr>
          <w:rFonts w:ascii="Arial" w:hAnsi="Arial" w:cs="Arial"/>
          <w:bCs/>
          <w:lang w:val="mk-MK"/>
        </w:rPr>
        <w:t xml:space="preserve"> </w:t>
      </w:r>
      <w:proofErr w:type="spellStart"/>
      <w:r w:rsidRPr="002379CC">
        <w:rPr>
          <w:rFonts w:ascii="Arial" w:hAnsi="Arial" w:cs="Arial"/>
          <w:bCs/>
          <w:lang w:val="mk-MK"/>
        </w:rPr>
        <w:t>the</w:t>
      </w:r>
      <w:proofErr w:type="spellEnd"/>
      <w:r w:rsidRPr="002379CC">
        <w:rPr>
          <w:rFonts w:ascii="Arial" w:hAnsi="Arial" w:cs="Arial"/>
          <w:bCs/>
          <w:lang w:val="mk-MK"/>
        </w:rPr>
        <w:t xml:space="preserve"> </w:t>
      </w:r>
      <w:proofErr w:type="spellStart"/>
      <w:r w:rsidRPr="002379CC">
        <w:rPr>
          <w:rFonts w:ascii="Arial" w:hAnsi="Arial" w:cs="Arial"/>
          <w:bCs/>
          <w:lang w:val="mk-MK"/>
        </w:rPr>
        <w:t>financial</w:t>
      </w:r>
      <w:proofErr w:type="spellEnd"/>
      <w:r w:rsidRPr="002379CC">
        <w:rPr>
          <w:rFonts w:ascii="Arial" w:hAnsi="Arial" w:cs="Arial"/>
          <w:bCs/>
          <w:lang w:val="mk-MK"/>
        </w:rPr>
        <w:t xml:space="preserve"> </w:t>
      </w:r>
      <w:proofErr w:type="spellStart"/>
      <w:r w:rsidRPr="002379CC">
        <w:rPr>
          <w:rFonts w:ascii="Arial" w:hAnsi="Arial" w:cs="Arial"/>
          <w:bCs/>
          <w:lang w:val="mk-MK"/>
        </w:rPr>
        <w:t>position</w:t>
      </w:r>
      <w:proofErr w:type="spellEnd"/>
      <w:r w:rsidRPr="002379CC">
        <w:rPr>
          <w:rFonts w:ascii="Arial" w:hAnsi="Arial" w:cs="Arial"/>
          <w:bCs/>
          <w:lang w:val="mk-MK"/>
        </w:rPr>
        <w:t xml:space="preserve"> </w:t>
      </w:r>
      <w:proofErr w:type="spellStart"/>
      <w:r w:rsidRPr="002379CC">
        <w:rPr>
          <w:rFonts w:ascii="Arial" w:hAnsi="Arial" w:cs="Arial"/>
          <w:bCs/>
          <w:lang w:val="mk-MK"/>
        </w:rPr>
        <w:t>of</w:t>
      </w:r>
      <w:proofErr w:type="spellEnd"/>
      <w:r w:rsidRPr="002379CC">
        <w:rPr>
          <w:rFonts w:ascii="Arial" w:hAnsi="Arial" w:cs="Arial"/>
          <w:bCs/>
          <w:lang w:val="mk-MK"/>
        </w:rPr>
        <w:t xml:space="preserve"> </w:t>
      </w:r>
      <w:proofErr w:type="spellStart"/>
      <w:r w:rsidRPr="002379CC">
        <w:rPr>
          <w:rFonts w:ascii="Arial" w:hAnsi="Arial" w:cs="Arial"/>
          <w:bCs/>
          <w:lang w:val="mk-MK"/>
        </w:rPr>
        <w:t>the</w:t>
      </w:r>
      <w:proofErr w:type="spellEnd"/>
      <w:r w:rsidRPr="002379CC">
        <w:rPr>
          <w:rFonts w:ascii="Arial" w:hAnsi="Arial" w:cs="Arial"/>
          <w:bCs/>
          <w:lang w:val="mk-MK"/>
        </w:rPr>
        <w:t xml:space="preserve"> </w:t>
      </w:r>
      <w:proofErr w:type="spellStart"/>
      <w:r w:rsidRPr="002379CC">
        <w:rPr>
          <w:rFonts w:ascii="Arial" w:hAnsi="Arial" w:cs="Arial"/>
          <w:bCs/>
          <w:lang w:val="mk-MK"/>
        </w:rPr>
        <w:t>investor</w:t>
      </w:r>
      <w:proofErr w:type="spellEnd"/>
      <w:r w:rsidRPr="002379CC">
        <w:rPr>
          <w:rFonts w:ascii="Arial" w:hAnsi="Arial" w:cs="Arial"/>
          <w:bCs/>
          <w:lang w:val="mk-MK"/>
        </w:rPr>
        <w:t xml:space="preserve">, </w:t>
      </w:r>
      <w:proofErr w:type="spellStart"/>
      <w:r w:rsidRPr="002379CC">
        <w:rPr>
          <w:rFonts w:ascii="Arial" w:hAnsi="Arial" w:cs="Arial"/>
          <w:bCs/>
          <w:lang w:val="mk-MK"/>
        </w:rPr>
        <w:t>the</w:t>
      </w:r>
      <w:proofErr w:type="spellEnd"/>
      <w:r w:rsidRPr="002379CC">
        <w:rPr>
          <w:rFonts w:ascii="Arial" w:hAnsi="Arial" w:cs="Arial"/>
          <w:bCs/>
          <w:lang w:val="mk-MK"/>
        </w:rPr>
        <w:t xml:space="preserve"> </w:t>
      </w:r>
      <w:proofErr w:type="spellStart"/>
      <w:r w:rsidRPr="002379CC">
        <w:rPr>
          <w:rFonts w:ascii="Arial" w:hAnsi="Arial" w:cs="Arial"/>
          <w:bCs/>
          <w:lang w:val="mk-MK"/>
        </w:rPr>
        <w:t>success</w:t>
      </w:r>
      <w:proofErr w:type="spellEnd"/>
      <w:r w:rsidRPr="002379CC">
        <w:rPr>
          <w:rFonts w:ascii="Arial" w:hAnsi="Arial" w:cs="Arial"/>
          <w:bCs/>
          <w:lang w:val="mk-MK"/>
        </w:rPr>
        <w:t xml:space="preserve"> </w:t>
      </w:r>
      <w:proofErr w:type="spellStart"/>
      <w:r w:rsidRPr="002379CC">
        <w:rPr>
          <w:rFonts w:ascii="Arial" w:hAnsi="Arial" w:cs="Arial"/>
          <w:bCs/>
          <w:lang w:val="mk-MK"/>
        </w:rPr>
        <w:t>of</w:t>
      </w:r>
      <w:proofErr w:type="spellEnd"/>
      <w:r w:rsidRPr="002379CC">
        <w:rPr>
          <w:rFonts w:ascii="Arial" w:hAnsi="Arial" w:cs="Arial"/>
          <w:bCs/>
          <w:lang w:val="mk-MK"/>
        </w:rPr>
        <w:t xml:space="preserve"> </w:t>
      </w:r>
      <w:proofErr w:type="spellStart"/>
      <w:r w:rsidRPr="002379CC">
        <w:rPr>
          <w:rFonts w:ascii="Arial" w:hAnsi="Arial" w:cs="Arial"/>
          <w:bCs/>
          <w:lang w:val="mk-MK"/>
        </w:rPr>
        <w:t>the</w:t>
      </w:r>
      <w:proofErr w:type="spellEnd"/>
      <w:r w:rsidRPr="002379CC">
        <w:rPr>
          <w:rFonts w:ascii="Arial" w:hAnsi="Arial" w:cs="Arial"/>
          <w:bCs/>
          <w:lang w:val="mk-MK"/>
        </w:rPr>
        <w:t xml:space="preserve"> </w:t>
      </w:r>
      <w:proofErr w:type="spellStart"/>
      <w:r w:rsidRPr="002379CC">
        <w:rPr>
          <w:rFonts w:ascii="Arial" w:hAnsi="Arial" w:cs="Arial"/>
          <w:bCs/>
          <w:lang w:val="mk-MK"/>
        </w:rPr>
        <w:t>industry</w:t>
      </w:r>
      <w:proofErr w:type="spellEnd"/>
      <w:r w:rsidRPr="002379CC">
        <w:rPr>
          <w:rFonts w:ascii="Arial" w:hAnsi="Arial" w:cs="Arial"/>
          <w:bCs/>
          <w:lang w:val="mk-MK"/>
        </w:rPr>
        <w:t xml:space="preserve"> </w:t>
      </w:r>
      <w:proofErr w:type="spellStart"/>
      <w:r w:rsidRPr="002379CC">
        <w:rPr>
          <w:rFonts w:ascii="Arial" w:hAnsi="Arial" w:cs="Arial"/>
          <w:bCs/>
          <w:lang w:val="mk-MK"/>
        </w:rPr>
        <w:t>sector</w:t>
      </w:r>
      <w:proofErr w:type="spellEnd"/>
      <w:r w:rsidRPr="002379CC">
        <w:rPr>
          <w:rFonts w:ascii="Arial" w:hAnsi="Arial" w:cs="Arial"/>
          <w:bCs/>
          <w:lang w:val="mk-MK"/>
        </w:rPr>
        <w:t xml:space="preserve">, </w:t>
      </w:r>
      <w:proofErr w:type="spellStart"/>
      <w:r w:rsidRPr="002379CC">
        <w:rPr>
          <w:rFonts w:ascii="Arial" w:hAnsi="Arial" w:cs="Arial"/>
          <w:bCs/>
          <w:lang w:val="mk-MK"/>
        </w:rPr>
        <w:t>changes</w:t>
      </w:r>
      <w:proofErr w:type="spellEnd"/>
      <w:r w:rsidRPr="002379CC">
        <w:rPr>
          <w:rFonts w:ascii="Arial" w:hAnsi="Arial" w:cs="Arial"/>
          <w:bCs/>
          <w:lang w:val="mk-MK"/>
        </w:rPr>
        <w:t xml:space="preserve"> </w:t>
      </w:r>
      <w:proofErr w:type="spellStart"/>
      <w:r w:rsidRPr="002379CC">
        <w:rPr>
          <w:rFonts w:ascii="Arial" w:hAnsi="Arial" w:cs="Arial"/>
          <w:bCs/>
          <w:lang w:val="mk-MK"/>
        </w:rPr>
        <w:t>in</w:t>
      </w:r>
      <w:proofErr w:type="spellEnd"/>
      <w:r w:rsidRPr="002379CC">
        <w:rPr>
          <w:rFonts w:ascii="Arial" w:hAnsi="Arial" w:cs="Arial"/>
          <w:bCs/>
          <w:lang w:val="mk-MK"/>
        </w:rPr>
        <w:t xml:space="preserve"> </w:t>
      </w:r>
      <w:proofErr w:type="spellStart"/>
      <w:r w:rsidRPr="002379CC">
        <w:rPr>
          <w:rFonts w:ascii="Arial" w:hAnsi="Arial" w:cs="Arial"/>
          <w:bCs/>
          <w:lang w:val="mk-MK"/>
        </w:rPr>
        <w:t>technology</w:t>
      </w:r>
      <w:proofErr w:type="spellEnd"/>
      <w:r w:rsidRPr="002379CC">
        <w:rPr>
          <w:rFonts w:ascii="Arial" w:hAnsi="Arial" w:cs="Arial"/>
          <w:bCs/>
          <w:lang w:val="mk-MK"/>
        </w:rPr>
        <w:t xml:space="preserve">, </w:t>
      </w:r>
      <w:proofErr w:type="spellStart"/>
      <w:r w:rsidRPr="002379CC">
        <w:rPr>
          <w:rFonts w:ascii="Arial" w:hAnsi="Arial" w:cs="Arial"/>
          <w:bCs/>
          <w:lang w:val="mk-MK"/>
        </w:rPr>
        <w:t>as</w:t>
      </w:r>
      <w:proofErr w:type="spellEnd"/>
      <w:r w:rsidRPr="002379CC">
        <w:rPr>
          <w:rFonts w:ascii="Arial" w:hAnsi="Arial" w:cs="Arial"/>
          <w:bCs/>
          <w:lang w:val="mk-MK"/>
        </w:rPr>
        <w:t xml:space="preserve"> </w:t>
      </w:r>
      <w:proofErr w:type="spellStart"/>
      <w:r w:rsidRPr="002379CC">
        <w:rPr>
          <w:rFonts w:ascii="Arial" w:hAnsi="Arial" w:cs="Arial"/>
          <w:bCs/>
          <w:lang w:val="mk-MK"/>
        </w:rPr>
        <w:t>well</w:t>
      </w:r>
      <w:proofErr w:type="spellEnd"/>
      <w:r w:rsidRPr="002379CC">
        <w:rPr>
          <w:rFonts w:ascii="Arial" w:hAnsi="Arial" w:cs="Arial"/>
          <w:bCs/>
          <w:lang w:val="mk-MK"/>
        </w:rPr>
        <w:t xml:space="preserve"> </w:t>
      </w:r>
      <w:proofErr w:type="spellStart"/>
      <w:r w:rsidRPr="002379CC">
        <w:rPr>
          <w:rFonts w:ascii="Arial" w:hAnsi="Arial" w:cs="Arial"/>
          <w:bCs/>
          <w:lang w:val="mk-MK"/>
        </w:rPr>
        <w:t>as</w:t>
      </w:r>
      <w:proofErr w:type="spellEnd"/>
      <w:r w:rsidRPr="002379CC">
        <w:rPr>
          <w:rFonts w:ascii="Arial" w:hAnsi="Arial" w:cs="Arial"/>
          <w:bCs/>
          <w:lang w:val="mk-MK"/>
        </w:rPr>
        <w:t xml:space="preserve"> </w:t>
      </w:r>
      <w:proofErr w:type="spellStart"/>
      <w:r w:rsidRPr="002379CC">
        <w:rPr>
          <w:rFonts w:ascii="Arial" w:hAnsi="Arial" w:cs="Arial"/>
          <w:bCs/>
          <w:lang w:val="mk-MK"/>
        </w:rPr>
        <w:t>operating</w:t>
      </w:r>
      <w:proofErr w:type="spellEnd"/>
      <w:r w:rsidRPr="002379CC">
        <w:rPr>
          <w:rFonts w:ascii="Arial" w:hAnsi="Arial" w:cs="Arial"/>
          <w:bCs/>
          <w:lang w:val="mk-MK"/>
        </w:rPr>
        <w:t xml:space="preserve"> </w:t>
      </w:r>
      <w:proofErr w:type="spellStart"/>
      <w:r w:rsidRPr="002379CC">
        <w:rPr>
          <w:rFonts w:ascii="Arial" w:hAnsi="Arial" w:cs="Arial"/>
          <w:bCs/>
          <w:lang w:val="mk-MK"/>
        </w:rPr>
        <w:t>and</w:t>
      </w:r>
      <w:proofErr w:type="spellEnd"/>
      <w:r w:rsidRPr="002379CC">
        <w:rPr>
          <w:rFonts w:ascii="Arial" w:hAnsi="Arial" w:cs="Arial"/>
          <w:bCs/>
          <w:lang w:val="mk-MK"/>
        </w:rPr>
        <w:t xml:space="preserve"> </w:t>
      </w:r>
      <w:proofErr w:type="spellStart"/>
      <w:r w:rsidRPr="002379CC">
        <w:rPr>
          <w:rFonts w:ascii="Arial" w:hAnsi="Arial" w:cs="Arial"/>
          <w:bCs/>
          <w:lang w:val="mk-MK"/>
        </w:rPr>
        <w:t>financial</w:t>
      </w:r>
      <w:proofErr w:type="spellEnd"/>
      <w:r w:rsidRPr="002379CC">
        <w:rPr>
          <w:rFonts w:ascii="Arial" w:hAnsi="Arial" w:cs="Arial"/>
          <w:bCs/>
          <w:lang w:val="mk-MK"/>
        </w:rPr>
        <w:t xml:space="preserve"> </w:t>
      </w:r>
      <w:proofErr w:type="spellStart"/>
      <w:r w:rsidRPr="002379CC">
        <w:rPr>
          <w:rFonts w:ascii="Arial" w:hAnsi="Arial" w:cs="Arial"/>
          <w:bCs/>
          <w:lang w:val="mk-MK"/>
        </w:rPr>
        <w:t>cash</w:t>
      </w:r>
      <w:proofErr w:type="spellEnd"/>
      <w:r w:rsidRPr="002379CC">
        <w:rPr>
          <w:rFonts w:ascii="Arial" w:hAnsi="Arial" w:cs="Arial"/>
          <w:bCs/>
          <w:lang w:val="mk-MK"/>
        </w:rPr>
        <w:t xml:space="preserve"> </w:t>
      </w:r>
      <w:proofErr w:type="spellStart"/>
      <w:r w:rsidRPr="002379CC">
        <w:rPr>
          <w:rFonts w:ascii="Arial" w:hAnsi="Arial" w:cs="Arial"/>
          <w:bCs/>
          <w:lang w:val="mk-MK"/>
        </w:rPr>
        <w:t>flows</w:t>
      </w:r>
      <w:proofErr w:type="spellEnd"/>
      <w:r w:rsidRPr="002379CC">
        <w:rPr>
          <w:rFonts w:ascii="Arial" w:hAnsi="Arial" w:cs="Arial"/>
          <w:bCs/>
          <w:lang w:val="mk-MK"/>
        </w:rPr>
        <w:t>.</w:t>
      </w:r>
    </w:p>
    <w:p w14:paraId="7FEDCF02" w14:textId="1EFACE3D" w:rsidR="00815E65" w:rsidRPr="006674B6" w:rsidRDefault="006674B6" w:rsidP="006674B6">
      <w:pPr>
        <w:pStyle w:val="ListParagraph"/>
        <w:numPr>
          <w:ilvl w:val="1"/>
          <w:numId w:val="25"/>
        </w:numPr>
        <w:rPr>
          <w:rFonts w:ascii="Arial" w:hAnsi="Arial" w:cs="Arial"/>
          <w:b/>
          <w:color w:val="4F2D7F"/>
          <w:lang w:val="mk-MK"/>
        </w:rPr>
      </w:pPr>
      <w:proofErr w:type="spellStart"/>
      <w:r w:rsidRPr="006674B6">
        <w:rPr>
          <w:rFonts w:ascii="Arial" w:hAnsi="Arial" w:cs="Arial"/>
          <w:b/>
          <w:color w:val="4F2D7F"/>
          <w:lang w:val="mk-MK"/>
        </w:rPr>
        <w:t>Significant</w:t>
      </w:r>
      <w:proofErr w:type="spellEnd"/>
      <w:r w:rsidRPr="006674B6">
        <w:rPr>
          <w:rFonts w:ascii="Arial" w:hAnsi="Arial" w:cs="Arial"/>
          <w:b/>
          <w:color w:val="4F2D7F"/>
          <w:lang w:val="mk-MK"/>
        </w:rPr>
        <w:t xml:space="preserve"> </w:t>
      </w:r>
      <w:proofErr w:type="spellStart"/>
      <w:r w:rsidRPr="006674B6">
        <w:rPr>
          <w:rFonts w:ascii="Arial" w:hAnsi="Arial" w:cs="Arial"/>
          <w:b/>
          <w:color w:val="4F2D7F"/>
          <w:lang w:val="mk-MK"/>
        </w:rPr>
        <w:t>accounting</w:t>
      </w:r>
      <w:proofErr w:type="spellEnd"/>
      <w:r w:rsidRPr="006674B6">
        <w:rPr>
          <w:rFonts w:ascii="Arial" w:hAnsi="Arial" w:cs="Arial"/>
          <w:b/>
          <w:color w:val="4F2D7F"/>
          <w:lang w:val="mk-MK"/>
        </w:rPr>
        <w:t xml:space="preserve"> </w:t>
      </w:r>
      <w:proofErr w:type="spellStart"/>
      <w:r w:rsidRPr="006674B6">
        <w:rPr>
          <w:rFonts w:ascii="Arial" w:hAnsi="Arial" w:cs="Arial"/>
          <w:b/>
          <w:color w:val="4F2D7F"/>
          <w:lang w:val="mk-MK"/>
        </w:rPr>
        <w:t>estimates</w:t>
      </w:r>
      <w:proofErr w:type="spellEnd"/>
      <w:r w:rsidRPr="006674B6">
        <w:rPr>
          <w:rFonts w:ascii="Arial" w:hAnsi="Arial" w:cs="Arial"/>
          <w:b/>
          <w:color w:val="4F2D7F"/>
          <w:lang w:val="mk-MK"/>
        </w:rPr>
        <w:t xml:space="preserve"> </w:t>
      </w:r>
      <w:proofErr w:type="spellStart"/>
      <w:r w:rsidRPr="006674B6">
        <w:rPr>
          <w:rFonts w:ascii="Arial" w:hAnsi="Arial" w:cs="Arial"/>
          <w:b/>
          <w:color w:val="4F2D7F"/>
          <w:lang w:val="mk-MK"/>
        </w:rPr>
        <w:t>and</w:t>
      </w:r>
      <w:proofErr w:type="spellEnd"/>
      <w:r w:rsidRPr="006674B6">
        <w:rPr>
          <w:rFonts w:ascii="Arial" w:hAnsi="Arial" w:cs="Arial"/>
          <w:b/>
          <w:color w:val="4F2D7F"/>
          <w:lang w:val="mk-MK"/>
        </w:rPr>
        <w:t xml:space="preserve"> </w:t>
      </w:r>
      <w:proofErr w:type="spellStart"/>
      <w:r w:rsidRPr="006674B6">
        <w:rPr>
          <w:rFonts w:ascii="Arial" w:hAnsi="Arial" w:cs="Arial"/>
          <w:b/>
          <w:color w:val="4F2D7F"/>
          <w:lang w:val="mk-MK"/>
        </w:rPr>
        <w:t>impact</w:t>
      </w:r>
      <w:proofErr w:type="spellEnd"/>
      <w:r w:rsidRPr="006674B6">
        <w:rPr>
          <w:rFonts w:ascii="Arial" w:hAnsi="Arial" w:cs="Arial"/>
          <w:b/>
          <w:color w:val="4F2D7F"/>
          <w:lang w:val="mk-MK"/>
        </w:rPr>
        <w:t xml:space="preserve"> </w:t>
      </w:r>
      <w:proofErr w:type="spellStart"/>
      <w:r w:rsidRPr="006674B6">
        <w:rPr>
          <w:rFonts w:ascii="Arial" w:hAnsi="Arial" w:cs="Arial"/>
          <w:b/>
          <w:color w:val="4F2D7F"/>
          <w:lang w:val="mk-MK"/>
        </w:rPr>
        <w:t>of</w:t>
      </w:r>
      <w:proofErr w:type="spellEnd"/>
      <w:r w:rsidRPr="006674B6">
        <w:rPr>
          <w:rFonts w:ascii="Arial" w:hAnsi="Arial" w:cs="Arial"/>
          <w:b/>
          <w:color w:val="4F2D7F"/>
          <w:lang w:val="mk-MK"/>
        </w:rPr>
        <w:t xml:space="preserve"> </w:t>
      </w:r>
      <w:proofErr w:type="spellStart"/>
      <w:r w:rsidRPr="006674B6">
        <w:rPr>
          <w:rFonts w:ascii="Arial" w:hAnsi="Arial" w:cs="Arial"/>
          <w:b/>
          <w:color w:val="4F2D7F"/>
          <w:lang w:val="mk-MK"/>
        </w:rPr>
        <w:t>the</w:t>
      </w:r>
      <w:proofErr w:type="spellEnd"/>
      <w:r w:rsidRPr="006674B6">
        <w:rPr>
          <w:rFonts w:ascii="Arial" w:hAnsi="Arial" w:cs="Arial"/>
          <w:b/>
          <w:color w:val="4F2D7F"/>
          <w:lang w:val="mk-MK"/>
        </w:rPr>
        <w:t xml:space="preserve"> COVID-19 </w:t>
      </w:r>
      <w:proofErr w:type="spellStart"/>
      <w:r w:rsidRPr="006674B6">
        <w:rPr>
          <w:rFonts w:ascii="Arial" w:hAnsi="Arial" w:cs="Arial"/>
          <w:b/>
          <w:color w:val="4F2D7F"/>
          <w:lang w:val="mk-MK"/>
        </w:rPr>
        <w:t>pandemic</w:t>
      </w:r>
      <w:proofErr w:type="spellEnd"/>
    </w:p>
    <w:p w14:paraId="612B74B0" w14:textId="7A475C22" w:rsidR="00815E65" w:rsidRPr="00CE3053" w:rsidRDefault="006674B6" w:rsidP="00815E65">
      <w:pPr>
        <w:spacing w:after="284" w:line="280" w:lineRule="atLeast"/>
        <w:jc w:val="both"/>
        <w:rPr>
          <w:rFonts w:ascii="Arial" w:hAnsi="Arial" w:cs="Arial"/>
          <w:bCs/>
          <w:lang w:val="mk-MK"/>
        </w:rPr>
      </w:pPr>
      <w:proofErr w:type="spellStart"/>
      <w:r w:rsidRPr="006674B6">
        <w:rPr>
          <w:rFonts w:ascii="Arial" w:hAnsi="Arial" w:cs="Arial"/>
          <w:bCs/>
          <w:lang w:val="mk-MK"/>
        </w:rPr>
        <w:t>As</w:t>
      </w:r>
      <w:proofErr w:type="spellEnd"/>
      <w:r w:rsidRPr="006674B6">
        <w:rPr>
          <w:rFonts w:ascii="Arial" w:hAnsi="Arial" w:cs="Arial"/>
          <w:bCs/>
          <w:lang w:val="mk-MK"/>
        </w:rPr>
        <w:t xml:space="preserve"> a </w:t>
      </w:r>
      <w:proofErr w:type="spellStart"/>
      <w:r w:rsidRPr="006674B6">
        <w:rPr>
          <w:rFonts w:ascii="Arial" w:hAnsi="Arial" w:cs="Arial"/>
          <w:bCs/>
          <w:lang w:val="mk-MK"/>
        </w:rPr>
        <w:t>result</w:t>
      </w:r>
      <w:proofErr w:type="spellEnd"/>
      <w:r w:rsidRPr="006674B6">
        <w:rPr>
          <w:rFonts w:ascii="Arial" w:hAnsi="Arial" w:cs="Arial"/>
          <w:bCs/>
          <w:lang w:val="mk-MK"/>
        </w:rPr>
        <w:t xml:space="preserve"> </w:t>
      </w:r>
      <w:proofErr w:type="spellStart"/>
      <w:r w:rsidRPr="006674B6">
        <w:rPr>
          <w:rFonts w:ascii="Arial" w:hAnsi="Arial" w:cs="Arial"/>
          <w:bCs/>
          <w:lang w:val="mk-MK"/>
        </w:rPr>
        <w:t>of</w:t>
      </w:r>
      <w:proofErr w:type="spellEnd"/>
      <w:r w:rsidRPr="006674B6">
        <w:rPr>
          <w:rFonts w:ascii="Arial" w:hAnsi="Arial" w:cs="Arial"/>
          <w:bCs/>
          <w:lang w:val="mk-MK"/>
        </w:rPr>
        <w:t xml:space="preserve"> </w:t>
      </w:r>
      <w:proofErr w:type="spellStart"/>
      <w:r w:rsidRPr="006674B6">
        <w:rPr>
          <w:rFonts w:ascii="Arial" w:hAnsi="Arial" w:cs="Arial"/>
          <w:bCs/>
          <w:lang w:val="mk-MK"/>
        </w:rPr>
        <w:t>the</w:t>
      </w:r>
      <w:proofErr w:type="spellEnd"/>
      <w:r w:rsidRPr="006674B6">
        <w:rPr>
          <w:rFonts w:ascii="Arial" w:hAnsi="Arial" w:cs="Arial"/>
          <w:bCs/>
          <w:lang w:val="mk-MK"/>
        </w:rPr>
        <w:t xml:space="preserve"> COVID-19 </w:t>
      </w:r>
      <w:proofErr w:type="spellStart"/>
      <w:r w:rsidRPr="006674B6">
        <w:rPr>
          <w:rFonts w:ascii="Arial" w:hAnsi="Arial" w:cs="Arial"/>
          <w:bCs/>
          <w:lang w:val="mk-MK"/>
        </w:rPr>
        <w:t>pandemic</w:t>
      </w:r>
      <w:proofErr w:type="spellEnd"/>
      <w:r w:rsidRPr="006674B6">
        <w:rPr>
          <w:rFonts w:ascii="Arial" w:hAnsi="Arial" w:cs="Arial"/>
          <w:bCs/>
          <w:lang w:val="mk-MK"/>
        </w:rPr>
        <w:t xml:space="preserve">, </w:t>
      </w:r>
      <w:proofErr w:type="spellStart"/>
      <w:r w:rsidRPr="006674B6">
        <w:rPr>
          <w:rFonts w:ascii="Arial" w:hAnsi="Arial" w:cs="Arial"/>
          <w:bCs/>
          <w:lang w:val="mk-MK"/>
        </w:rPr>
        <w:t>which</w:t>
      </w:r>
      <w:proofErr w:type="spellEnd"/>
      <w:r w:rsidRPr="006674B6">
        <w:rPr>
          <w:rFonts w:ascii="Arial" w:hAnsi="Arial" w:cs="Arial"/>
          <w:bCs/>
          <w:lang w:val="mk-MK"/>
        </w:rPr>
        <w:t xml:space="preserve"> </w:t>
      </w:r>
      <w:proofErr w:type="spellStart"/>
      <w:r w:rsidRPr="006674B6">
        <w:rPr>
          <w:rFonts w:ascii="Arial" w:hAnsi="Arial" w:cs="Arial"/>
          <w:bCs/>
          <w:lang w:val="mk-MK"/>
        </w:rPr>
        <w:t>affected</w:t>
      </w:r>
      <w:proofErr w:type="spellEnd"/>
      <w:r w:rsidRPr="006674B6">
        <w:rPr>
          <w:rFonts w:ascii="Arial" w:hAnsi="Arial" w:cs="Arial"/>
          <w:bCs/>
          <w:lang w:val="mk-MK"/>
        </w:rPr>
        <w:t xml:space="preserve"> </w:t>
      </w:r>
      <w:proofErr w:type="spellStart"/>
      <w:r w:rsidRPr="006674B6">
        <w:rPr>
          <w:rFonts w:ascii="Arial" w:hAnsi="Arial" w:cs="Arial"/>
          <w:bCs/>
          <w:lang w:val="mk-MK"/>
        </w:rPr>
        <w:t>the</w:t>
      </w:r>
      <w:proofErr w:type="spellEnd"/>
      <w:r w:rsidRPr="006674B6">
        <w:rPr>
          <w:rFonts w:ascii="Arial" w:hAnsi="Arial" w:cs="Arial"/>
          <w:bCs/>
          <w:lang w:val="mk-MK"/>
        </w:rPr>
        <w:t xml:space="preserve"> </w:t>
      </w:r>
      <w:proofErr w:type="spellStart"/>
      <w:r w:rsidRPr="006674B6">
        <w:rPr>
          <w:rFonts w:ascii="Arial" w:hAnsi="Arial" w:cs="Arial"/>
          <w:bCs/>
          <w:lang w:val="mk-MK"/>
        </w:rPr>
        <w:t>economy</w:t>
      </w:r>
      <w:proofErr w:type="spellEnd"/>
      <w:r w:rsidRPr="006674B6">
        <w:rPr>
          <w:rFonts w:ascii="Arial" w:hAnsi="Arial" w:cs="Arial"/>
          <w:bCs/>
          <w:lang w:val="mk-MK"/>
        </w:rPr>
        <w:t xml:space="preserve"> </w:t>
      </w:r>
      <w:proofErr w:type="spellStart"/>
      <w:r w:rsidRPr="006674B6">
        <w:rPr>
          <w:rFonts w:ascii="Arial" w:hAnsi="Arial" w:cs="Arial"/>
          <w:bCs/>
          <w:lang w:val="mk-MK"/>
        </w:rPr>
        <w:t>and</w:t>
      </w:r>
      <w:proofErr w:type="spellEnd"/>
      <w:r w:rsidRPr="006674B6">
        <w:rPr>
          <w:rFonts w:ascii="Arial" w:hAnsi="Arial" w:cs="Arial"/>
          <w:bCs/>
          <w:lang w:val="mk-MK"/>
        </w:rPr>
        <w:t xml:space="preserve"> </w:t>
      </w:r>
      <w:proofErr w:type="spellStart"/>
      <w:r w:rsidRPr="006674B6">
        <w:rPr>
          <w:rFonts w:ascii="Arial" w:hAnsi="Arial" w:cs="Arial"/>
          <w:bCs/>
          <w:lang w:val="mk-MK"/>
        </w:rPr>
        <w:t>financial</w:t>
      </w:r>
      <w:proofErr w:type="spellEnd"/>
      <w:r w:rsidRPr="006674B6">
        <w:rPr>
          <w:rFonts w:ascii="Arial" w:hAnsi="Arial" w:cs="Arial"/>
          <w:bCs/>
          <w:lang w:val="mk-MK"/>
        </w:rPr>
        <w:t xml:space="preserve"> </w:t>
      </w:r>
      <w:proofErr w:type="spellStart"/>
      <w:r w:rsidRPr="006674B6">
        <w:rPr>
          <w:rFonts w:ascii="Arial" w:hAnsi="Arial" w:cs="Arial"/>
          <w:bCs/>
          <w:lang w:val="mk-MK"/>
        </w:rPr>
        <w:t>markets</w:t>
      </w:r>
      <w:proofErr w:type="spellEnd"/>
      <w:r w:rsidRPr="006674B6">
        <w:rPr>
          <w:rFonts w:ascii="Arial" w:hAnsi="Arial" w:cs="Arial"/>
          <w:bCs/>
          <w:lang w:val="mk-MK"/>
        </w:rPr>
        <w:t xml:space="preserve">, </w:t>
      </w:r>
      <w:proofErr w:type="spellStart"/>
      <w:r w:rsidRPr="006674B6">
        <w:rPr>
          <w:rFonts w:ascii="Arial" w:hAnsi="Arial" w:cs="Arial"/>
          <w:bCs/>
          <w:lang w:val="mk-MK"/>
        </w:rPr>
        <w:t>the</w:t>
      </w:r>
      <w:proofErr w:type="spellEnd"/>
      <w:r w:rsidRPr="006674B6">
        <w:rPr>
          <w:rFonts w:ascii="Arial" w:hAnsi="Arial" w:cs="Arial"/>
          <w:bCs/>
          <w:lang w:val="mk-MK"/>
        </w:rPr>
        <w:t xml:space="preserve"> </w:t>
      </w:r>
      <w:proofErr w:type="spellStart"/>
      <w:r w:rsidRPr="006674B6">
        <w:rPr>
          <w:rFonts w:ascii="Arial" w:hAnsi="Arial" w:cs="Arial"/>
          <w:bCs/>
          <w:lang w:val="mk-MK"/>
        </w:rPr>
        <w:t>Fund</w:t>
      </w:r>
      <w:proofErr w:type="spellEnd"/>
      <w:r w:rsidRPr="006674B6">
        <w:rPr>
          <w:rFonts w:ascii="Arial" w:hAnsi="Arial" w:cs="Arial"/>
          <w:bCs/>
          <w:lang w:val="mk-MK"/>
        </w:rPr>
        <w:t xml:space="preserve"> </w:t>
      </w:r>
      <w:proofErr w:type="spellStart"/>
      <w:r w:rsidRPr="006674B6">
        <w:rPr>
          <w:rFonts w:ascii="Arial" w:hAnsi="Arial" w:cs="Arial"/>
          <w:bCs/>
          <w:lang w:val="mk-MK"/>
        </w:rPr>
        <w:t>further</w:t>
      </w:r>
      <w:proofErr w:type="spellEnd"/>
      <w:r w:rsidRPr="006674B6">
        <w:rPr>
          <w:rFonts w:ascii="Arial" w:hAnsi="Arial" w:cs="Arial"/>
          <w:bCs/>
          <w:lang w:val="mk-MK"/>
        </w:rPr>
        <w:t xml:space="preserve"> </w:t>
      </w:r>
      <w:proofErr w:type="spellStart"/>
      <w:r w:rsidRPr="006674B6">
        <w:rPr>
          <w:rFonts w:ascii="Arial" w:hAnsi="Arial" w:cs="Arial"/>
          <w:bCs/>
          <w:lang w:val="mk-MK"/>
        </w:rPr>
        <w:t>analyzed</w:t>
      </w:r>
      <w:proofErr w:type="spellEnd"/>
      <w:r w:rsidRPr="006674B6">
        <w:rPr>
          <w:rFonts w:ascii="Arial" w:hAnsi="Arial" w:cs="Arial"/>
          <w:bCs/>
          <w:lang w:val="mk-MK"/>
        </w:rPr>
        <w:t xml:space="preserve"> </w:t>
      </w:r>
      <w:proofErr w:type="spellStart"/>
      <w:r w:rsidRPr="006674B6">
        <w:rPr>
          <w:rFonts w:ascii="Arial" w:hAnsi="Arial" w:cs="Arial"/>
          <w:bCs/>
          <w:lang w:val="mk-MK"/>
        </w:rPr>
        <w:t>the</w:t>
      </w:r>
      <w:proofErr w:type="spellEnd"/>
      <w:r w:rsidRPr="006674B6">
        <w:rPr>
          <w:rFonts w:ascii="Arial" w:hAnsi="Arial" w:cs="Arial"/>
          <w:bCs/>
          <w:lang w:val="mk-MK"/>
        </w:rPr>
        <w:t xml:space="preserve"> </w:t>
      </w:r>
      <w:proofErr w:type="spellStart"/>
      <w:r w:rsidRPr="006674B6">
        <w:rPr>
          <w:rFonts w:ascii="Arial" w:hAnsi="Arial" w:cs="Arial"/>
          <w:bCs/>
          <w:lang w:val="mk-MK"/>
        </w:rPr>
        <w:t>appropriateness</w:t>
      </w:r>
      <w:proofErr w:type="spellEnd"/>
      <w:r w:rsidRPr="006674B6">
        <w:rPr>
          <w:rFonts w:ascii="Arial" w:hAnsi="Arial" w:cs="Arial"/>
          <w:bCs/>
          <w:lang w:val="mk-MK"/>
        </w:rPr>
        <w:t xml:space="preserve"> </w:t>
      </w:r>
      <w:proofErr w:type="spellStart"/>
      <w:r w:rsidRPr="006674B6">
        <w:rPr>
          <w:rFonts w:ascii="Arial" w:hAnsi="Arial" w:cs="Arial"/>
          <w:bCs/>
          <w:lang w:val="mk-MK"/>
        </w:rPr>
        <w:t>of</w:t>
      </w:r>
      <w:proofErr w:type="spellEnd"/>
      <w:r w:rsidRPr="006674B6">
        <w:rPr>
          <w:rFonts w:ascii="Arial" w:hAnsi="Arial" w:cs="Arial"/>
          <w:bCs/>
          <w:lang w:val="mk-MK"/>
        </w:rPr>
        <w:t xml:space="preserve"> </w:t>
      </w:r>
      <w:proofErr w:type="spellStart"/>
      <w:r w:rsidRPr="006674B6">
        <w:rPr>
          <w:rFonts w:ascii="Arial" w:hAnsi="Arial" w:cs="Arial"/>
          <w:bCs/>
          <w:lang w:val="mk-MK"/>
        </w:rPr>
        <w:t>accounting</w:t>
      </w:r>
      <w:proofErr w:type="spellEnd"/>
      <w:r w:rsidRPr="006674B6">
        <w:rPr>
          <w:rFonts w:ascii="Arial" w:hAnsi="Arial" w:cs="Arial"/>
          <w:bCs/>
          <w:lang w:val="mk-MK"/>
        </w:rPr>
        <w:t xml:space="preserve"> </w:t>
      </w:r>
      <w:proofErr w:type="spellStart"/>
      <w:r w:rsidRPr="006674B6">
        <w:rPr>
          <w:rFonts w:ascii="Arial" w:hAnsi="Arial" w:cs="Arial"/>
          <w:bCs/>
          <w:lang w:val="mk-MK"/>
        </w:rPr>
        <w:t>policies</w:t>
      </w:r>
      <w:proofErr w:type="spellEnd"/>
      <w:r w:rsidRPr="006674B6">
        <w:rPr>
          <w:rFonts w:ascii="Arial" w:hAnsi="Arial" w:cs="Arial"/>
          <w:bCs/>
          <w:lang w:val="mk-MK"/>
        </w:rPr>
        <w:t xml:space="preserve">, </w:t>
      </w:r>
      <w:proofErr w:type="spellStart"/>
      <w:r w:rsidRPr="006674B6">
        <w:rPr>
          <w:rFonts w:ascii="Arial" w:hAnsi="Arial" w:cs="Arial"/>
          <w:bCs/>
          <w:lang w:val="mk-MK"/>
        </w:rPr>
        <w:t>estimates</w:t>
      </w:r>
      <w:proofErr w:type="spellEnd"/>
      <w:r w:rsidRPr="006674B6">
        <w:rPr>
          <w:rFonts w:ascii="Arial" w:hAnsi="Arial" w:cs="Arial"/>
          <w:bCs/>
          <w:lang w:val="mk-MK"/>
        </w:rPr>
        <w:t xml:space="preserve"> </w:t>
      </w:r>
      <w:proofErr w:type="spellStart"/>
      <w:r w:rsidRPr="006674B6">
        <w:rPr>
          <w:rFonts w:ascii="Arial" w:hAnsi="Arial" w:cs="Arial"/>
          <w:bCs/>
          <w:lang w:val="mk-MK"/>
        </w:rPr>
        <w:t>and</w:t>
      </w:r>
      <w:proofErr w:type="spellEnd"/>
      <w:r w:rsidRPr="006674B6">
        <w:rPr>
          <w:rFonts w:ascii="Arial" w:hAnsi="Arial" w:cs="Arial"/>
          <w:bCs/>
          <w:lang w:val="mk-MK"/>
        </w:rPr>
        <w:t xml:space="preserve"> </w:t>
      </w:r>
      <w:proofErr w:type="spellStart"/>
      <w:r w:rsidRPr="006674B6">
        <w:rPr>
          <w:rFonts w:ascii="Arial" w:hAnsi="Arial" w:cs="Arial"/>
          <w:bCs/>
          <w:lang w:val="mk-MK"/>
        </w:rPr>
        <w:t>assumptions</w:t>
      </w:r>
      <w:proofErr w:type="spellEnd"/>
      <w:r w:rsidRPr="006674B6">
        <w:rPr>
          <w:rFonts w:ascii="Arial" w:hAnsi="Arial" w:cs="Arial"/>
          <w:bCs/>
          <w:lang w:val="mk-MK"/>
        </w:rPr>
        <w:t xml:space="preserve"> </w:t>
      </w:r>
      <w:proofErr w:type="spellStart"/>
      <w:r w:rsidRPr="006674B6">
        <w:rPr>
          <w:rFonts w:ascii="Arial" w:hAnsi="Arial" w:cs="Arial"/>
          <w:bCs/>
          <w:lang w:val="mk-MK"/>
        </w:rPr>
        <w:t>used</w:t>
      </w:r>
      <w:proofErr w:type="spellEnd"/>
      <w:r w:rsidRPr="006674B6">
        <w:rPr>
          <w:rFonts w:ascii="Arial" w:hAnsi="Arial" w:cs="Arial"/>
          <w:bCs/>
          <w:lang w:val="mk-MK"/>
        </w:rPr>
        <w:t xml:space="preserve"> </w:t>
      </w:r>
      <w:proofErr w:type="spellStart"/>
      <w:r w:rsidRPr="006674B6">
        <w:rPr>
          <w:rFonts w:ascii="Arial" w:hAnsi="Arial" w:cs="Arial"/>
          <w:bCs/>
          <w:lang w:val="mk-MK"/>
        </w:rPr>
        <w:t>during</w:t>
      </w:r>
      <w:proofErr w:type="spellEnd"/>
      <w:r w:rsidRPr="006674B6">
        <w:rPr>
          <w:rFonts w:ascii="Arial" w:hAnsi="Arial" w:cs="Arial"/>
          <w:bCs/>
          <w:lang w:val="mk-MK"/>
        </w:rPr>
        <w:t xml:space="preserve"> 202</w:t>
      </w:r>
      <w:r>
        <w:rPr>
          <w:rFonts w:ascii="Arial" w:hAnsi="Arial" w:cs="Arial"/>
          <w:bCs/>
        </w:rPr>
        <w:t>1</w:t>
      </w:r>
      <w:r w:rsidRPr="006674B6">
        <w:rPr>
          <w:rFonts w:ascii="Arial" w:hAnsi="Arial" w:cs="Arial"/>
          <w:bCs/>
          <w:lang w:val="mk-MK"/>
        </w:rPr>
        <w:t xml:space="preserve"> </w:t>
      </w:r>
      <w:proofErr w:type="spellStart"/>
      <w:r w:rsidRPr="006674B6">
        <w:rPr>
          <w:rFonts w:ascii="Arial" w:hAnsi="Arial" w:cs="Arial"/>
          <w:bCs/>
          <w:lang w:val="mk-MK"/>
        </w:rPr>
        <w:t>and</w:t>
      </w:r>
      <w:proofErr w:type="spellEnd"/>
      <w:r w:rsidRPr="006674B6">
        <w:rPr>
          <w:rFonts w:ascii="Arial" w:hAnsi="Arial" w:cs="Arial"/>
          <w:bCs/>
          <w:lang w:val="mk-MK"/>
        </w:rPr>
        <w:t xml:space="preserve"> </w:t>
      </w:r>
      <w:proofErr w:type="spellStart"/>
      <w:r w:rsidRPr="006674B6">
        <w:rPr>
          <w:rFonts w:ascii="Arial" w:hAnsi="Arial" w:cs="Arial"/>
          <w:bCs/>
          <w:lang w:val="mk-MK"/>
        </w:rPr>
        <w:t>their</w:t>
      </w:r>
      <w:proofErr w:type="spellEnd"/>
      <w:r w:rsidRPr="006674B6">
        <w:rPr>
          <w:rFonts w:ascii="Arial" w:hAnsi="Arial" w:cs="Arial"/>
          <w:bCs/>
          <w:lang w:val="mk-MK"/>
        </w:rPr>
        <w:t xml:space="preserve"> </w:t>
      </w:r>
      <w:proofErr w:type="spellStart"/>
      <w:r w:rsidRPr="006674B6">
        <w:rPr>
          <w:rFonts w:ascii="Arial" w:hAnsi="Arial" w:cs="Arial"/>
          <w:bCs/>
          <w:lang w:val="mk-MK"/>
        </w:rPr>
        <w:t>impact</w:t>
      </w:r>
      <w:proofErr w:type="spellEnd"/>
      <w:r w:rsidRPr="006674B6">
        <w:rPr>
          <w:rFonts w:ascii="Arial" w:hAnsi="Arial" w:cs="Arial"/>
          <w:bCs/>
          <w:lang w:val="mk-MK"/>
        </w:rPr>
        <w:t xml:space="preserve"> </w:t>
      </w:r>
      <w:proofErr w:type="spellStart"/>
      <w:r w:rsidRPr="006674B6">
        <w:rPr>
          <w:rFonts w:ascii="Arial" w:hAnsi="Arial" w:cs="Arial"/>
          <w:bCs/>
          <w:lang w:val="mk-MK"/>
        </w:rPr>
        <w:t>on</w:t>
      </w:r>
      <w:proofErr w:type="spellEnd"/>
      <w:r w:rsidRPr="006674B6">
        <w:rPr>
          <w:rFonts w:ascii="Arial" w:hAnsi="Arial" w:cs="Arial"/>
          <w:bCs/>
          <w:lang w:val="mk-MK"/>
        </w:rPr>
        <w:t xml:space="preserve"> </w:t>
      </w:r>
      <w:proofErr w:type="spellStart"/>
      <w:r w:rsidRPr="006674B6">
        <w:rPr>
          <w:rFonts w:ascii="Arial" w:hAnsi="Arial" w:cs="Arial"/>
          <w:bCs/>
          <w:lang w:val="mk-MK"/>
        </w:rPr>
        <w:t>the</w:t>
      </w:r>
      <w:proofErr w:type="spellEnd"/>
      <w:r w:rsidRPr="006674B6">
        <w:rPr>
          <w:rFonts w:ascii="Arial" w:hAnsi="Arial" w:cs="Arial"/>
          <w:bCs/>
          <w:lang w:val="mk-MK"/>
        </w:rPr>
        <w:t xml:space="preserve"> </w:t>
      </w:r>
      <w:proofErr w:type="spellStart"/>
      <w:r w:rsidRPr="006674B6">
        <w:rPr>
          <w:rFonts w:ascii="Arial" w:hAnsi="Arial" w:cs="Arial"/>
          <w:bCs/>
          <w:lang w:val="mk-MK"/>
        </w:rPr>
        <w:t>financial</w:t>
      </w:r>
      <w:proofErr w:type="spellEnd"/>
      <w:r w:rsidRPr="006674B6">
        <w:rPr>
          <w:rFonts w:ascii="Arial" w:hAnsi="Arial" w:cs="Arial"/>
          <w:bCs/>
          <w:lang w:val="mk-MK"/>
        </w:rPr>
        <w:t xml:space="preserve"> </w:t>
      </w:r>
      <w:proofErr w:type="spellStart"/>
      <w:r w:rsidRPr="006674B6">
        <w:rPr>
          <w:rFonts w:ascii="Arial" w:hAnsi="Arial" w:cs="Arial"/>
          <w:bCs/>
          <w:lang w:val="mk-MK"/>
        </w:rPr>
        <w:t>position</w:t>
      </w:r>
      <w:proofErr w:type="spellEnd"/>
      <w:r w:rsidRPr="006674B6">
        <w:rPr>
          <w:rFonts w:ascii="Arial" w:hAnsi="Arial" w:cs="Arial"/>
          <w:bCs/>
          <w:lang w:val="mk-MK"/>
        </w:rPr>
        <w:t xml:space="preserve">, </w:t>
      </w:r>
      <w:proofErr w:type="spellStart"/>
      <w:r w:rsidRPr="006674B6">
        <w:rPr>
          <w:rFonts w:ascii="Arial" w:hAnsi="Arial" w:cs="Arial"/>
          <w:bCs/>
          <w:lang w:val="mk-MK"/>
        </w:rPr>
        <w:t>cash</w:t>
      </w:r>
      <w:proofErr w:type="spellEnd"/>
      <w:r w:rsidRPr="006674B6">
        <w:rPr>
          <w:rFonts w:ascii="Arial" w:hAnsi="Arial" w:cs="Arial"/>
          <w:bCs/>
          <w:lang w:val="mk-MK"/>
        </w:rPr>
        <w:t xml:space="preserve"> </w:t>
      </w:r>
      <w:proofErr w:type="spellStart"/>
      <w:r w:rsidRPr="006674B6">
        <w:rPr>
          <w:rFonts w:ascii="Arial" w:hAnsi="Arial" w:cs="Arial"/>
          <w:bCs/>
          <w:lang w:val="mk-MK"/>
        </w:rPr>
        <w:t>flows</w:t>
      </w:r>
      <w:proofErr w:type="spellEnd"/>
      <w:r w:rsidRPr="006674B6">
        <w:rPr>
          <w:rFonts w:ascii="Arial" w:hAnsi="Arial" w:cs="Arial"/>
          <w:bCs/>
          <w:lang w:val="mk-MK"/>
        </w:rPr>
        <w:t xml:space="preserve"> </w:t>
      </w:r>
      <w:proofErr w:type="spellStart"/>
      <w:r w:rsidRPr="006674B6">
        <w:rPr>
          <w:rFonts w:ascii="Arial" w:hAnsi="Arial" w:cs="Arial"/>
          <w:bCs/>
          <w:lang w:val="mk-MK"/>
        </w:rPr>
        <w:t>and</w:t>
      </w:r>
      <w:proofErr w:type="spellEnd"/>
      <w:r w:rsidRPr="006674B6">
        <w:rPr>
          <w:rFonts w:ascii="Arial" w:hAnsi="Arial" w:cs="Arial"/>
          <w:bCs/>
          <w:lang w:val="mk-MK"/>
        </w:rPr>
        <w:t xml:space="preserve"> </w:t>
      </w:r>
      <w:proofErr w:type="spellStart"/>
      <w:r w:rsidRPr="006674B6">
        <w:rPr>
          <w:rFonts w:ascii="Arial" w:hAnsi="Arial" w:cs="Arial"/>
          <w:bCs/>
          <w:lang w:val="mk-MK"/>
        </w:rPr>
        <w:t>operating</w:t>
      </w:r>
      <w:proofErr w:type="spellEnd"/>
      <w:r w:rsidRPr="006674B6">
        <w:rPr>
          <w:rFonts w:ascii="Arial" w:hAnsi="Arial" w:cs="Arial"/>
          <w:bCs/>
          <w:lang w:val="mk-MK"/>
        </w:rPr>
        <w:t xml:space="preserve"> </w:t>
      </w:r>
      <w:proofErr w:type="spellStart"/>
      <w:r w:rsidRPr="006674B6">
        <w:rPr>
          <w:rFonts w:ascii="Arial" w:hAnsi="Arial" w:cs="Arial"/>
          <w:bCs/>
          <w:lang w:val="mk-MK"/>
        </w:rPr>
        <w:t>results</w:t>
      </w:r>
      <w:proofErr w:type="spellEnd"/>
      <w:r w:rsidRPr="006674B6">
        <w:rPr>
          <w:rFonts w:ascii="Arial" w:hAnsi="Arial" w:cs="Arial"/>
          <w:bCs/>
          <w:lang w:val="mk-MK"/>
        </w:rPr>
        <w:t>.</w:t>
      </w:r>
    </w:p>
    <w:p w14:paraId="5B28729B" w14:textId="4BAC8A59" w:rsidR="00815E65" w:rsidRPr="000273B0" w:rsidRDefault="000273B0" w:rsidP="00815E65">
      <w:pPr>
        <w:spacing w:after="0" w:line="280" w:lineRule="atLeast"/>
        <w:ind w:left="634" w:right="-14" w:hanging="634"/>
        <w:jc w:val="both"/>
        <w:rPr>
          <w:rFonts w:ascii="Arial" w:hAnsi="Arial" w:cs="Arial"/>
          <w:bCs/>
          <w:i/>
        </w:rPr>
      </w:pPr>
      <w:r>
        <w:rPr>
          <w:rFonts w:ascii="Arial" w:hAnsi="Arial" w:cs="Arial"/>
          <w:bCs/>
          <w:i/>
        </w:rPr>
        <w:t>Impairment and fair value measurement of financial assets</w:t>
      </w:r>
    </w:p>
    <w:p w14:paraId="39C18903" w14:textId="4D4ED6CF" w:rsidR="00815E65" w:rsidRDefault="000273B0" w:rsidP="00815E65">
      <w:pPr>
        <w:spacing w:after="284" w:line="280" w:lineRule="atLeast"/>
        <w:jc w:val="both"/>
        <w:rPr>
          <w:rFonts w:ascii="Arial" w:hAnsi="Arial" w:cs="Arial"/>
          <w:bCs/>
          <w:lang w:val="mk-MK"/>
        </w:rPr>
      </w:pPr>
      <w:proofErr w:type="spellStart"/>
      <w:r w:rsidRPr="000273B0">
        <w:rPr>
          <w:rFonts w:ascii="Arial" w:hAnsi="Arial" w:cs="Arial"/>
          <w:bCs/>
          <w:lang w:val="mk-MK"/>
        </w:rPr>
        <w:t>There</w:t>
      </w:r>
      <w:proofErr w:type="spellEnd"/>
      <w:r w:rsidRPr="000273B0">
        <w:rPr>
          <w:rFonts w:ascii="Arial" w:hAnsi="Arial" w:cs="Arial"/>
          <w:bCs/>
          <w:lang w:val="mk-MK"/>
        </w:rPr>
        <w:t xml:space="preserve"> </w:t>
      </w:r>
      <w:proofErr w:type="spellStart"/>
      <w:r w:rsidRPr="000273B0">
        <w:rPr>
          <w:rFonts w:ascii="Arial" w:hAnsi="Arial" w:cs="Arial"/>
          <w:bCs/>
          <w:lang w:val="mk-MK"/>
        </w:rPr>
        <w:t>are</w:t>
      </w:r>
      <w:proofErr w:type="spellEnd"/>
      <w:r w:rsidRPr="000273B0">
        <w:rPr>
          <w:rFonts w:ascii="Arial" w:hAnsi="Arial" w:cs="Arial"/>
          <w:bCs/>
          <w:lang w:val="mk-MK"/>
        </w:rPr>
        <w:t xml:space="preserve"> </w:t>
      </w:r>
      <w:proofErr w:type="spellStart"/>
      <w:r w:rsidRPr="000273B0">
        <w:rPr>
          <w:rFonts w:ascii="Arial" w:hAnsi="Arial" w:cs="Arial"/>
          <w:bCs/>
          <w:lang w:val="mk-MK"/>
        </w:rPr>
        <w:t>no</w:t>
      </w:r>
      <w:proofErr w:type="spellEnd"/>
      <w:r w:rsidRPr="000273B0">
        <w:rPr>
          <w:rFonts w:ascii="Arial" w:hAnsi="Arial" w:cs="Arial"/>
          <w:bCs/>
          <w:lang w:val="mk-MK"/>
        </w:rPr>
        <w:t xml:space="preserve"> </w:t>
      </w:r>
      <w:proofErr w:type="spellStart"/>
      <w:r w:rsidRPr="000273B0">
        <w:rPr>
          <w:rFonts w:ascii="Arial" w:hAnsi="Arial" w:cs="Arial"/>
          <w:bCs/>
          <w:lang w:val="mk-MK"/>
        </w:rPr>
        <w:t>significant</w:t>
      </w:r>
      <w:proofErr w:type="spellEnd"/>
      <w:r w:rsidRPr="000273B0">
        <w:rPr>
          <w:rFonts w:ascii="Arial" w:hAnsi="Arial" w:cs="Arial"/>
          <w:bCs/>
          <w:lang w:val="mk-MK"/>
        </w:rPr>
        <w:t xml:space="preserve"> </w:t>
      </w:r>
      <w:proofErr w:type="spellStart"/>
      <w:r w:rsidRPr="000273B0">
        <w:rPr>
          <w:rFonts w:ascii="Arial" w:hAnsi="Arial" w:cs="Arial"/>
          <w:bCs/>
          <w:lang w:val="mk-MK"/>
        </w:rPr>
        <w:t>changes</w:t>
      </w:r>
      <w:proofErr w:type="spellEnd"/>
      <w:r w:rsidRPr="000273B0">
        <w:rPr>
          <w:rFonts w:ascii="Arial" w:hAnsi="Arial" w:cs="Arial"/>
          <w:bCs/>
          <w:lang w:val="mk-MK"/>
        </w:rPr>
        <w:t xml:space="preserve"> </w:t>
      </w:r>
      <w:proofErr w:type="spellStart"/>
      <w:r w:rsidRPr="000273B0">
        <w:rPr>
          <w:rFonts w:ascii="Arial" w:hAnsi="Arial" w:cs="Arial"/>
          <w:bCs/>
          <w:lang w:val="mk-MK"/>
        </w:rPr>
        <w:t>in</w:t>
      </w:r>
      <w:proofErr w:type="spellEnd"/>
      <w:r w:rsidRPr="000273B0">
        <w:rPr>
          <w:rFonts w:ascii="Arial" w:hAnsi="Arial" w:cs="Arial"/>
          <w:bCs/>
          <w:lang w:val="mk-MK"/>
        </w:rPr>
        <w:t xml:space="preserve"> </w:t>
      </w:r>
      <w:proofErr w:type="spellStart"/>
      <w:r w:rsidRPr="000273B0">
        <w:rPr>
          <w:rFonts w:ascii="Arial" w:hAnsi="Arial" w:cs="Arial"/>
          <w:bCs/>
          <w:lang w:val="mk-MK"/>
        </w:rPr>
        <w:t>the</w:t>
      </w:r>
      <w:proofErr w:type="spellEnd"/>
      <w:r w:rsidRPr="000273B0">
        <w:rPr>
          <w:rFonts w:ascii="Arial" w:hAnsi="Arial" w:cs="Arial"/>
          <w:bCs/>
          <w:lang w:val="mk-MK"/>
        </w:rPr>
        <w:t xml:space="preserve"> </w:t>
      </w:r>
      <w:proofErr w:type="spellStart"/>
      <w:r w:rsidRPr="000273B0">
        <w:rPr>
          <w:rFonts w:ascii="Arial" w:hAnsi="Arial" w:cs="Arial"/>
          <w:bCs/>
          <w:lang w:val="mk-MK"/>
        </w:rPr>
        <w:t>financial</w:t>
      </w:r>
      <w:proofErr w:type="spellEnd"/>
      <w:r w:rsidRPr="000273B0">
        <w:rPr>
          <w:rFonts w:ascii="Arial" w:hAnsi="Arial" w:cs="Arial"/>
          <w:bCs/>
          <w:lang w:val="mk-MK"/>
        </w:rPr>
        <w:t xml:space="preserve"> </w:t>
      </w:r>
      <w:proofErr w:type="spellStart"/>
      <w:r w:rsidRPr="000273B0">
        <w:rPr>
          <w:rFonts w:ascii="Arial" w:hAnsi="Arial" w:cs="Arial"/>
          <w:bCs/>
          <w:lang w:val="mk-MK"/>
        </w:rPr>
        <w:t>market</w:t>
      </w:r>
      <w:proofErr w:type="spellEnd"/>
      <w:r w:rsidRPr="000273B0">
        <w:rPr>
          <w:rFonts w:ascii="Arial" w:hAnsi="Arial" w:cs="Arial"/>
          <w:bCs/>
          <w:lang w:val="mk-MK"/>
        </w:rPr>
        <w:t xml:space="preserve"> </w:t>
      </w:r>
      <w:proofErr w:type="spellStart"/>
      <w:r w:rsidRPr="000273B0">
        <w:rPr>
          <w:rFonts w:ascii="Arial" w:hAnsi="Arial" w:cs="Arial"/>
          <w:bCs/>
          <w:lang w:val="mk-MK"/>
        </w:rPr>
        <w:t>during</w:t>
      </w:r>
      <w:proofErr w:type="spellEnd"/>
      <w:r w:rsidRPr="000273B0">
        <w:rPr>
          <w:rFonts w:ascii="Arial" w:hAnsi="Arial" w:cs="Arial"/>
          <w:bCs/>
          <w:lang w:val="mk-MK"/>
        </w:rPr>
        <w:t xml:space="preserve"> 202</w:t>
      </w:r>
      <w:r w:rsidR="00B12D1D">
        <w:rPr>
          <w:rFonts w:ascii="Arial" w:hAnsi="Arial" w:cs="Arial"/>
          <w:bCs/>
          <w:lang w:val="mk-MK"/>
        </w:rPr>
        <w:t>1</w:t>
      </w:r>
      <w:r w:rsidRPr="000273B0">
        <w:rPr>
          <w:rFonts w:ascii="Arial" w:hAnsi="Arial" w:cs="Arial"/>
          <w:bCs/>
          <w:lang w:val="mk-MK"/>
        </w:rPr>
        <w:t xml:space="preserve"> </w:t>
      </w:r>
      <w:proofErr w:type="spellStart"/>
      <w:r w:rsidRPr="000273B0">
        <w:rPr>
          <w:rFonts w:ascii="Arial" w:hAnsi="Arial" w:cs="Arial"/>
          <w:bCs/>
          <w:lang w:val="mk-MK"/>
        </w:rPr>
        <w:t>that</w:t>
      </w:r>
      <w:proofErr w:type="spellEnd"/>
      <w:r w:rsidRPr="000273B0">
        <w:rPr>
          <w:rFonts w:ascii="Arial" w:hAnsi="Arial" w:cs="Arial"/>
          <w:bCs/>
          <w:lang w:val="mk-MK"/>
        </w:rPr>
        <w:t xml:space="preserve"> </w:t>
      </w:r>
      <w:proofErr w:type="spellStart"/>
      <w:r w:rsidRPr="000273B0">
        <w:rPr>
          <w:rFonts w:ascii="Arial" w:hAnsi="Arial" w:cs="Arial"/>
          <w:bCs/>
          <w:lang w:val="mk-MK"/>
        </w:rPr>
        <w:t>would</w:t>
      </w:r>
      <w:proofErr w:type="spellEnd"/>
      <w:r w:rsidRPr="000273B0">
        <w:rPr>
          <w:rFonts w:ascii="Arial" w:hAnsi="Arial" w:cs="Arial"/>
          <w:bCs/>
          <w:lang w:val="mk-MK"/>
        </w:rPr>
        <w:t xml:space="preserve"> </w:t>
      </w:r>
      <w:proofErr w:type="spellStart"/>
      <w:r w:rsidRPr="000273B0">
        <w:rPr>
          <w:rFonts w:ascii="Arial" w:hAnsi="Arial" w:cs="Arial"/>
          <w:bCs/>
          <w:lang w:val="mk-MK"/>
        </w:rPr>
        <w:t>cause</w:t>
      </w:r>
      <w:proofErr w:type="spellEnd"/>
      <w:r w:rsidRPr="000273B0">
        <w:rPr>
          <w:rFonts w:ascii="Arial" w:hAnsi="Arial" w:cs="Arial"/>
          <w:bCs/>
          <w:lang w:val="mk-MK"/>
        </w:rPr>
        <w:t xml:space="preserve"> </w:t>
      </w:r>
      <w:proofErr w:type="spellStart"/>
      <w:r w:rsidRPr="000273B0">
        <w:rPr>
          <w:rFonts w:ascii="Arial" w:hAnsi="Arial" w:cs="Arial"/>
          <w:bCs/>
          <w:lang w:val="mk-MK"/>
        </w:rPr>
        <w:t>changes</w:t>
      </w:r>
      <w:proofErr w:type="spellEnd"/>
      <w:r w:rsidRPr="000273B0">
        <w:rPr>
          <w:rFonts w:ascii="Arial" w:hAnsi="Arial" w:cs="Arial"/>
          <w:bCs/>
          <w:lang w:val="mk-MK"/>
        </w:rPr>
        <w:t xml:space="preserve"> </w:t>
      </w:r>
      <w:proofErr w:type="spellStart"/>
      <w:r w:rsidRPr="000273B0">
        <w:rPr>
          <w:rFonts w:ascii="Arial" w:hAnsi="Arial" w:cs="Arial"/>
          <w:bCs/>
          <w:lang w:val="mk-MK"/>
        </w:rPr>
        <w:t>in</w:t>
      </w:r>
      <w:proofErr w:type="spellEnd"/>
      <w:r w:rsidRPr="000273B0">
        <w:rPr>
          <w:rFonts w:ascii="Arial" w:hAnsi="Arial" w:cs="Arial"/>
          <w:bCs/>
          <w:lang w:val="mk-MK"/>
        </w:rPr>
        <w:t xml:space="preserve"> </w:t>
      </w:r>
      <w:proofErr w:type="spellStart"/>
      <w:r w:rsidRPr="000273B0">
        <w:rPr>
          <w:rFonts w:ascii="Arial" w:hAnsi="Arial" w:cs="Arial"/>
          <w:bCs/>
          <w:lang w:val="mk-MK"/>
        </w:rPr>
        <w:t>the</w:t>
      </w:r>
      <w:proofErr w:type="spellEnd"/>
      <w:r w:rsidRPr="000273B0">
        <w:rPr>
          <w:rFonts w:ascii="Arial" w:hAnsi="Arial" w:cs="Arial"/>
          <w:bCs/>
          <w:lang w:val="mk-MK"/>
        </w:rPr>
        <w:t xml:space="preserve"> </w:t>
      </w:r>
      <w:proofErr w:type="spellStart"/>
      <w:r w:rsidRPr="000273B0">
        <w:rPr>
          <w:rFonts w:ascii="Arial" w:hAnsi="Arial" w:cs="Arial"/>
          <w:bCs/>
          <w:lang w:val="mk-MK"/>
        </w:rPr>
        <w:t>measurement</w:t>
      </w:r>
      <w:proofErr w:type="spellEnd"/>
      <w:r w:rsidRPr="000273B0">
        <w:rPr>
          <w:rFonts w:ascii="Arial" w:hAnsi="Arial" w:cs="Arial"/>
          <w:bCs/>
          <w:lang w:val="mk-MK"/>
        </w:rPr>
        <w:t xml:space="preserve"> </w:t>
      </w:r>
      <w:proofErr w:type="spellStart"/>
      <w:r w:rsidRPr="000273B0">
        <w:rPr>
          <w:rFonts w:ascii="Arial" w:hAnsi="Arial" w:cs="Arial"/>
          <w:bCs/>
          <w:lang w:val="mk-MK"/>
        </w:rPr>
        <w:t>of</w:t>
      </w:r>
      <w:proofErr w:type="spellEnd"/>
      <w:r w:rsidRPr="000273B0">
        <w:rPr>
          <w:rFonts w:ascii="Arial" w:hAnsi="Arial" w:cs="Arial"/>
          <w:bCs/>
          <w:lang w:val="mk-MK"/>
        </w:rPr>
        <w:t xml:space="preserve"> </w:t>
      </w:r>
      <w:proofErr w:type="spellStart"/>
      <w:r w:rsidRPr="000273B0">
        <w:rPr>
          <w:rFonts w:ascii="Arial" w:hAnsi="Arial" w:cs="Arial"/>
          <w:bCs/>
          <w:lang w:val="mk-MK"/>
        </w:rPr>
        <w:t>financial</w:t>
      </w:r>
      <w:proofErr w:type="spellEnd"/>
      <w:r w:rsidRPr="000273B0">
        <w:rPr>
          <w:rFonts w:ascii="Arial" w:hAnsi="Arial" w:cs="Arial"/>
          <w:bCs/>
          <w:lang w:val="mk-MK"/>
        </w:rPr>
        <w:t xml:space="preserve"> </w:t>
      </w:r>
      <w:proofErr w:type="spellStart"/>
      <w:r w:rsidRPr="000273B0">
        <w:rPr>
          <w:rFonts w:ascii="Arial" w:hAnsi="Arial" w:cs="Arial"/>
          <w:bCs/>
          <w:lang w:val="mk-MK"/>
        </w:rPr>
        <w:t>assets</w:t>
      </w:r>
      <w:proofErr w:type="spellEnd"/>
      <w:r w:rsidRPr="000273B0">
        <w:rPr>
          <w:rFonts w:ascii="Arial" w:hAnsi="Arial" w:cs="Arial"/>
          <w:bCs/>
          <w:lang w:val="mk-MK"/>
        </w:rPr>
        <w:t xml:space="preserve"> </w:t>
      </w:r>
      <w:proofErr w:type="spellStart"/>
      <w:r w:rsidRPr="000273B0">
        <w:rPr>
          <w:rFonts w:ascii="Arial" w:hAnsi="Arial" w:cs="Arial"/>
          <w:bCs/>
          <w:lang w:val="mk-MK"/>
        </w:rPr>
        <w:t>as</w:t>
      </w:r>
      <w:proofErr w:type="spellEnd"/>
      <w:r w:rsidRPr="000273B0">
        <w:rPr>
          <w:rFonts w:ascii="Arial" w:hAnsi="Arial" w:cs="Arial"/>
          <w:bCs/>
          <w:lang w:val="mk-MK"/>
        </w:rPr>
        <w:t xml:space="preserve"> </w:t>
      </w:r>
      <w:proofErr w:type="spellStart"/>
      <w:r w:rsidRPr="000273B0">
        <w:rPr>
          <w:rFonts w:ascii="Arial" w:hAnsi="Arial" w:cs="Arial"/>
          <w:bCs/>
          <w:lang w:val="mk-MK"/>
        </w:rPr>
        <w:t>well</w:t>
      </w:r>
      <w:proofErr w:type="spellEnd"/>
      <w:r w:rsidRPr="000273B0">
        <w:rPr>
          <w:rFonts w:ascii="Arial" w:hAnsi="Arial" w:cs="Arial"/>
          <w:bCs/>
          <w:lang w:val="mk-MK"/>
        </w:rPr>
        <w:t xml:space="preserve"> </w:t>
      </w:r>
      <w:proofErr w:type="spellStart"/>
      <w:r w:rsidRPr="000273B0">
        <w:rPr>
          <w:rFonts w:ascii="Arial" w:hAnsi="Arial" w:cs="Arial"/>
          <w:bCs/>
          <w:lang w:val="mk-MK"/>
        </w:rPr>
        <w:t>as</w:t>
      </w:r>
      <w:proofErr w:type="spellEnd"/>
      <w:r w:rsidRPr="000273B0">
        <w:rPr>
          <w:rFonts w:ascii="Arial" w:hAnsi="Arial" w:cs="Arial"/>
          <w:bCs/>
          <w:lang w:val="mk-MK"/>
        </w:rPr>
        <w:t xml:space="preserve"> </w:t>
      </w:r>
      <w:proofErr w:type="spellStart"/>
      <w:r w:rsidRPr="000273B0">
        <w:rPr>
          <w:rFonts w:ascii="Arial" w:hAnsi="Arial" w:cs="Arial"/>
          <w:bCs/>
          <w:lang w:val="mk-MK"/>
        </w:rPr>
        <w:t>reassessment</w:t>
      </w:r>
      <w:proofErr w:type="spellEnd"/>
      <w:r w:rsidRPr="000273B0">
        <w:rPr>
          <w:rFonts w:ascii="Arial" w:hAnsi="Arial" w:cs="Arial"/>
          <w:bCs/>
          <w:lang w:val="mk-MK"/>
        </w:rPr>
        <w:t xml:space="preserve"> </w:t>
      </w:r>
      <w:proofErr w:type="spellStart"/>
      <w:r w:rsidRPr="000273B0">
        <w:rPr>
          <w:rFonts w:ascii="Arial" w:hAnsi="Arial" w:cs="Arial"/>
          <w:bCs/>
          <w:lang w:val="mk-MK"/>
        </w:rPr>
        <w:t>of</w:t>
      </w:r>
      <w:proofErr w:type="spellEnd"/>
      <w:r w:rsidRPr="000273B0">
        <w:rPr>
          <w:rFonts w:ascii="Arial" w:hAnsi="Arial" w:cs="Arial"/>
          <w:bCs/>
          <w:lang w:val="mk-MK"/>
        </w:rPr>
        <w:t xml:space="preserve"> </w:t>
      </w:r>
      <w:proofErr w:type="spellStart"/>
      <w:r w:rsidRPr="000273B0">
        <w:rPr>
          <w:rFonts w:ascii="Arial" w:hAnsi="Arial" w:cs="Arial"/>
          <w:bCs/>
          <w:lang w:val="mk-MK"/>
        </w:rPr>
        <w:t>the</w:t>
      </w:r>
      <w:proofErr w:type="spellEnd"/>
      <w:r w:rsidRPr="000273B0">
        <w:rPr>
          <w:rFonts w:ascii="Arial" w:hAnsi="Arial" w:cs="Arial"/>
          <w:bCs/>
          <w:lang w:val="mk-MK"/>
        </w:rPr>
        <w:t xml:space="preserve"> </w:t>
      </w:r>
      <w:proofErr w:type="spellStart"/>
      <w:r w:rsidRPr="000273B0">
        <w:rPr>
          <w:rFonts w:ascii="Arial" w:hAnsi="Arial" w:cs="Arial"/>
          <w:bCs/>
          <w:lang w:val="mk-MK"/>
        </w:rPr>
        <w:t>adequacy</w:t>
      </w:r>
      <w:proofErr w:type="spellEnd"/>
      <w:r w:rsidRPr="000273B0">
        <w:rPr>
          <w:rFonts w:ascii="Arial" w:hAnsi="Arial" w:cs="Arial"/>
          <w:bCs/>
          <w:lang w:val="mk-MK"/>
        </w:rPr>
        <w:t xml:space="preserve"> </w:t>
      </w:r>
      <w:proofErr w:type="spellStart"/>
      <w:r w:rsidRPr="000273B0">
        <w:rPr>
          <w:rFonts w:ascii="Arial" w:hAnsi="Arial" w:cs="Arial"/>
          <w:bCs/>
          <w:lang w:val="mk-MK"/>
        </w:rPr>
        <w:t>of</w:t>
      </w:r>
      <w:proofErr w:type="spellEnd"/>
      <w:r w:rsidRPr="000273B0">
        <w:rPr>
          <w:rFonts w:ascii="Arial" w:hAnsi="Arial" w:cs="Arial"/>
          <w:bCs/>
          <w:lang w:val="mk-MK"/>
        </w:rPr>
        <w:t xml:space="preserve"> </w:t>
      </w:r>
      <w:proofErr w:type="spellStart"/>
      <w:r w:rsidRPr="000273B0">
        <w:rPr>
          <w:rFonts w:ascii="Arial" w:hAnsi="Arial" w:cs="Arial"/>
          <w:bCs/>
          <w:lang w:val="mk-MK"/>
        </w:rPr>
        <w:t>fair</w:t>
      </w:r>
      <w:proofErr w:type="spellEnd"/>
      <w:r w:rsidRPr="000273B0">
        <w:rPr>
          <w:rFonts w:ascii="Arial" w:hAnsi="Arial" w:cs="Arial"/>
          <w:bCs/>
          <w:lang w:val="mk-MK"/>
        </w:rPr>
        <w:t xml:space="preserve"> </w:t>
      </w:r>
      <w:proofErr w:type="spellStart"/>
      <w:r w:rsidRPr="000273B0">
        <w:rPr>
          <w:rFonts w:ascii="Arial" w:hAnsi="Arial" w:cs="Arial"/>
          <w:bCs/>
          <w:lang w:val="mk-MK"/>
        </w:rPr>
        <w:t>value</w:t>
      </w:r>
      <w:proofErr w:type="spellEnd"/>
      <w:r w:rsidRPr="000273B0">
        <w:rPr>
          <w:rFonts w:ascii="Arial" w:hAnsi="Arial" w:cs="Arial"/>
          <w:bCs/>
          <w:lang w:val="mk-MK"/>
        </w:rPr>
        <w:t xml:space="preserve"> </w:t>
      </w:r>
      <w:proofErr w:type="spellStart"/>
      <w:r w:rsidRPr="000273B0">
        <w:rPr>
          <w:rFonts w:ascii="Arial" w:hAnsi="Arial" w:cs="Arial"/>
          <w:bCs/>
          <w:lang w:val="mk-MK"/>
        </w:rPr>
        <w:t>and</w:t>
      </w:r>
      <w:proofErr w:type="spellEnd"/>
      <w:r w:rsidRPr="000273B0">
        <w:rPr>
          <w:rFonts w:ascii="Arial" w:hAnsi="Arial" w:cs="Arial"/>
          <w:bCs/>
          <w:lang w:val="mk-MK"/>
        </w:rPr>
        <w:t xml:space="preserve"> </w:t>
      </w:r>
      <w:proofErr w:type="spellStart"/>
      <w:r w:rsidRPr="000273B0">
        <w:rPr>
          <w:rFonts w:ascii="Arial" w:hAnsi="Arial" w:cs="Arial"/>
          <w:bCs/>
          <w:lang w:val="mk-MK"/>
        </w:rPr>
        <w:t>assessment</w:t>
      </w:r>
      <w:proofErr w:type="spellEnd"/>
      <w:r w:rsidRPr="000273B0">
        <w:rPr>
          <w:rFonts w:ascii="Arial" w:hAnsi="Arial" w:cs="Arial"/>
          <w:bCs/>
          <w:lang w:val="mk-MK"/>
        </w:rPr>
        <w:t xml:space="preserve"> </w:t>
      </w:r>
      <w:proofErr w:type="spellStart"/>
      <w:r w:rsidRPr="000273B0">
        <w:rPr>
          <w:rFonts w:ascii="Arial" w:hAnsi="Arial" w:cs="Arial"/>
          <w:bCs/>
          <w:lang w:val="mk-MK"/>
        </w:rPr>
        <w:t>of</w:t>
      </w:r>
      <w:proofErr w:type="spellEnd"/>
      <w:r w:rsidRPr="000273B0">
        <w:rPr>
          <w:rFonts w:ascii="Arial" w:hAnsi="Arial" w:cs="Arial"/>
          <w:bCs/>
          <w:lang w:val="mk-MK"/>
        </w:rPr>
        <w:t xml:space="preserve"> </w:t>
      </w:r>
      <w:proofErr w:type="spellStart"/>
      <w:r w:rsidRPr="000273B0">
        <w:rPr>
          <w:rFonts w:ascii="Arial" w:hAnsi="Arial" w:cs="Arial"/>
          <w:bCs/>
          <w:lang w:val="mk-MK"/>
        </w:rPr>
        <w:t>possible</w:t>
      </w:r>
      <w:proofErr w:type="spellEnd"/>
      <w:r w:rsidRPr="000273B0">
        <w:rPr>
          <w:rFonts w:ascii="Arial" w:hAnsi="Arial" w:cs="Arial"/>
          <w:bCs/>
          <w:lang w:val="mk-MK"/>
        </w:rPr>
        <w:t xml:space="preserve"> </w:t>
      </w:r>
      <w:proofErr w:type="spellStart"/>
      <w:r w:rsidRPr="000273B0">
        <w:rPr>
          <w:rFonts w:ascii="Arial" w:hAnsi="Arial" w:cs="Arial"/>
          <w:bCs/>
          <w:lang w:val="mk-MK"/>
        </w:rPr>
        <w:t>impairment</w:t>
      </w:r>
      <w:proofErr w:type="spellEnd"/>
      <w:r w:rsidRPr="000273B0">
        <w:rPr>
          <w:rFonts w:ascii="Arial" w:hAnsi="Arial" w:cs="Arial"/>
          <w:bCs/>
          <w:lang w:val="mk-MK"/>
        </w:rPr>
        <w:t xml:space="preserve"> </w:t>
      </w:r>
      <w:proofErr w:type="spellStart"/>
      <w:r w:rsidRPr="000273B0">
        <w:rPr>
          <w:rFonts w:ascii="Arial" w:hAnsi="Arial" w:cs="Arial"/>
          <w:bCs/>
          <w:lang w:val="mk-MK"/>
        </w:rPr>
        <w:t>of</w:t>
      </w:r>
      <w:proofErr w:type="spellEnd"/>
      <w:r w:rsidRPr="000273B0">
        <w:rPr>
          <w:rFonts w:ascii="Arial" w:hAnsi="Arial" w:cs="Arial"/>
          <w:bCs/>
          <w:lang w:val="mk-MK"/>
        </w:rPr>
        <w:t xml:space="preserve"> </w:t>
      </w:r>
      <w:proofErr w:type="spellStart"/>
      <w:r w:rsidRPr="000273B0">
        <w:rPr>
          <w:rFonts w:ascii="Arial" w:hAnsi="Arial" w:cs="Arial"/>
          <w:bCs/>
          <w:lang w:val="mk-MK"/>
        </w:rPr>
        <w:t>investments</w:t>
      </w:r>
      <w:proofErr w:type="spellEnd"/>
      <w:r w:rsidRPr="000273B0">
        <w:rPr>
          <w:rFonts w:ascii="Arial" w:hAnsi="Arial" w:cs="Arial"/>
          <w:bCs/>
          <w:lang w:val="mk-MK"/>
        </w:rPr>
        <w:t xml:space="preserve"> </w:t>
      </w:r>
      <w:proofErr w:type="spellStart"/>
      <w:r w:rsidRPr="000273B0">
        <w:rPr>
          <w:rFonts w:ascii="Arial" w:hAnsi="Arial" w:cs="Arial"/>
          <w:bCs/>
          <w:lang w:val="mk-MK"/>
        </w:rPr>
        <w:t>primarily</w:t>
      </w:r>
      <w:proofErr w:type="spellEnd"/>
      <w:r w:rsidRPr="000273B0">
        <w:rPr>
          <w:rFonts w:ascii="Arial" w:hAnsi="Arial" w:cs="Arial"/>
          <w:bCs/>
          <w:lang w:val="mk-MK"/>
        </w:rPr>
        <w:t xml:space="preserve"> </w:t>
      </w:r>
      <w:proofErr w:type="spellStart"/>
      <w:r w:rsidRPr="000273B0">
        <w:rPr>
          <w:rFonts w:ascii="Arial" w:hAnsi="Arial" w:cs="Arial"/>
          <w:bCs/>
          <w:lang w:val="mk-MK"/>
        </w:rPr>
        <w:t>because</w:t>
      </w:r>
      <w:proofErr w:type="spellEnd"/>
      <w:r w:rsidRPr="000273B0">
        <w:rPr>
          <w:rFonts w:ascii="Arial" w:hAnsi="Arial" w:cs="Arial"/>
          <w:bCs/>
          <w:lang w:val="mk-MK"/>
        </w:rPr>
        <w:t xml:space="preserve"> </w:t>
      </w:r>
      <w:proofErr w:type="spellStart"/>
      <w:r w:rsidRPr="000273B0">
        <w:rPr>
          <w:rFonts w:ascii="Arial" w:hAnsi="Arial" w:cs="Arial"/>
          <w:bCs/>
          <w:lang w:val="mk-MK"/>
        </w:rPr>
        <w:t>to</w:t>
      </w:r>
      <w:proofErr w:type="spellEnd"/>
      <w:r w:rsidRPr="000273B0">
        <w:rPr>
          <w:rFonts w:ascii="Arial" w:hAnsi="Arial" w:cs="Arial"/>
          <w:bCs/>
          <w:lang w:val="mk-MK"/>
        </w:rPr>
        <w:t xml:space="preserve"> </w:t>
      </w:r>
      <w:proofErr w:type="spellStart"/>
      <w:r w:rsidRPr="000273B0">
        <w:rPr>
          <w:rFonts w:ascii="Arial" w:hAnsi="Arial" w:cs="Arial"/>
          <w:bCs/>
          <w:lang w:val="mk-MK"/>
        </w:rPr>
        <w:t>their</w:t>
      </w:r>
      <w:proofErr w:type="spellEnd"/>
      <w:r w:rsidRPr="000273B0">
        <w:rPr>
          <w:rFonts w:ascii="Arial" w:hAnsi="Arial" w:cs="Arial"/>
          <w:bCs/>
          <w:lang w:val="mk-MK"/>
        </w:rPr>
        <w:t xml:space="preserve"> </w:t>
      </w:r>
      <w:proofErr w:type="spellStart"/>
      <w:r w:rsidRPr="000273B0">
        <w:rPr>
          <w:rFonts w:ascii="Arial" w:hAnsi="Arial" w:cs="Arial"/>
          <w:bCs/>
          <w:lang w:val="mk-MK"/>
        </w:rPr>
        <w:t>short</w:t>
      </w:r>
      <w:proofErr w:type="spellEnd"/>
      <w:r w:rsidRPr="000273B0">
        <w:rPr>
          <w:rFonts w:ascii="Arial" w:hAnsi="Arial" w:cs="Arial"/>
          <w:bCs/>
          <w:lang w:val="mk-MK"/>
        </w:rPr>
        <w:t xml:space="preserve"> </w:t>
      </w:r>
      <w:proofErr w:type="spellStart"/>
      <w:r w:rsidRPr="000273B0">
        <w:rPr>
          <w:rFonts w:ascii="Arial" w:hAnsi="Arial" w:cs="Arial"/>
          <w:bCs/>
          <w:lang w:val="mk-MK"/>
        </w:rPr>
        <w:t>maturity</w:t>
      </w:r>
      <w:proofErr w:type="spellEnd"/>
      <w:r w:rsidRPr="000273B0">
        <w:rPr>
          <w:rFonts w:ascii="Arial" w:hAnsi="Arial" w:cs="Arial"/>
          <w:bCs/>
          <w:lang w:val="mk-MK"/>
        </w:rPr>
        <w:t xml:space="preserve"> </w:t>
      </w:r>
      <w:proofErr w:type="spellStart"/>
      <w:r w:rsidRPr="000273B0">
        <w:rPr>
          <w:rFonts w:ascii="Arial" w:hAnsi="Arial" w:cs="Arial"/>
          <w:bCs/>
          <w:lang w:val="mk-MK"/>
        </w:rPr>
        <w:t>date</w:t>
      </w:r>
      <w:proofErr w:type="spellEnd"/>
      <w:r w:rsidRPr="000273B0">
        <w:rPr>
          <w:rFonts w:ascii="Arial" w:hAnsi="Arial" w:cs="Arial"/>
          <w:bCs/>
          <w:lang w:val="mk-MK"/>
        </w:rPr>
        <w:t xml:space="preserve"> </w:t>
      </w:r>
      <w:proofErr w:type="spellStart"/>
      <w:r w:rsidRPr="000273B0">
        <w:rPr>
          <w:rFonts w:ascii="Arial" w:hAnsi="Arial" w:cs="Arial"/>
          <w:bCs/>
          <w:lang w:val="mk-MK"/>
        </w:rPr>
        <w:t>as</w:t>
      </w:r>
      <w:proofErr w:type="spellEnd"/>
      <w:r w:rsidRPr="000273B0">
        <w:rPr>
          <w:rFonts w:ascii="Arial" w:hAnsi="Arial" w:cs="Arial"/>
          <w:bCs/>
          <w:lang w:val="mk-MK"/>
        </w:rPr>
        <w:t xml:space="preserve"> a </w:t>
      </w:r>
      <w:proofErr w:type="spellStart"/>
      <w:r w:rsidRPr="000273B0">
        <w:rPr>
          <w:rFonts w:ascii="Arial" w:hAnsi="Arial" w:cs="Arial"/>
          <w:bCs/>
          <w:lang w:val="mk-MK"/>
        </w:rPr>
        <w:t>results</w:t>
      </w:r>
      <w:proofErr w:type="spellEnd"/>
      <w:r w:rsidRPr="000273B0">
        <w:rPr>
          <w:rFonts w:ascii="Arial" w:hAnsi="Arial" w:cs="Arial"/>
          <w:bCs/>
          <w:lang w:val="mk-MK"/>
        </w:rPr>
        <w:t xml:space="preserve"> </w:t>
      </w:r>
      <w:proofErr w:type="spellStart"/>
      <w:r w:rsidRPr="000273B0">
        <w:rPr>
          <w:rFonts w:ascii="Arial" w:hAnsi="Arial" w:cs="Arial"/>
          <w:bCs/>
          <w:lang w:val="mk-MK"/>
        </w:rPr>
        <w:t>of</w:t>
      </w:r>
      <w:proofErr w:type="spellEnd"/>
      <w:r w:rsidRPr="000273B0">
        <w:rPr>
          <w:rFonts w:ascii="Arial" w:hAnsi="Arial" w:cs="Arial"/>
          <w:bCs/>
          <w:lang w:val="mk-MK"/>
        </w:rPr>
        <w:t xml:space="preserve"> </w:t>
      </w:r>
      <w:proofErr w:type="spellStart"/>
      <w:r w:rsidRPr="000273B0">
        <w:rPr>
          <w:rFonts w:ascii="Arial" w:hAnsi="Arial" w:cs="Arial"/>
          <w:bCs/>
          <w:lang w:val="mk-MK"/>
        </w:rPr>
        <w:t>which</w:t>
      </w:r>
      <w:proofErr w:type="spellEnd"/>
      <w:r w:rsidRPr="000273B0">
        <w:rPr>
          <w:rFonts w:ascii="Arial" w:hAnsi="Arial" w:cs="Arial"/>
          <w:bCs/>
          <w:lang w:val="mk-MK"/>
        </w:rPr>
        <w:t xml:space="preserve"> </w:t>
      </w:r>
      <w:proofErr w:type="spellStart"/>
      <w:r w:rsidRPr="000273B0">
        <w:rPr>
          <w:rFonts w:ascii="Arial" w:hAnsi="Arial" w:cs="Arial"/>
          <w:bCs/>
          <w:lang w:val="mk-MK"/>
        </w:rPr>
        <w:t>no</w:t>
      </w:r>
      <w:proofErr w:type="spellEnd"/>
      <w:r w:rsidRPr="000273B0">
        <w:rPr>
          <w:rFonts w:ascii="Arial" w:hAnsi="Arial" w:cs="Arial"/>
          <w:bCs/>
          <w:lang w:val="mk-MK"/>
        </w:rPr>
        <w:t xml:space="preserve"> </w:t>
      </w:r>
      <w:proofErr w:type="spellStart"/>
      <w:r w:rsidRPr="000273B0">
        <w:rPr>
          <w:rFonts w:ascii="Arial" w:hAnsi="Arial" w:cs="Arial"/>
          <w:bCs/>
          <w:lang w:val="mk-MK"/>
        </w:rPr>
        <w:t>impairment</w:t>
      </w:r>
      <w:proofErr w:type="spellEnd"/>
      <w:r w:rsidRPr="000273B0">
        <w:rPr>
          <w:rFonts w:ascii="Arial" w:hAnsi="Arial" w:cs="Arial"/>
          <w:bCs/>
          <w:lang w:val="mk-MK"/>
        </w:rPr>
        <w:t xml:space="preserve"> </w:t>
      </w:r>
      <w:proofErr w:type="spellStart"/>
      <w:r w:rsidRPr="000273B0">
        <w:rPr>
          <w:rFonts w:ascii="Arial" w:hAnsi="Arial" w:cs="Arial"/>
          <w:bCs/>
          <w:lang w:val="mk-MK"/>
        </w:rPr>
        <w:t>losses</w:t>
      </w:r>
      <w:proofErr w:type="spellEnd"/>
      <w:r w:rsidRPr="000273B0">
        <w:rPr>
          <w:rFonts w:ascii="Arial" w:hAnsi="Arial" w:cs="Arial"/>
          <w:bCs/>
          <w:lang w:val="mk-MK"/>
        </w:rPr>
        <w:t xml:space="preserve"> </w:t>
      </w:r>
      <w:proofErr w:type="spellStart"/>
      <w:r w:rsidRPr="000273B0">
        <w:rPr>
          <w:rFonts w:ascii="Arial" w:hAnsi="Arial" w:cs="Arial"/>
          <w:bCs/>
          <w:lang w:val="mk-MK"/>
        </w:rPr>
        <w:t>were</w:t>
      </w:r>
      <w:proofErr w:type="spellEnd"/>
      <w:r w:rsidRPr="000273B0">
        <w:rPr>
          <w:rFonts w:ascii="Arial" w:hAnsi="Arial" w:cs="Arial"/>
          <w:bCs/>
          <w:lang w:val="mk-MK"/>
        </w:rPr>
        <w:t xml:space="preserve"> </w:t>
      </w:r>
      <w:proofErr w:type="spellStart"/>
      <w:r w:rsidRPr="000273B0">
        <w:rPr>
          <w:rFonts w:ascii="Arial" w:hAnsi="Arial" w:cs="Arial"/>
          <w:bCs/>
          <w:lang w:val="mk-MK"/>
        </w:rPr>
        <w:t>recorded</w:t>
      </w:r>
      <w:proofErr w:type="spellEnd"/>
      <w:r w:rsidRPr="000273B0">
        <w:rPr>
          <w:rFonts w:ascii="Arial" w:hAnsi="Arial" w:cs="Arial"/>
          <w:bCs/>
          <w:lang w:val="mk-MK"/>
        </w:rPr>
        <w:t xml:space="preserve"> </w:t>
      </w:r>
      <w:proofErr w:type="spellStart"/>
      <w:r w:rsidRPr="000273B0">
        <w:rPr>
          <w:rFonts w:ascii="Arial" w:hAnsi="Arial" w:cs="Arial"/>
          <w:bCs/>
          <w:lang w:val="mk-MK"/>
        </w:rPr>
        <w:t>of</w:t>
      </w:r>
      <w:proofErr w:type="spellEnd"/>
      <w:r w:rsidRPr="000273B0">
        <w:rPr>
          <w:rFonts w:ascii="Arial" w:hAnsi="Arial" w:cs="Arial"/>
          <w:bCs/>
          <w:lang w:val="mk-MK"/>
        </w:rPr>
        <w:t xml:space="preserve"> </w:t>
      </w:r>
      <w:proofErr w:type="spellStart"/>
      <w:r w:rsidRPr="000273B0">
        <w:rPr>
          <w:rFonts w:ascii="Arial" w:hAnsi="Arial" w:cs="Arial"/>
          <w:bCs/>
          <w:lang w:val="mk-MK"/>
        </w:rPr>
        <w:t>the</w:t>
      </w:r>
      <w:proofErr w:type="spellEnd"/>
      <w:r w:rsidRPr="000273B0">
        <w:rPr>
          <w:rFonts w:ascii="Arial" w:hAnsi="Arial" w:cs="Arial"/>
          <w:bCs/>
          <w:lang w:val="mk-MK"/>
        </w:rPr>
        <w:t xml:space="preserve"> </w:t>
      </w:r>
      <w:proofErr w:type="spellStart"/>
      <w:r w:rsidRPr="000273B0">
        <w:rPr>
          <w:rFonts w:ascii="Arial" w:hAnsi="Arial" w:cs="Arial"/>
          <w:bCs/>
          <w:lang w:val="mk-MK"/>
        </w:rPr>
        <w:t>financial</w:t>
      </w:r>
      <w:proofErr w:type="spellEnd"/>
      <w:r w:rsidRPr="000273B0">
        <w:rPr>
          <w:rFonts w:ascii="Arial" w:hAnsi="Arial" w:cs="Arial"/>
          <w:bCs/>
          <w:lang w:val="mk-MK"/>
        </w:rPr>
        <w:t xml:space="preserve"> </w:t>
      </w:r>
      <w:proofErr w:type="spellStart"/>
      <w:r w:rsidRPr="000273B0">
        <w:rPr>
          <w:rFonts w:ascii="Arial" w:hAnsi="Arial" w:cs="Arial"/>
          <w:bCs/>
          <w:lang w:val="mk-MK"/>
        </w:rPr>
        <w:t>assets</w:t>
      </w:r>
      <w:proofErr w:type="spellEnd"/>
      <w:r w:rsidRPr="000273B0">
        <w:rPr>
          <w:rFonts w:ascii="Arial" w:hAnsi="Arial" w:cs="Arial"/>
          <w:bCs/>
          <w:lang w:val="mk-MK"/>
        </w:rPr>
        <w:t xml:space="preserve"> </w:t>
      </w:r>
      <w:proofErr w:type="spellStart"/>
      <w:r w:rsidRPr="000273B0">
        <w:rPr>
          <w:rFonts w:ascii="Arial" w:hAnsi="Arial" w:cs="Arial"/>
          <w:bCs/>
          <w:lang w:val="mk-MK"/>
        </w:rPr>
        <w:t>as</w:t>
      </w:r>
      <w:proofErr w:type="spellEnd"/>
      <w:r w:rsidRPr="000273B0">
        <w:rPr>
          <w:rFonts w:ascii="Arial" w:hAnsi="Arial" w:cs="Arial"/>
          <w:bCs/>
          <w:lang w:val="mk-MK"/>
        </w:rPr>
        <w:t xml:space="preserve"> a </w:t>
      </w:r>
      <w:proofErr w:type="spellStart"/>
      <w:r w:rsidRPr="000273B0">
        <w:rPr>
          <w:rFonts w:ascii="Arial" w:hAnsi="Arial" w:cs="Arial"/>
          <w:bCs/>
          <w:lang w:val="mk-MK"/>
        </w:rPr>
        <w:t>result</w:t>
      </w:r>
      <w:proofErr w:type="spellEnd"/>
      <w:r w:rsidRPr="000273B0">
        <w:rPr>
          <w:rFonts w:ascii="Arial" w:hAnsi="Arial" w:cs="Arial"/>
          <w:bCs/>
          <w:lang w:val="mk-MK"/>
        </w:rPr>
        <w:t xml:space="preserve"> </w:t>
      </w:r>
      <w:proofErr w:type="spellStart"/>
      <w:r w:rsidRPr="000273B0">
        <w:rPr>
          <w:rFonts w:ascii="Arial" w:hAnsi="Arial" w:cs="Arial"/>
          <w:bCs/>
          <w:lang w:val="mk-MK"/>
        </w:rPr>
        <w:t>of</w:t>
      </w:r>
      <w:proofErr w:type="spellEnd"/>
      <w:r w:rsidRPr="000273B0">
        <w:rPr>
          <w:rFonts w:ascii="Arial" w:hAnsi="Arial" w:cs="Arial"/>
          <w:bCs/>
          <w:lang w:val="mk-MK"/>
        </w:rPr>
        <w:t xml:space="preserve"> </w:t>
      </w:r>
      <w:proofErr w:type="spellStart"/>
      <w:r w:rsidRPr="000273B0">
        <w:rPr>
          <w:rFonts w:ascii="Arial" w:hAnsi="Arial" w:cs="Arial"/>
          <w:bCs/>
          <w:lang w:val="mk-MK"/>
        </w:rPr>
        <w:t>the</w:t>
      </w:r>
      <w:proofErr w:type="spellEnd"/>
      <w:r w:rsidRPr="000273B0">
        <w:rPr>
          <w:rFonts w:ascii="Arial" w:hAnsi="Arial" w:cs="Arial"/>
          <w:bCs/>
          <w:lang w:val="mk-MK"/>
        </w:rPr>
        <w:t xml:space="preserve"> COVID-19 </w:t>
      </w:r>
      <w:proofErr w:type="spellStart"/>
      <w:r w:rsidRPr="000273B0">
        <w:rPr>
          <w:rFonts w:ascii="Arial" w:hAnsi="Arial" w:cs="Arial"/>
          <w:bCs/>
          <w:lang w:val="mk-MK"/>
        </w:rPr>
        <w:t>pandemic</w:t>
      </w:r>
      <w:proofErr w:type="spellEnd"/>
      <w:r w:rsidRPr="000273B0">
        <w:rPr>
          <w:rFonts w:ascii="Arial" w:hAnsi="Arial" w:cs="Arial"/>
          <w:bCs/>
          <w:lang w:val="mk-MK"/>
        </w:rPr>
        <w:t>.</w:t>
      </w:r>
    </w:p>
    <w:p w14:paraId="64938F8D" w14:textId="77777777" w:rsidR="00820DDF" w:rsidRPr="00CE3053" w:rsidRDefault="00820DDF" w:rsidP="00815E65">
      <w:pPr>
        <w:spacing w:after="284" w:line="280" w:lineRule="atLeast"/>
        <w:jc w:val="both"/>
        <w:rPr>
          <w:rFonts w:ascii="Arial" w:hAnsi="Arial" w:cs="Arial"/>
          <w:bCs/>
          <w:lang w:val="mk-MK"/>
        </w:rPr>
      </w:pPr>
    </w:p>
    <w:p w14:paraId="50B216B9" w14:textId="77777777" w:rsidR="00815E65" w:rsidRPr="00CE3053" w:rsidRDefault="00815E65" w:rsidP="00815E65">
      <w:pPr>
        <w:spacing w:after="284" w:line="280" w:lineRule="atLeast"/>
        <w:jc w:val="both"/>
        <w:rPr>
          <w:rFonts w:ascii="Arial" w:hAnsi="Arial" w:cs="Arial"/>
          <w:bCs/>
          <w:lang w:val="mk-MK"/>
        </w:rPr>
      </w:pPr>
    </w:p>
    <w:p w14:paraId="49E7923A" w14:textId="77777777" w:rsidR="00815E65" w:rsidRPr="00CE3053" w:rsidRDefault="00815E65" w:rsidP="00815E65">
      <w:pPr>
        <w:spacing w:after="284" w:line="280" w:lineRule="atLeast"/>
        <w:jc w:val="both"/>
        <w:rPr>
          <w:rFonts w:ascii="Arial" w:hAnsi="Arial" w:cs="Arial"/>
          <w:bCs/>
          <w:lang w:val="mk-MK"/>
        </w:rPr>
      </w:pPr>
    </w:p>
    <w:p w14:paraId="53E18B9E" w14:textId="77777777" w:rsidR="00BF38DF" w:rsidRPr="00CE3053" w:rsidRDefault="00BF38DF" w:rsidP="00815E65">
      <w:pPr>
        <w:pStyle w:val="BodyText"/>
        <w:jc w:val="both"/>
        <w:rPr>
          <w:rFonts w:asciiTheme="majorHAnsi" w:hAnsiTheme="majorHAnsi" w:cstheme="majorHAnsi"/>
          <w:lang w:val="mk-MK"/>
        </w:rPr>
        <w:sectPr w:rsidR="00BF38DF" w:rsidRPr="00CE3053" w:rsidSect="00BF38DF">
          <w:headerReference w:type="even" r:id="rId30"/>
          <w:headerReference w:type="default" r:id="rId31"/>
          <w:headerReference w:type="first" r:id="rId32"/>
          <w:pgSz w:w="11906" w:h="16838" w:code="9"/>
          <w:pgMar w:top="1987" w:right="734" w:bottom="1138" w:left="2606" w:header="706" w:footer="562" w:gutter="0"/>
          <w:cols w:space="708"/>
          <w:titlePg/>
          <w:docGrid w:linePitch="360"/>
        </w:sectPr>
      </w:pPr>
    </w:p>
    <w:p w14:paraId="0EB6105B" w14:textId="0D6FDAFE" w:rsidR="00F93B95" w:rsidRPr="00CE3053" w:rsidRDefault="008113BA" w:rsidP="0061511C">
      <w:pPr>
        <w:pStyle w:val="NumberedHeading1"/>
        <w:numPr>
          <w:ilvl w:val="0"/>
          <w:numId w:val="22"/>
        </w:numPr>
        <w:spacing w:before="0" w:after="0" w:line="240" w:lineRule="auto"/>
        <w:ind w:left="850" w:hanging="850"/>
        <w:rPr>
          <w:rFonts w:ascii="Arial" w:hAnsi="Arial" w:cs="Arial"/>
          <w:b/>
          <w:color w:val="4F2D7F"/>
          <w:sz w:val="18"/>
          <w:lang w:val="mk-MK"/>
        </w:rPr>
      </w:pPr>
      <w:bookmarkStart w:id="3" w:name="_Toc506680707"/>
      <w:bookmarkStart w:id="4" w:name="_Toc1405040"/>
      <w:r>
        <w:rPr>
          <w:rFonts w:ascii="Arial" w:hAnsi="Arial" w:cs="Arial"/>
          <w:b/>
          <w:color w:val="4F2D7F"/>
          <w:sz w:val="18"/>
          <w:lang w:val="en-US"/>
        </w:rPr>
        <w:lastRenderedPageBreak/>
        <w:t>Financial instruments by categories</w:t>
      </w:r>
    </w:p>
    <w:p w14:paraId="799E325F" w14:textId="50EC98F8" w:rsidR="00F93B95" w:rsidRPr="00CE3053" w:rsidRDefault="008113BA" w:rsidP="00F93B95">
      <w:pPr>
        <w:pStyle w:val="BodyText"/>
        <w:rPr>
          <w:rFonts w:ascii="Arial" w:hAnsi="Arial" w:cs="Arial"/>
          <w:lang w:val="mk-MK"/>
        </w:rPr>
      </w:pPr>
      <w:proofErr w:type="spellStart"/>
      <w:r w:rsidRPr="008113BA">
        <w:rPr>
          <w:rFonts w:ascii="Arial" w:hAnsi="Arial" w:cs="Arial"/>
          <w:lang w:val="mk-MK"/>
        </w:rPr>
        <w:t>The</w:t>
      </w:r>
      <w:proofErr w:type="spellEnd"/>
      <w:r w:rsidRPr="008113BA">
        <w:rPr>
          <w:rFonts w:ascii="Arial" w:hAnsi="Arial" w:cs="Arial"/>
          <w:lang w:val="mk-MK"/>
        </w:rPr>
        <w:t xml:space="preserve"> </w:t>
      </w:r>
      <w:proofErr w:type="spellStart"/>
      <w:r w:rsidRPr="008113BA">
        <w:rPr>
          <w:rFonts w:ascii="Arial" w:hAnsi="Arial" w:cs="Arial"/>
          <w:lang w:val="mk-MK"/>
        </w:rPr>
        <w:t>carrying</w:t>
      </w:r>
      <w:proofErr w:type="spellEnd"/>
      <w:r w:rsidRPr="008113BA">
        <w:rPr>
          <w:rFonts w:ascii="Arial" w:hAnsi="Arial" w:cs="Arial"/>
          <w:lang w:val="mk-MK"/>
        </w:rPr>
        <w:t xml:space="preserve"> </w:t>
      </w:r>
      <w:proofErr w:type="spellStart"/>
      <w:r w:rsidRPr="008113BA">
        <w:rPr>
          <w:rFonts w:ascii="Arial" w:hAnsi="Arial" w:cs="Arial"/>
          <w:lang w:val="mk-MK"/>
        </w:rPr>
        <w:t>amounts</w:t>
      </w:r>
      <w:proofErr w:type="spellEnd"/>
      <w:r w:rsidRPr="008113BA">
        <w:rPr>
          <w:rFonts w:ascii="Arial" w:hAnsi="Arial" w:cs="Arial"/>
          <w:lang w:val="mk-MK"/>
        </w:rPr>
        <w:t xml:space="preserve"> </w:t>
      </w:r>
      <w:proofErr w:type="spellStart"/>
      <w:r w:rsidRPr="008113BA">
        <w:rPr>
          <w:rFonts w:ascii="Arial" w:hAnsi="Arial" w:cs="Arial"/>
          <w:lang w:val="mk-MK"/>
        </w:rPr>
        <w:t>of</w:t>
      </w:r>
      <w:proofErr w:type="spellEnd"/>
      <w:r w:rsidRPr="008113BA">
        <w:rPr>
          <w:rFonts w:ascii="Arial" w:hAnsi="Arial" w:cs="Arial"/>
          <w:lang w:val="mk-MK"/>
        </w:rPr>
        <w:t xml:space="preserve"> </w:t>
      </w:r>
      <w:proofErr w:type="spellStart"/>
      <w:r w:rsidRPr="008113BA">
        <w:rPr>
          <w:rFonts w:ascii="Arial" w:hAnsi="Arial" w:cs="Arial"/>
          <w:lang w:val="mk-MK"/>
        </w:rPr>
        <w:t>the</w:t>
      </w:r>
      <w:proofErr w:type="spellEnd"/>
      <w:r w:rsidRPr="008113BA">
        <w:rPr>
          <w:rFonts w:ascii="Arial" w:hAnsi="Arial" w:cs="Arial"/>
          <w:lang w:val="mk-MK"/>
        </w:rPr>
        <w:t xml:space="preserve"> </w:t>
      </w:r>
      <w:proofErr w:type="spellStart"/>
      <w:r w:rsidRPr="008113BA">
        <w:rPr>
          <w:rFonts w:ascii="Arial" w:hAnsi="Arial" w:cs="Arial"/>
          <w:lang w:val="mk-MK"/>
        </w:rPr>
        <w:t>Fund’s</w:t>
      </w:r>
      <w:proofErr w:type="spellEnd"/>
      <w:r w:rsidRPr="008113BA">
        <w:rPr>
          <w:rFonts w:ascii="Arial" w:hAnsi="Arial" w:cs="Arial"/>
          <w:lang w:val="mk-MK"/>
        </w:rPr>
        <w:t xml:space="preserve"> </w:t>
      </w:r>
      <w:proofErr w:type="spellStart"/>
      <w:r w:rsidRPr="008113BA">
        <w:rPr>
          <w:rFonts w:ascii="Arial" w:hAnsi="Arial" w:cs="Arial"/>
          <w:lang w:val="mk-MK"/>
        </w:rPr>
        <w:t>financial</w:t>
      </w:r>
      <w:proofErr w:type="spellEnd"/>
      <w:r w:rsidRPr="008113BA">
        <w:rPr>
          <w:rFonts w:ascii="Arial" w:hAnsi="Arial" w:cs="Arial"/>
          <w:lang w:val="mk-MK"/>
        </w:rPr>
        <w:t xml:space="preserve"> </w:t>
      </w:r>
      <w:proofErr w:type="spellStart"/>
      <w:r w:rsidRPr="008113BA">
        <w:rPr>
          <w:rFonts w:ascii="Arial" w:hAnsi="Arial" w:cs="Arial"/>
          <w:lang w:val="mk-MK"/>
        </w:rPr>
        <w:t>assets</w:t>
      </w:r>
      <w:proofErr w:type="spellEnd"/>
      <w:r w:rsidRPr="008113BA">
        <w:rPr>
          <w:rFonts w:ascii="Arial" w:hAnsi="Arial" w:cs="Arial"/>
          <w:lang w:val="mk-MK"/>
        </w:rPr>
        <w:t xml:space="preserve"> </w:t>
      </w:r>
      <w:proofErr w:type="spellStart"/>
      <w:r w:rsidRPr="008113BA">
        <w:rPr>
          <w:rFonts w:ascii="Arial" w:hAnsi="Arial" w:cs="Arial"/>
          <w:lang w:val="mk-MK"/>
        </w:rPr>
        <w:t>and</w:t>
      </w:r>
      <w:proofErr w:type="spellEnd"/>
      <w:r w:rsidRPr="008113BA">
        <w:rPr>
          <w:rFonts w:ascii="Arial" w:hAnsi="Arial" w:cs="Arial"/>
          <w:lang w:val="mk-MK"/>
        </w:rPr>
        <w:t xml:space="preserve"> </w:t>
      </w:r>
      <w:proofErr w:type="spellStart"/>
      <w:r w:rsidRPr="008113BA">
        <w:rPr>
          <w:rFonts w:ascii="Arial" w:hAnsi="Arial" w:cs="Arial"/>
          <w:lang w:val="mk-MK"/>
        </w:rPr>
        <w:t>liabilities</w:t>
      </w:r>
      <w:proofErr w:type="spellEnd"/>
      <w:r w:rsidRPr="008113BA">
        <w:rPr>
          <w:rFonts w:ascii="Arial" w:hAnsi="Arial" w:cs="Arial"/>
          <w:lang w:val="mk-MK"/>
        </w:rPr>
        <w:t xml:space="preserve"> </w:t>
      </w:r>
      <w:proofErr w:type="spellStart"/>
      <w:r w:rsidRPr="008113BA">
        <w:rPr>
          <w:rFonts w:ascii="Arial" w:hAnsi="Arial" w:cs="Arial"/>
          <w:lang w:val="mk-MK"/>
        </w:rPr>
        <w:t>recognised</w:t>
      </w:r>
      <w:proofErr w:type="spellEnd"/>
      <w:r w:rsidRPr="008113BA">
        <w:rPr>
          <w:rFonts w:ascii="Arial" w:hAnsi="Arial" w:cs="Arial"/>
          <w:lang w:val="mk-MK"/>
        </w:rPr>
        <w:t xml:space="preserve"> </w:t>
      </w:r>
      <w:proofErr w:type="spellStart"/>
      <w:r w:rsidRPr="008113BA">
        <w:rPr>
          <w:rFonts w:ascii="Arial" w:hAnsi="Arial" w:cs="Arial"/>
          <w:lang w:val="mk-MK"/>
        </w:rPr>
        <w:t>at</w:t>
      </w:r>
      <w:proofErr w:type="spellEnd"/>
      <w:r w:rsidRPr="008113BA">
        <w:rPr>
          <w:rFonts w:ascii="Arial" w:hAnsi="Arial" w:cs="Arial"/>
          <w:lang w:val="mk-MK"/>
        </w:rPr>
        <w:t xml:space="preserve"> </w:t>
      </w:r>
      <w:proofErr w:type="spellStart"/>
      <w:r w:rsidRPr="008113BA">
        <w:rPr>
          <w:rFonts w:ascii="Arial" w:hAnsi="Arial" w:cs="Arial"/>
          <w:lang w:val="mk-MK"/>
        </w:rPr>
        <w:t>the</w:t>
      </w:r>
      <w:proofErr w:type="spellEnd"/>
      <w:r w:rsidRPr="008113BA">
        <w:rPr>
          <w:rFonts w:ascii="Arial" w:hAnsi="Arial" w:cs="Arial"/>
          <w:lang w:val="mk-MK"/>
        </w:rPr>
        <w:t xml:space="preserve"> </w:t>
      </w:r>
      <w:proofErr w:type="spellStart"/>
      <w:r w:rsidRPr="008113BA">
        <w:rPr>
          <w:rFonts w:ascii="Arial" w:hAnsi="Arial" w:cs="Arial"/>
          <w:lang w:val="mk-MK"/>
        </w:rPr>
        <w:t>reporting</w:t>
      </w:r>
      <w:proofErr w:type="spellEnd"/>
      <w:r w:rsidRPr="008113BA">
        <w:rPr>
          <w:rFonts w:ascii="Arial" w:hAnsi="Arial" w:cs="Arial"/>
          <w:lang w:val="mk-MK"/>
        </w:rPr>
        <w:t xml:space="preserve"> </w:t>
      </w:r>
      <w:proofErr w:type="spellStart"/>
      <w:r w:rsidRPr="008113BA">
        <w:rPr>
          <w:rFonts w:ascii="Arial" w:hAnsi="Arial" w:cs="Arial"/>
          <w:lang w:val="mk-MK"/>
        </w:rPr>
        <w:t>date</w:t>
      </w:r>
      <w:proofErr w:type="spellEnd"/>
      <w:r w:rsidRPr="008113BA">
        <w:rPr>
          <w:rFonts w:ascii="Arial" w:hAnsi="Arial" w:cs="Arial"/>
          <w:lang w:val="mk-MK"/>
        </w:rPr>
        <w:t xml:space="preserve"> </w:t>
      </w:r>
      <w:proofErr w:type="spellStart"/>
      <w:r w:rsidRPr="008113BA">
        <w:rPr>
          <w:rFonts w:ascii="Arial" w:hAnsi="Arial" w:cs="Arial"/>
          <w:lang w:val="mk-MK"/>
        </w:rPr>
        <w:t>for</w:t>
      </w:r>
      <w:proofErr w:type="spellEnd"/>
      <w:r w:rsidRPr="008113BA">
        <w:rPr>
          <w:rFonts w:ascii="Arial" w:hAnsi="Arial" w:cs="Arial"/>
          <w:lang w:val="mk-MK"/>
        </w:rPr>
        <w:t xml:space="preserve"> </w:t>
      </w:r>
      <w:proofErr w:type="spellStart"/>
      <w:r w:rsidRPr="008113BA">
        <w:rPr>
          <w:rFonts w:ascii="Arial" w:hAnsi="Arial" w:cs="Arial"/>
          <w:lang w:val="mk-MK"/>
        </w:rPr>
        <w:t>the</w:t>
      </w:r>
      <w:proofErr w:type="spellEnd"/>
      <w:r w:rsidRPr="008113BA">
        <w:rPr>
          <w:rFonts w:ascii="Arial" w:hAnsi="Arial" w:cs="Arial"/>
          <w:lang w:val="mk-MK"/>
        </w:rPr>
        <w:t xml:space="preserve"> </w:t>
      </w:r>
      <w:proofErr w:type="spellStart"/>
      <w:r w:rsidRPr="008113BA">
        <w:rPr>
          <w:rFonts w:ascii="Arial" w:hAnsi="Arial" w:cs="Arial"/>
          <w:lang w:val="mk-MK"/>
        </w:rPr>
        <w:t>disclosed</w:t>
      </w:r>
      <w:proofErr w:type="spellEnd"/>
      <w:r w:rsidRPr="008113BA">
        <w:rPr>
          <w:rFonts w:ascii="Arial" w:hAnsi="Arial" w:cs="Arial"/>
          <w:lang w:val="mk-MK"/>
        </w:rPr>
        <w:t xml:space="preserve"> </w:t>
      </w:r>
      <w:proofErr w:type="spellStart"/>
      <w:r w:rsidRPr="008113BA">
        <w:rPr>
          <w:rFonts w:ascii="Arial" w:hAnsi="Arial" w:cs="Arial"/>
          <w:lang w:val="mk-MK"/>
        </w:rPr>
        <w:t>periods</w:t>
      </w:r>
      <w:proofErr w:type="spellEnd"/>
      <w:r w:rsidRPr="008113BA">
        <w:rPr>
          <w:rFonts w:ascii="Arial" w:hAnsi="Arial" w:cs="Arial"/>
          <w:lang w:val="mk-MK"/>
        </w:rPr>
        <w:t xml:space="preserve"> </w:t>
      </w:r>
      <w:proofErr w:type="spellStart"/>
      <w:r w:rsidRPr="008113BA">
        <w:rPr>
          <w:rFonts w:ascii="Arial" w:hAnsi="Arial" w:cs="Arial"/>
          <w:lang w:val="mk-MK"/>
        </w:rPr>
        <w:t>may</w:t>
      </w:r>
      <w:proofErr w:type="spellEnd"/>
      <w:r w:rsidRPr="008113BA">
        <w:rPr>
          <w:rFonts w:ascii="Arial" w:hAnsi="Arial" w:cs="Arial"/>
          <w:lang w:val="mk-MK"/>
        </w:rPr>
        <w:t xml:space="preserve"> </w:t>
      </w:r>
      <w:proofErr w:type="spellStart"/>
      <w:r w:rsidRPr="008113BA">
        <w:rPr>
          <w:rFonts w:ascii="Arial" w:hAnsi="Arial" w:cs="Arial"/>
          <w:lang w:val="mk-MK"/>
        </w:rPr>
        <w:t>also</w:t>
      </w:r>
      <w:proofErr w:type="spellEnd"/>
      <w:r w:rsidRPr="008113BA">
        <w:rPr>
          <w:rFonts w:ascii="Arial" w:hAnsi="Arial" w:cs="Arial"/>
          <w:lang w:val="mk-MK"/>
        </w:rPr>
        <w:t xml:space="preserve"> </w:t>
      </w:r>
      <w:proofErr w:type="spellStart"/>
      <w:r w:rsidRPr="008113BA">
        <w:rPr>
          <w:rFonts w:ascii="Arial" w:hAnsi="Arial" w:cs="Arial"/>
          <w:lang w:val="mk-MK"/>
        </w:rPr>
        <w:t>be</w:t>
      </w:r>
      <w:proofErr w:type="spellEnd"/>
      <w:r w:rsidRPr="008113BA">
        <w:rPr>
          <w:rFonts w:ascii="Arial" w:hAnsi="Arial" w:cs="Arial"/>
          <w:lang w:val="mk-MK"/>
        </w:rPr>
        <w:t xml:space="preserve"> </w:t>
      </w:r>
      <w:proofErr w:type="spellStart"/>
      <w:r w:rsidRPr="008113BA">
        <w:rPr>
          <w:rFonts w:ascii="Arial" w:hAnsi="Arial" w:cs="Arial"/>
          <w:lang w:val="mk-MK"/>
        </w:rPr>
        <w:t>categorised</w:t>
      </w:r>
      <w:proofErr w:type="spellEnd"/>
      <w:r w:rsidRPr="008113BA">
        <w:rPr>
          <w:rFonts w:ascii="Arial" w:hAnsi="Arial" w:cs="Arial"/>
          <w:lang w:val="mk-MK"/>
        </w:rPr>
        <w:t xml:space="preserve"> </w:t>
      </w:r>
      <w:proofErr w:type="spellStart"/>
      <w:r w:rsidRPr="008113BA">
        <w:rPr>
          <w:rFonts w:ascii="Arial" w:hAnsi="Arial" w:cs="Arial"/>
          <w:lang w:val="mk-MK"/>
        </w:rPr>
        <w:t>as</w:t>
      </w:r>
      <w:proofErr w:type="spellEnd"/>
      <w:r w:rsidRPr="008113BA">
        <w:rPr>
          <w:rFonts w:ascii="Arial" w:hAnsi="Arial" w:cs="Arial"/>
          <w:lang w:val="mk-MK"/>
        </w:rPr>
        <w:t xml:space="preserve"> </w:t>
      </w:r>
      <w:proofErr w:type="spellStart"/>
      <w:r w:rsidRPr="008113BA">
        <w:rPr>
          <w:rFonts w:ascii="Arial" w:hAnsi="Arial" w:cs="Arial"/>
          <w:lang w:val="mk-MK"/>
        </w:rPr>
        <w:t>follows</w:t>
      </w:r>
      <w:proofErr w:type="spellEnd"/>
      <w:r w:rsidR="00F93B95" w:rsidRPr="00CE3053">
        <w:rPr>
          <w:rFonts w:ascii="Arial" w:hAnsi="Arial" w:cs="Arial"/>
          <w:lang w:val="mk-MK"/>
        </w:rPr>
        <w:t>:</w:t>
      </w:r>
    </w:p>
    <w:tbl>
      <w:tblPr>
        <w:tblW w:w="8640" w:type="dxa"/>
        <w:tblInd w:w="86" w:type="dxa"/>
        <w:tblLook w:val="01E0" w:firstRow="1" w:lastRow="1" w:firstColumn="1" w:lastColumn="1" w:noHBand="0" w:noVBand="0"/>
      </w:tblPr>
      <w:tblGrid>
        <w:gridCol w:w="3860"/>
        <w:gridCol w:w="1344"/>
        <w:gridCol w:w="1718"/>
        <w:gridCol w:w="1718"/>
      </w:tblGrid>
      <w:tr w:rsidR="00F93B95" w:rsidRPr="001E6526" w14:paraId="424D8921" w14:textId="77777777" w:rsidTr="0025712C">
        <w:trPr>
          <w:trHeight w:val="216"/>
        </w:trPr>
        <w:tc>
          <w:tcPr>
            <w:tcW w:w="3860" w:type="dxa"/>
            <w:shd w:val="clear" w:color="auto" w:fill="auto"/>
            <w:tcMar>
              <w:left w:w="58" w:type="dxa"/>
              <w:right w:w="58" w:type="dxa"/>
            </w:tcMar>
            <w:vAlign w:val="bottom"/>
          </w:tcPr>
          <w:p w14:paraId="44FF5302" w14:textId="63336A5D" w:rsidR="00F93B95" w:rsidRPr="00CE3053" w:rsidRDefault="00F93B95" w:rsidP="0025712C">
            <w:pPr>
              <w:pStyle w:val="TableText"/>
              <w:rPr>
                <w:rFonts w:ascii="Arial" w:hAnsi="Arial"/>
                <w:b/>
                <w:bCs/>
                <w:sz w:val="18"/>
                <w:lang w:val="mk-MK"/>
              </w:rPr>
            </w:pPr>
            <w:r w:rsidRPr="00CE3053">
              <w:rPr>
                <w:rFonts w:ascii="Arial" w:hAnsi="Arial"/>
                <w:b/>
                <w:bCs/>
                <w:sz w:val="18"/>
                <w:lang w:val="mk-MK"/>
              </w:rPr>
              <w:t xml:space="preserve">31 </w:t>
            </w:r>
            <w:r w:rsidR="008113BA">
              <w:rPr>
                <w:rFonts w:ascii="Arial" w:hAnsi="Arial"/>
                <w:b/>
                <w:bCs/>
                <w:sz w:val="18"/>
                <w:lang w:val="en-US"/>
              </w:rPr>
              <w:t>December</w:t>
            </w:r>
            <w:r w:rsidRPr="00CE3053">
              <w:rPr>
                <w:rFonts w:ascii="Arial" w:hAnsi="Arial"/>
                <w:b/>
                <w:bCs/>
                <w:sz w:val="18"/>
                <w:lang w:val="mk-MK"/>
              </w:rPr>
              <w:t xml:space="preserve"> 202</w:t>
            </w:r>
            <w:r w:rsidR="001460E7" w:rsidRPr="00CE3053">
              <w:rPr>
                <w:rFonts w:ascii="Arial" w:hAnsi="Arial"/>
                <w:b/>
                <w:bCs/>
                <w:sz w:val="18"/>
                <w:lang w:val="mk-MK"/>
              </w:rPr>
              <w:t>1</w:t>
            </w:r>
          </w:p>
        </w:tc>
        <w:tc>
          <w:tcPr>
            <w:tcW w:w="1344" w:type="dxa"/>
            <w:shd w:val="clear" w:color="auto" w:fill="auto"/>
            <w:tcMar>
              <w:left w:w="58" w:type="dxa"/>
              <w:right w:w="58" w:type="dxa"/>
            </w:tcMar>
            <w:vAlign w:val="bottom"/>
          </w:tcPr>
          <w:p w14:paraId="12204E2B" w14:textId="77777777" w:rsidR="00F93B95" w:rsidRPr="00CE3053" w:rsidRDefault="00F93B95" w:rsidP="0025712C">
            <w:pPr>
              <w:pStyle w:val="TableText"/>
              <w:jc w:val="right"/>
              <w:rPr>
                <w:rFonts w:ascii="Arial" w:hAnsi="Arial"/>
                <w:b/>
                <w:sz w:val="18"/>
                <w:lang w:val="mk-MK"/>
              </w:rPr>
            </w:pPr>
          </w:p>
        </w:tc>
        <w:tc>
          <w:tcPr>
            <w:tcW w:w="1718" w:type="dxa"/>
            <w:shd w:val="clear" w:color="auto" w:fill="auto"/>
            <w:tcMar>
              <w:left w:w="58" w:type="dxa"/>
              <w:right w:w="58" w:type="dxa"/>
            </w:tcMar>
            <w:vAlign w:val="bottom"/>
          </w:tcPr>
          <w:p w14:paraId="7C63844F" w14:textId="77777777" w:rsidR="00F93B95" w:rsidRPr="00CE3053" w:rsidRDefault="00F93B95" w:rsidP="0025712C">
            <w:pPr>
              <w:pStyle w:val="TableText"/>
              <w:jc w:val="right"/>
              <w:rPr>
                <w:rFonts w:ascii="Arial" w:hAnsi="Arial"/>
                <w:b/>
                <w:sz w:val="18"/>
                <w:lang w:val="mk-MK"/>
              </w:rPr>
            </w:pPr>
          </w:p>
        </w:tc>
        <w:tc>
          <w:tcPr>
            <w:tcW w:w="1718" w:type="dxa"/>
            <w:shd w:val="clear" w:color="auto" w:fill="auto"/>
            <w:tcMar>
              <w:left w:w="58" w:type="dxa"/>
              <w:right w:w="58" w:type="dxa"/>
            </w:tcMar>
            <w:vAlign w:val="bottom"/>
          </w:tcPr>
          <w:p w14:paraId="10D7CFDA" w14:textId="77777777" w:rsidR="00F93B95" w:rsidRPr="00CE3053" w:rsidRDefault="00F93B95" w:rsidP="0025712C">
            <w:pPr>
              <w:pStyle w:val="TableText"/>
              <w:jc w:val="right"/>
              <w:rPr>
                <w:rFonts w:ascii="Arial" w:hAnsi="Arial"/>
                <w:b/>
                <w:sz w:val="18"/>
                <w:lang w:val="mk-MK"/>
              </w:rPr>
            </w:pPr>
          </w:p>
        </w:tc>
      </w:tr>
      <w:tr w:rsidR="00F30EF8" w:rsidRPr="001E6526" w14:paraId="666AC21B" w14:textId="77777777" w:rsidTr="00F80F0B">
        <w:trPr>
          <w:trHeight w:val="216"/>
        </w:trPr>
        <w:tc>
          <w:tcPr>
            <w:tcW w:w="8640" w:type="dxa"/>
            <w:gridSpan w:val="4"/>
            <w:shd w:val="clear" w:color="auto" w:fill="auto"/>
            <w:tcMar>
              <w:left w:w="58" w:type="dxa"/>
              <w:right w:w="58" w:type="dxa"/>
            </w:tcMar>
          </w:tcPr>
          <w:p w14:paraId="6636FBE7" w14:textId="10ACA735" w:rsidR="00F30EF8" w:rsidRPr="00CE3053" w:rsidRDefault="00F30EF8" w:rsidP="00F30EF8">
            <w:pPr>
              <w:pStyle w:val="TableText"/>
              <w:jc w:val="right"/>
              <w:rPr>
                <w:rFonts w:ascii="Arial" w:hAnsi="Arial"/>
                <w:b/>
                <w:sz w:val="18"/>
                <w:lang w:val="mk-MK"/>
              </w:rPr>
            </w:pPr>
            <w:r w:rsidRPr="00CE3053">
              <w:rPr>
                <w:lang w:val="mk-MK"/>
              </w:rPr>
              <w:t xml:space="preserve">(000 </w:t>
            </w:r>
            <w:proofErr w:type="spellStart"/>
            <w:r w:rsidR="008113BA">
              <w:rPr>
                <w:lang w:val="en-US"/>
              </w:rPr>
              <w:t>mkd</w:t>
            </w:r>
            <w:proofErr w:type="spellEnd"/>
            <w:r w:rsidRPr="00CE3053">
              <w:rPr>
                <w:lang w:val="mk-MK"/>
              </w:rPr>
              <w:t>)</w:t>
            </w:r>
          </w:p>
        </w:tc>
      </w:tr>
      <w:tr w:rsidR="00F93B95" w:rsidRPr="001E6526" w14:paraId="278455E8" w14:textId="77777777" w:rsidTr="0025712C">
        <w:trPr>
          <w:trHeight w:val="216"/>
        </w:trPr>
        <w:tc>
          <w:tcPr>
            <w:tcW w:w="3860" w:type="dxa"/>
            <w:shd w:val="clear" w:color="auto" w:fill="auto"/>
            <w:tcMar>
              <w:left w:w="58" w:type="dxa"/>
              <w:right w:w="58" w:type="dxa"/>
            </w:tcMar>
            <w:vAlign w:val="bottom"/>
          </w:tcPr>
          <w:p w14:paraId="339293E7" w14:textId="1619B97A" w:rsidR="00F93B95" w:rsidRPr="00CE3053" w:rsidRDefault="008113BA" w:rsidP="0025712C">
            <w:pPr>
              <w:pStyle w:val="TableText"/>
              <w:rPr>
                <w:rFonts w:ascii="Arial" w:hAnsi="Arial"/>
                <w:b/>
                <w:bCs/>
                <w:sz w:val="18"/>
                <w:lang w:val="mk-MK"/>
              </w:rPr>
            </w:pPr>
            <w:proofErr w:type="spellStart"/>
            <w:r w:rsidRPr="008113BA">
              <w:rPr>
                <w:rFonts w:ascii="Arial" w:hAnsi="Arial"/>
                <w:b/>
                <w:bCs/>
                <w:sz w:val="18"/>
                <w:lang w:val="mk-MK"/>
              </w:rPr>
              <w:t>Assets</w:t>
            </w:r>
            <w:proofErr w:type="spellEnd"/>
            <w:r w:rsidRPr="008113BA">
              <w:rPr>
                <w:rFonts w:ascii="Arial" w:hAnsi="Arial"/>
                <w:b/>
                <w:bCs/>
                <w:sz w:val="18"/>
                <w:lang w:val="mk-MK"/>
              </w:rPr>
              <w:t xml:space="preserve"> </w:t>
            </w:r>
            <w:proofErr w:type="spellStart"/>
            <w:r w:rsidRPr="008113BA">
              <w:rPr>
                <w:rFonts w:ascii="Arial" w:hAnsi="Arial"/>
                <w:b/>
                <w:bCs/>
                <w:sz w:val="18"/>
                <w:lang w:val="mk-MK"/>
              </w:rPr>
              <w:t>according</w:t>
            </w:r>
            <w:proofErr w:type="spellEnd"/>
            <w:r w:rsidRPr="008113BA">
              <w:rPr>
                <w:rFonts w:ascii="Arial" w:hAnsi="Arial"/>
                <w:b/>
                <w:bCs/>
                <w:sz w:val="18"/>
                <w:lang w:val="mk-MK"/>
              </w:rPr>
              <w:t xml:space="preserve"> </w:t>
            </w:r>
            <w:proofErr w:type="spellStart"/>
            <w:r w:rsidRPr="008113BA">
              <w:rPr>
                <w:rFonts w:ascii="Arial" w:hAnsi="Arial"/>
                <w:b/>
                <w:bCs/>
                <w:sz w:val="18"/>
                <w:lang w:val="mk-MK"/>
              </w:rPr>
              <w:t>to</w:t>
            </w:r>
            <w:proofErr w:type="spellEnd"/>
            <w:r w:rsidRPr="008113BA">
              <w:rPr>
                <w:rFonts w:ascii="Arial" w:hAnsi="Arial"/>
                <w:b/>
                <w:bCs/>
                <w:sz w:val="18"/>
                <w:lang w:val="mk-MK"/>
              </w:rPr>
              <w:t xml:space="preserve"> </w:t>
            </w:r>
            <w:proofErr w:type="spellStart"/>
            <w:r w:rsidRPr="008113BA">
              <w:rPr>
                <w:rFonts w:ascii="Arial" w:hAnsi="Arial"/>
                <w:b/>
                <w:bCs/>
                <w:sz w:val="18"/>
                <w:lang w:val="mk-MK"/>
              </w:rPr>
              <w:t>the</w:t>
            </w:r>
            <w:proofErr w:type="spellEnd"/>
            <w:r w:rsidRPr="008113BA">
              <w:rPr>
                <w:rFonts w:ascii="Arial" w:hAnsi="Arial"/>
                <w:b/>
                <w:bCs/>
                <w:sz w:val="18"/>
                <w:lang w:val="mk-MK"/>
              </w:rPr>
              <w:t xml:space="preserve"> </w:t>
            </w:r>
            <w:proofErr w:type="spellStart"/>
            <w:r w:rsidRPr="008113BA">
              <w:rPr>
                <w:rFonts w:ascii="Arial" w:hAnsi="Arial"/>
                <w:b/>
                <w:bCs/>
                <w:sz w:val="18"/>
                <w:lang w:val="mk-MK"/>
              </w:rPr>
              <w:t>Statement</w:t>
            </w:r>
            <w:proofErr w:type="spellEnd"/>
            <w:r w:rsidRPr="008113BA">
              <w:rPr>
                <w:rFonts w:ascii="Arial" w:hAnsi="Arial"/>
                <w:b/>
                <w:bCs/>
                <w:sz w:val="18"/>
                <w:lang w:val="mk-MK"/>
              </w:rPr>
              <w:t xml:space="preserve"> </w:t>
            </w:r>
            <w:proofErr w:type="spellStart"/>
            <w:r w:rsidRPr="008113BA">
              <w:rPr>
                <w:rFonts w:ascii="Arial" w:hAnsi="Arial"/>
                <w:b/>
                <w:bCs/>
                <w:sz w:val="18"/>
                <w:lang w:val="mk-MK"/>
              </w:rPr>
              <w:t>of</w:t>
            </w:r>
            <w:proofErr w:type="spellEnd"/>
            <w:r w:rsidRPr="008113BA">
              <w:rPr>
                <w:rFonts w:ascii="Arial" w:hAnsi="Arial"/>
                <w:b/>
                <w:bCs/>
                <w:sz w:val="18"/>
                <w:lang w:val="mk-MK"/>
              </w:rPr>
              <w:t xml:space="preserve"> </w:t>
            </w:r>
            <w:proofErr w:type="spellStart"/>
            <w:r w:rsidRPr="008113BA">
              <w:rPr>
                <w:rFonts w:ascii="Arial" w:hAnsi="Arial"/>
                <w:b/>
                <w:bCs/>
                <w:sz w:val="18"/>
                <w:lang w:val="mk-MK"/>
              </w:rPr>
              <w:t>financial</w:t>
            </w:r>
            <w:proofErr w:type="spellEnd"/>
            <w:r w:rsidRPr="008113BA">
              <w:rPr>
                <w:rFonts w:ascii="Arial" w:hAnsi="Arial"/>
                <w:b/>
                <w:bCs/>
                <w:sz w:val="18"/>
                <w:lang w:val="mk-MK"/>
              </w:rPr>
              <w:t xml:space="preserve"> </w:t>
            </w:r>
            <w:proofErr w:type="spellStart"/>
            <w:r w:rsidRPr="008113BA">
              <w:rPr>
                <w:rFonts w:ascii="Arial" w:hAnsi="Arial"/>
                <w:b/>
                <w:bCs/>
                <w:sz w:val="18"/>
                <w:lang w:val="mk-MK"/>
              </w:rPr>
              <w:t>position</w:t>
            </w:r>
            <w:proofErr w:type="spellEnd"/>
          </w:p>
        </w:tc>
        <w:tc>
          <w:tcPr>
            <w:tcW w:w="1344" w:type="dxa"/>
            <w:shd w:val="clear" w:color="auto" w:fill="auto"/>
            <w:tcMar>
              <w:left w:w="58" w:type="dxa"/>
              <w:right w:w="58" w:type="dxa"/>
            </w:tcMar>
            <w:vAlign w:val="bottom"/>
          </w:tcPr>
          <w:p w14:paraId="1940C163" w14:textId="77777777" w:rsidR="00F93B95" w:rsidRPr="00CE3053" w:rsidRDefault="00F93B95" w:rsidP="0025712C">
            <w:pPr>
              <w:pStyle w:val="TableText"/>
              <w:jc w:val="right"/>
              <w:rPr>
                <w:rFonts w:ascii="Arial" w:hAnsi="Arial"/>
                <w:b/>
                <w:sz w:val="18"/>
                <w:lang w:val="mk-MK"/>
              </w:rPr>
            </w:pPr>
          </w:p>
        </w:tc>
        <w:tc>
          <w:tcPr>
            <w:tcW w:w="1718" w:type="dxa"/>
            <w:shd w:val="clear" w:color="auto" w:fill="auto"/>
            <w:tcMar>
              <w:left w:w="58" w:type="dxa"/>
              <w:right w:w="58" w:type="dxa"/>
            </w:tcMar>
            <w:vAlign w:val="bottom"/>
          </w:tcPr>
          <w:p w14:paraId="6447BCD8" w14:textId="77777777" w:rsidR="00F93B95" w:rsidRPr="00CE3053" w:rsidRDefault="00F93B95" w:rsidP="0025712C">
            <w:pPr>
              <w:pStyle w:val="TableText"/>
              <w:jc w:val="right"/>
              <w:rPr>
                <w:rFonts w:ascii="Arial" w:hAnsi="Arial"/>
                <w:b/>
                <w:sz w:val="18"/>
                <w:lang w:val="mk-MK"/>
              </w:rPr>
            </w:pPr>
          </w:p>
        </w:tc>
        <w:tc>
          <w:tcPr>
            <w:tcW w:w="1718" w:type="dxa"/>
            <w:shd w:val="clear" w:color="auto" w:fill="auto"/>
            <w:tcMar>
              <w:left w:w="58" w:type="dxa"/>
              <w:right w:w="58" w:type="dxa"/>
            </w:tcMar>
            <w:vAlign w:val="bottom"/>
          </w:tcPr>
          <w:p w14:paraId="2F24880E" w14:textId="77777777" w:rsidR="00F93B95" w:rsidRPr="00CE3053" w:rsidRDefault="00F93B95" w:rsidP="0025712C">
            <w:pPr>
              <w:pStyle w:val="TableText"/>
              <w:jc w:val="right"/>
              <w:rPr>
                <w:rFonts w:ascii="Arial" w:hAnsi="Arial"/>
                <w:b/>
                <w:sz w:val="18"/>
                <w:lang w:val="mk-MK"/>
              </w:rPr>
            </w:pPr>
          </w:p>
        </w:tc>
      </w:tr>
      <w:tr w:rsidR="00F93B95" w:rsidRPr="001E6526" w14:paraId="2CFCABAF" w14:textId="77777777" w:rsidTr="0025712C">
        <w:trPr>
          <w:trHeight w:val="216"/>
        </w:trPr>
        <w:tc>
          <w:tcPr>
            <w:tcW w:w="3860" w:type="dxa"/>
            <w:shd w:val="clear" w:color="auto" w:fill="auto"/>
            <w:tcMar>
              <w:left w:w="58" w:type="dxa"/>
              <w:right w:w="58" w:type="dxa"/>
            </w:tcMar>
            <w:vAlign w:val="bottom"/>
          </w:tcPr>
          <w:p w14:paraId="1AE07070" w14:textId="77777777" w:rsidR="00F93B95" w:rsidRPr="00CE3053" w:rsidRDefault="00F93B95" w:rsidP="00F93B95">
            <w:pPr>
              <w:pStyle w:val="TableText"/>
              <w:spacing w:after="0"/>
              <w:rPr>
                <w:rFonts w:cstheme="minorHAnsi"/>
                <w:bCs/>
                <w:sz w:val="18"/>
                <w:lang w:val="mk-MK"/>
              </w:rPr>
            </w:pPr>
          </w:p>
        </w:tc>
        <w:tc>
          <w:tcPr>
            <w:tcW w:w="1344" w:type="dxa"/>
            <w:shd w:val="clear" w:color="auto" w:fill="auto"/>
            <w:tcMar>
              <w:left w:w="58" w:type="dxa"/>
              <w:right w:w="58" w:type="dxa"/>
            </w:tcMar>
            <w:vAlign w:val="bottom"/>
          </w:tcPr>
          <w:p w14:paraId="2F463348" w14:textId="07315276" w:rsidR="00F93B95" w:rsidRPr="00CE3053" w:rsidRDefault="008113BA" w:rsidP="00F93B95">
            <w:pPr>
              <w:pStyle w:val="TableText"/>
              <w:spacing w:after="0"/>
              <w:jc w:val="right"/>
              <w:rPr>
                <w:rFonts w:cstheme="minorHAnsi"/>
                <w:sz w:val="18"/>
                <w:lang w:val="mk-MK"/>
              </w:rPr>
            </w:pPr>
            <w:proofErr w:type="spellStart"/>
            <w:r w:rsidRPr="008113BA">
              <w:rPr>
                <w:rFonts w:cstheme="minorHAnsi"/>
                <w:sz w:val="18"/>
                <w:lang w:val="mk-MK"/>
              </w:rPr>
              <w:t>Held-to</w:t>
            </w:r>
            <w:proofErr w:type="spellEnd"/>
            <w:r w:rsidRPr="008113BA">
              <w:rPr>
                <w:rFonts w:cstheme="minorHAnsi"/>
                <w:sz w:val="18"/>
                <w:lang w:val="mk-MK"/>
              </w:rPr>
              <w:t xml:space="preserve">- </w:t>
            </w:r>
            <w:proofErr w:type="spellStart"/>
            <w:r w:rsidRPr="008113BA">
              <w:rPr>
                <w:rFonts w:cstheme="minorHAnsi"/>
                <w:sz w:val="18"/>
                <w:lang w:val="mk-MK"/>
              </w:rPr>
              <w:t>maturity</w:t>
            </w:r>
            <w:proofErr w:type="spellEnd"/>
            <w:r w:rsidRPr="008113BA">
              <w:rPr>
                <w:rFonts w:cstheme="minorHAnsi"/>
                <w:sz w:val="18"/>
                <w:lang w:val="mk-MK"/>
              </w:rPr>
              <w:t xml:space="preserve"> </w:t>
            </w:r>
            <w:proofErr w:type="spellStart"/>
            <w:r w:rsidRPr="008113BA">
              <w:rPr>
                <w:rFonts w:cstheme="minorHAnsi"/>
                <w:sz w:val="18"/>
                <w:lang w:val="mk-MK"/>
              </w:rPr>
              <w:t>investments</w:t>
            </w:r>
            <w:proofErr w:type="spellEnd"/>
          </w:p>
        </w:tc>
        <w:tc>
          <w:tcPr>
            <w:tcW w:w="1718" w:type="dxa"/>
            <w:shd w:val="clear" w:color="auto" w:fill="auto"/>
            <w:tcMar>
              <w:left w:w="58" w:type="dxa"/>
              <w:right w:w="58" w:type="dxa"/>
            </w:tcMar>
            <w:vAlign w:val="bottom"/>
          </w:tcPr>
          <w:p w14:paraId="332A2CA5" w14:textId="6377FDC7" w:rsidR="00F93B95" w:rsidRPr="00CE3053" w:rsidRDefault="008113BA" w:rsidP="00F93B95">
            <w:pPr>
              <w:pStyle w:val="TableText"/>
              <w:spacing w:after="0"/>
              <w:jc w:val="right"/>
              <w:rPr>
                <w:rFonts w:cstheme="minorHAnsi"/>
                <w:sz w:val="18"/>
                <w:lang w:val="mk-MK"/>
              </w:rPr>
            </w:pPr>
            <w:proofErr w:type="spellStart"/>
            <w:r w:rsidRPr="008113BA">
              <w:rPr>
                <w:rFonts w:cstheme="minorHAnsi"/>
                <w:sz w:val="18"/>
                <w:lang w:val="mk-MK"/>
              </w:rPr>
              <w:t>Loans</w:t>
            </w:r>
            <w:proofErr w:type="spellEnd"/>
            <w:r w:rsidRPr="008113BA">
              <w:rPr>
                <w:rFonts w:cstheme="minorHAnsi"/>
                <w:sz w:val="18"/>
                <w:lang w:val="mk-MK"/>
              </w:rPr>
              <w:t xml:space="preserve"> </w:t>
            </w:r>
            <w:proofErr w:type="spellStart"/>
            <w:r w:rsidRPr="008113BA">
              <w:rPr>
                <w:rFonts w:cstheme="minorHAnsi"/>
                <w:sz w:val="18"/>
                <w:lang w:val="mk-MK"/>
              </w:rPr>
              <w:t>and</w:t>
            </w:r>
            <w:proofErr w:type="spellEnd"/>
            <w:r w:rsidRPr="008113BA">
              <w:rPr>
                <w:rFonts w:cstheme="minorHAnsi"/>
                <w:sz w:val="18"/>
                <w:lang w:val="mk-MK"/>
              </w:rPr>
              <w:t xml:space="preserve"> </w:t>
            </w:r>
            <w:proofErr w:type="spellStart"/>
            <w:r w:rsidRPr="008113BA">
              <w:rPr>
                <w:rFonts w:cstheme="minorHAnsi"/>
                <w:sz w:val="18"/>
                <w:lang w:val="mk-MK"/>
              </w:rPr>
              <w:t>receivables</w:t>
            </w:r>
            <w:proofErr w:type="spellEnd"/>
          </w:p>
        </w:tc>
        <w:tc>
          <w:tcPr>
            <w:tcW w:w="1718" w:type="dxa"/>
            <w:shd w:val="clear" w:color="auto" w:fill="auto"/>
            <w:tcMar>
              <w:left w:w="58" w:type="dxa"/>
              <w:right w:w="58" w:type="dxa"/>
            </w:tcMar>
            <w:vAlign w:val="bottom"/>
          </w:tcPr>
          <w:p w14:paraId="73FF8776" w14:textId="71D47496" w:rsidR="00F93B95" w:rsidRPr="008113BA" w:rsidRDefault="008113BA" w:rsidP="00F93B95">
            <w:pPr>
              <w:pStyle w:val="TableText"/>
              <w:spacing w:after="0"/>
              <w:jc w:val="right"/>
              <w:rPr>
                <w:rFonts w:cstheme="minorHAnsi"/>
                <w:sz w:val="18"/>
                <w:lang w:val="en-US"/>
              </w:rPr>
            </w:pPr>
            <w:r>
              <w:rPr>
                <w:rFonts w:cstheme="minorHAnsi"/>
                <w:sz w:val="18"/>
                <w:lang w:val="en-US"/>
              </w:rPr>
              <w:t>Total</w:t>
            </w:r>
          </w:p>
        </w:tc>
      </w:tr>
      <w:tr w:rsidR="00F93B95" w:rsidRPr="001E6526" w14:paraId="3CB0ECC8" w14:textId="77777777" w:rsidTr="0025712C">
        <w:trPr>
          <w:trHeight w:val="216"/>
        </w:trPr>
        <w:tc>
          <w:tcPr>
            <w:tcW w:w="3860" w:type="dxa"/>
            <w:shd w:val="clear" w:color="auto" w:fill="auto"/>
            <w:tcMar>
              <w:left w:w="58" w:type="dxa"/>
              <w:right w:w="58" w:type="dxa"/>
            </w:tcMar>
            <w:vAlign w:val="center"/>
          </w:tcPr>
          <w:p w14:paraId="74532F1D" w14:textId="4736BF65" w:rsidR="00F93B95" w:rsidRPr="008113BA" w:rsidRDefault="008113BA" w:rsidP="00F93B95">
            <w:pPr>
              <w:spacing w:after="0"/>
              <w:rPr>
                <w:rFonts w:cstheme="minorHAnsi"/>
              </w:rPr>
            </w:pPr>
            <w:r w:rsidRPr="00F25BB7">
              <w:rPr>
                <w:rFonts w:cstheme="minorHAnsi"/>
                <w:bCs/>
              </w:rPr>
              <w:t>Government bills</w:t>
            </w:r>
          </w:p>
        </w:tc>
        <w:tc>
          <w:tcPr>
            <w:tcW w:w="1344" w:type="dxa"/>
            <w:shd w:val="clear" w:color="auto" w:fill="auto"/>
            <w:tcMar>
              <w:left w:w="58" w:type="dxa"/>
              <w:right w:w="58" w:type="dxa"/>
            </w:tcMar>
            <w:vAlign w:val="bottom"/>
          </w:tcPr>
          <w:p w14:paraId="364363DF" w14:textId="062081A8" w:rsidR="00F93B95" w:rsidRPr="00CE3053" w:rsidRDefault="001460E7" w:rsidP="00F93B95">
            <w:pPr>
              <w:spacing w:after="0"/>
              <w:jc w:val="right"/>
              <w:rPr>
                <w:rFonts w:cstheme="minorHAnsi"/>
                <w:lang w:val="mk-MK"/>
              </w:rPr>
            </w:pPr>
            <w:r w:rsidRPr="00CE3053">
              <w:rPr>
                <w:rFonts w:cstheme="minorHAnsi"/>
                <w:lang w:val="mk-MK"/>
              </w:rPr>
              <w:t>14,730,822</w:t>
            </w:r>
          </w:p>
        </w:tc>
        <w:tc>
          <w:tcPr>
            <w:tcW w:w="1718" w:type="dxa"/>
            <w:shd w:val="clear" w:color="auto" w:fill="auto"/>
            <w:tcMar>
              <w:left w:w="58" w:type="dxa"/>
              <w:right w:w="58" w:type="dxa"/>
            </w:tcMar>
            <w:vAlign w:val="bottom"/>
          </w:tcPr>
          <w:p w14:paraId="525B310F" w14:textId="77777777" w:rsidR="00F93B95" w:rsidRPr="001E6526" w:rsidRDefault="00F93B95" w:rsidP="00F93B95">
            <w:pPr>
              <w:spacing w:after="0"/>
              <w:jc w:val="right"/>
              <w:rPr>
                <w:rFonts w:cstheme="minorHAnsi"/>
                <w:lang w:val="mk-MK"/>
              </w:rPr>
            </w:pPr>
            <w:r w:rsidRPr="001E6526">
              <w:rPr>
                <w:rFonts w:cstheme="minorHAnsi"/>
                <w:lang w:val="mk-MK"/>
              </w:rPr>
              <w:t>-</w:t>
            </w:r>
          </w:p>
        </w:tc>
        <w:tc>
          <w:tcPr>
            <w:tcW w:w="1718" w:type="dxa"/>
            <w:shd w:val="clear" w:color="auto" w:fill="auto"/>
            <w:tcMar>
              <w:left w:w="58" w:type="dxa"/>
              <w:right w:w="58" w:type="dxa"/>
            </w:tcMar>
            <w:vAlign w:val="bottom"/>
          </w:tcPr>
          <w:p w14:paraId="0F75FE7E" w14:textId="7CB27FDE" w:rsidR="00F93B95" w:rsidRPr="00CE3053" w:rsidRDefault="00CF33EF" w:rsidP="00F93B95">
            <w:pPr>
              <w:spacing w:after="0"/>
              <w:jc w:val="right"/>
              <w:rPr>
                <w:rFonts w:cstheme="minorHAnsi"/>
                <w:lang w:val="mk-MK"/>
              </w:rPr>
            </w:pPr>
            <w:r w:rsidRPr="00CE3053">
              <w:rPr>
                <w:rFonts w:cstheme="minorHAnsi"/>
                <w:lang w:val="mk-MK"/>
              </w:rPr>
              <w:t>14,730,822</w:t>
            </w:r>
          </w:p>
        </w:tc>
      </w:tr>
      <w:tr w:rsidR="000C283E" w:rsidRPr="001E6526" w14:paraId="6113175C" w14:textId="77777777" w:rsidTr="00FD48FE">
        <w:trPr>
          <w:trHeight w:val="216"/>
        </w:trPr>
        <w:tc>
          <w:tcPr>
            <w:tcW w:w="3860" w:type="dxa"/>
            <w:shd w:val="clear" w:color="auto" w:fill="auto"/>
            <w:tcMar>
              <w:left w:w="58" w:type="dxa"/>
              <w:right w:w="58" w:type="dxa"/>
            </w:tcMar>
          </w:tcPr>
          <w:p w14:paraId="6A7899A8" w14:textId="3812B4F9" w:rsidR="000C283E" w:rsidRPr="001E6526" w:rsidRDefault="000C283E" w:rsidP="000C283E">
            <w:pPr>
              <w:spacing w:after="0"/>
              <w:rPr>
                <w:rFonts w:cstheme="minorHAnsi"/>
                <w:bCs/>
                <w:lang w:val="mk-MK"/>
              </w:rPr>
            </w:pPr>
            <w:bookmarkStart w:id="5" w:name="_Hlk95484409"/>
            <w:r w:rsidRPr="00A82509">
              <w:t>Receivables for insurance premium</w:t>
            </w:r>
          </w:p>
        </w:tc>
        <w:tc>
          <w:tcPr>
            <w:tcW w:w="1344" w:type="dxa"/>
            <w:shd w:val="clear" w:color="auto" w:fill="auto"/>
            <w:tcMar>
              <w:left w:w="58" w:type="dxa"/>
              <w:right w:w="58" w:type="dxa"/>
            </w:tcMar>
            <w:vAlign w:val="bottom"/>
          </w:tcPr>
          <w:p w14:paraId="2FABBC8A" w14:textId="77777777" w:rsidR="000C283E" w:rsidRPr="001E6526" w:rsidRDefault="000C283E" w:rsidP="000C283E">
            <w:pPr>
              <w:spacing w:after="0"/>
              <w:jc w:val="right"/>
              <w:rPr>
                <w:rFonts w:cstheme="minorHAnsi"/>
                <w:lang w:val="mk-MK"/>
              </w:rPr>
            </w:pPr>
            <w:r w:rsidRPr="001E6526">
              <w:rPr>
                <w:rFonts w:cstheme="minorHAnsi"/>
                <w:lang w:val="mk-MK"/>
              </w:rPr>
              <w:t>-</w:t>
            </w:r>
          </w:p>
        </w:tc>
        <w:tc>
          <w:tcPr>
            <w:tcW w:w="1718" w:type="dxa"/>
            <w:shd w:val="clear" w:color="auto" w:fill="auto"/>
            <w:tcMar>
              <w:left w:w="58" w:type="dxa"/>
              <w:right w:w="58" w:type="dxa"/>
            </w:tcMar>
            <w:vAlign w:val="bottom"/>
          </w:tcPr>
          <w:p w14:paraId="6A6CD34C" w14:textId="2DA4C019" w:rsidR="000C283E" w:rsidRPr="00CE3053" w:rsidRDefault="000C283E" w:rsidP="000C283E">
            <w:pPr>
              <w:spacing w:after="0"/>
              <w:jc w:val="right"/>
              <w:rPr>
                <w:rFonts w:cstheme="minorHAnsi"/>
                <w:lang w:val="mk-MK"/>
              </w:rPr>
            </w:pPr>
            <w:r w:rsidRPr="00CE3053">
              <w:rPr>
                <w:rFonts w:cstheme="minorHAnsi"/>
                <w:lang w:val="mk-MK"/>
              </w:rPr>
              <w:t>-</w:t>
            </w:r>
          </w:p>
        </w:tc>
        <w:tc>
          <w:tcPr>
            <w:tcW w:w="1718" w:type="dxa"/>
            <w:shd w:val="clear" w:color="auto" w:fill="auto"/>
            <w:tcMar>
              <w:left w:w="58" w:type="dxa"/>
              <w:right w:w="58" w:type="dxa"/>
            </w:tcMar>
            <w:vAlign w:val="bottom"/>
          </w:tcPr>
          <w:p w14:paraId="6BF2EA4A" w14:textId="1D979648" w:rsidR="000C283E" w:rsidRPr="00CE3053" w:rsidRDefault="000C283E" w:rsidP="000C283E">
            <w:pPr>
              <w:spacing w:after="0"/>
              <w:jc w:val="right"/>
              <w:rPr>
                <w:rFonts w:cstheme="minorHAnsi"/>
                <w:lang w:val="mk-MK"/>
              </w:rPr>
            </w:pPr>
            <w:r w:rsidRPr="00CE3053">
              <w:rPr>
                <w:rFonts w:cstheme="minorHAnsi"/>
                <w:lang w:val="mk-MK"/>
              </w:rPr>
              <w:t>-</w:t>
            </w:r>
          </w:p>
        </w:tc>
      </w:tr>
      <w:bookmarkEnd w:id="5"/>
      <w:tr w:rsidR="000C283E" w:rsidRPr="001E6526" w14:paraId="643A5386" w14:textId="77777777" w:rsidTr="00FD48FE">
        <w:trPr>
          <w:trHeight w:val="216"/>
        </w:trPr>
        <w:tc>
          <w:tcPr>
            <w:tcW w:w="3860" w:type="dxa"/>
            <w:shd w:val="clear" w:color="auto" w:fill="auto"/>
            <w:tcMar>
              <w:left w:w="58" w:type="dxa"/>
              <w:right w:w="58" w:type="dxa"/>
            </w:tcMar>
          </w:tcPr>
          <w:p w14:paraId="347415A4" w14:textId="0CDF30CA" w:rsidR="000C283E" w:rsidRPr="00CE3053" w:rsidRDefault="000C283E" w:rsidP="000C283E">
            <w:pPr>
              <w:spacing w:after="0"/>
              <w:rPr>
                <w:rFonts w:cstheme="minorHAnsi"/>
                <w:color w:val="000000"/>
                <w:lang w:val="mk-MK"/>
              </w:rPr>
            </w:pPr>
            <w:r w:rsidRPr="00A82509">
              <w:t>Other receivables</w:t>
            </w:r>
          </w:p>
        </w:tc>
        <w:tc>
          <w:tcPr>
            <w:tcW w:w="1344" w:type="dxa"/>
            <w:shd w:val="clear" w:color="auto" w:fill="auto"/>
            <w:tcMar>
              <w:left w:w="58" w:type="dxa"/>
              <w:right w:w="58" w:type="dxa"/>
            </w:tcMar>
            <w:vAlign w:val="bottom"/>
          </w:tcPr>
          <w:p w14:paraId="646EF9A9" w14:textId="77777777" w:rsidR="000C283E" w:rsidRPr="001E6526" w:rsidRDefault="000C283E" w:rsidP="000C283E">
            <w:pPr>
              <w:spacing w:after="0"/>
              <w:jc w:val="right"/>
              <w:rPr>
                <w:rFonts w:cstheme="minorHAnsi"/>
                <w:lang w:val="mk-MK"/>
              </w:rPr>
            </w:pPr>
            <w:r w:rsidRPr="001E6526">
              <w:rPr>
                <w:rFonts w:cstheme="minorHAnsi"/>
                <w:lang w:val="mk-MK"/>
              </w:rPr>
              <w:t>-</w:t>
            </w:r>
          </w:p>
        </w:tc>
        <w:tc>
          <w:tcPr>
            <w:tcW w:w="1718" w:type="dxa"/>
            <w:shd w:val="clear" w:color="auto" w:fill="auto"/>
            <w:tcMar>
              <w:left w:w="58" w:type="dxa"/>
              <w:right w:w="58" w:type="dxa"/>
            </w:tcMar>
            <w:vAlign w:val="bottom"/>
          </w:tcPr>
          <w:p w14:paraId="106CB45F" w14:textId="77777777" w:rsidR="000C283E" w:rsidRPr="001E6526" w:rsidRDefault="000C283E" w:rsidP="000C283E">
            <w:pPr>
              <w:spacing w:after="0"/>
              <w:jc w:val="right"/>
              <w:rPr>
                <w:rFonts w:cstheme="minorHAnsi"/>
                <w:lang w:val="mk-MK"/>
              </w:rPr>
            </w:pPr>
            <w:r w:rsidRPr="001E6526">
              <w:rPr>
                <w:rFonts w:cstheme="minorHAnsi"/>
                <w:lang w:val="mk-MK"/>
              </w:rPr>
              <w:t>-</w:t>
            </w:r>
          </w:p>
        </w:tc>
        <w:tc>
          <w:tcPr>
            <w:tcW w:w="1718" w:type="dxa"/>
            <w:shd w:val="clear" w:color="auto" w:fill="auto"/>
            <w:tcMar>
              <w:left w:w="58" w:type="dxa"/>
              <w:right w:w="58" w:type="dxa"/>
            </w:tcMar>
            <w:vAlign w:val="bottom"/>
          </w:tcPr>
          <w:p w14:paraId="35504A2C" w14:textId="77777777" w:rsidR="000C283E" w:rsidRPr="001E6526" w:rsidRDefault="000C283E" w:rsidP="000C283E">
            <w:pPr>
              <w:spacing w:after="0"/>
              <w:jc w:val="right"/>
              <w:rPr>
                <w:rFonts w:cstheme="minorHAnsi"/>
                <w:lang w:val="mk-MK"/>
              </w:rPr>
            </w:pPr>
            <w:r w:rsidRPr="001E6526">
              <w:rPr>
                <w:rFonts w:cstheme="minorHAnsi"/>
                <w:lang w:val="mk-MK"/>
              </w:rPr>
              <w:t>-</w:t>
            </w:r>
          </w:p>
        </w:tc>
      </w:tr>
      <w:tr w:rsidR="000C283E" w:rsidRPr="001E6526" w14:paraId="67BB77B7" w14:textId="77777777" w:rsidTr="00FD48FE">
        <w:trPr>
          <w:trHeight w:val="216"/>
        </w:trPr>
        <w:tc>
          <w:tcPr>
            <w:tcW w:w="3860" w:type="dxa"/>
            <w:tcBorders>
              <w:bottom w:val="single" w:sz="4" w:space="0" w:color="auto"/>
            </w:tcBorders>
            <w:shd w:val="clear" w:color="auto" w:fill="auto"/>
            <w:tcMar>
              <w:left w:w="58" w:type="dxa"/>
              <w:right w:w="58" w:type="dxa"/>
            </w:tcMar>
          </w:tcPr>
          <w:p w14:paraId="2CA317D8" w14:textId="0D158849" w:rsidR="000C283E" w:rsidRPr="00CE3053" w:rsidRDefault="000C283E" w:rsidP="000C283E">
            <w:pPr>
              <w:spacing w:after="0"/>
              <w:rPr>
                <w:rFonts w:cstheme="minorHAnsi"/>
                <w:lang w:val="mk-MK"/>
              </w:rPr>
            </w:pPr>
            <w:r w:rsidRPr="00A82509">
              <w:t>Cash and cash equivalents</w:t>
            </w:r>
          </w:p>
        </w:tc>
        <w:tc>
          <w:tcPr>
            <w:tcW w:w="1344" w:type="dxa"/>
            <w:tcBorders>
              <w:bottom w:val="single" w:sz="4" w:space="0" w:color="auto"/>
            </w:tcBorders>
            <w:shd w:val="clear" w:color="auto" w:fill="auto"/>
            <w:tcMar>
              <w:left w:w="58" w:type="dxa"/>
              <w:right w:w="58" w:type="dxa"/>
            </w:tcMar>
            <w:vAlign w:val="bottom"/>
          </w:tcPr>
          <w:p w14:paraId="07D67CFC" w14:textId="77777777" w:rsidR="000C283E" w:rsidRPr="001E6526" w:rsidRDefault="000C283E" w:rsidP="000C283E">
            <w:pPr>
              <w:spacing w:after="0"/>
              <w:jc w:val="right"/>
              <w:rPr>
                <w:rFonts w:cstheme="minorHAnsi"/>
                <w:lang w:val="mk-MK"/>
              </w:rPr>
            </w:pPr>
            <w:r w:rsidRPr="001E6526">
              <w:rPr>
                <w:rFonts w:cstheme="minorHAnsi"/>
                <w:lang w:val="mk-MK"/>
              </w:rPr>
              <w:t>-</w:t>
            </w:r>
          </w:p>
        </w:tc>
        <w:tc>
          <w:tcPr>
            <w:tcW w:w="1718" w:type="dxa"/>
            <w:tcBorders>
              <w:bottom w:val="single" w:sz="4" w:space="0" w:color="auto"/>
            </w:tcBorders>
            <w:shd w:val="clear" w:color="auto" w:fill="auto"/>
            <w:tcMar>
              <w:left w:w="58" w:type="dxa"/>
              <w:right w:w="58" w:type="dxa"/>
            </w:tcMar>
            <w:vAlign w:val="bottom"/>
          </w:tcPr>
          <w:p w14:paraId="4A8575E9" w14:textId="06DAF444" w:rsidR="000C283E" w:rsidRPr="00CE3053" w:rsidRDefault="000C283E" w:rsidP="000C283E">
            <w:pPr>
              <w:spacing w:after="0"/>
              <w:jc w:val="right"/>
              <w:rPr>
                <w:rFonts w:cstheme="minorHAnsi"/>
                <w:lang w:val="mk-MK"/>
              </w:rPr>
            </w:pPr>
            <w:r w:rsidRPr="00CE3053">
              <w:rPr>
                <w:rFonts w:cstheme="minorHAnsi"/>
                <w:lang w:val="mk-MK"/>
              </w:rPr>
              <w:t>485,056</w:t>
            </w:r>
          </w:p>
        </w:tc>
        <w:tc>
          <w:tcPr>
            <w:tcW w:w="1718" w:type="dxa"/>
            <w:tcBorders>
              <w:bottom w:val="single" w:sz="4" w:space="0" w:color="auto"/>
            </w:tcBorders>
            <w:shd w:val="clear" w:color="auto" w:fill="auto"/>
            <w:tcMar>
              <w:left w:w="58" w:type="dxa"/>
              <w:right w:w="58" w:type="dxa"/>
            </w:tcMar>
            <w:vAlign w:val="bottom"/>
          </w:tcPr>
          <w:p w14:paraId="7D09457B" w14:textId="2374B2FA" w:rsidR="000C283E" w:rsidRPr="00CE3053" w:rsidRDefault="000C283E" w:rsidP="000C283E">
            <w:pPr>
              <w:spacing w:after="0"/>
              <w:jc w:val="right"/>
              <w:rPr>
                <w:rFonts w:cstheme="minorHAnsi"/>
                <w:lang w:val="mk-MK"/>
              </w:rPr>
            </w:pPr>
            <w:r w:rsidRPr="00CE3053">
              <w:rPr>
                <w:rFonts w:cstheme="minorHAnsi"/>
                <w:lang w:val="mk-MK"/>
              </w:rPr>
              <w:t>485,056</w:t>
            </w:r>
          </w:p>
        </w:tc>
      </w:tr>
      <w:tr w:rsidR="00F93B95" w:rsidRPr="001E6526" w14:paraId="60DD4017" w14:textId="77777777" w:rsidTr="0025712C">
        <w:trPr>
          <w:trHeight w:val="216"/>
        </w:trPr>
        <w:tc>
          <w:tcPr>
            <w:tcW w:w="3860" w:type="dxa"/>
            <w:tcBorders>
              <w:top w:val="single" w:sz="4" w:space="0" w:color="auto"/>
              <w:bottom w:val="double" w:sz="4" w:space="0" w:color="auto"/>
            </w:tcBorders>
            <w:shd w:val="clear" w:color="auto" w:fill="auto"/>
            <w:tcMar>
              <w:left w:w="58" w:type="dxa"/>
              <w:right w:w="58" w:type="dxa"/>
            </w:tcMar>
            <w:vAlign w:val="bottom"/>
          </w:tcPr>
          <w:p w14:paraId="1DECA763" w14:textId="36884DFE" w:rsidR="00F93B95" w:rsidRPr="000C283E" w:rsidRDefault="000C283E" w:rsidP="00F93B95">
            <w:pPr>
              <w:pStyle w:val="TableText"/>
              <w:spacing w:after="0"/>
              <w:rPr>
                <w:rFonts w:cstheme="minorHAnsi"/>
                <w:b/>
                <w:bCs/>
                <w:sz w:val="18"/>
                <w:lang w:val="en-US"/>
              </w:rPr>
            </w:pPr>
            <w:r>
              <w:rPr>
                <w:rFonts w:cstheme="minorHAnsi"/>
                <w:b/>
                <w:bCs/>
                <w:sz w:val="18"/>
                <w:lang w:val="en-US"/>
              </w:rPr>
              <w:t>Total</w:t>
            </w:r>
          </w:p>
        </w:tc>
        <w:tc>
          <w:tcPr>
            <w:tcW w:w="1344" w:type="dxa"/>
            <w:tcBorders>
              <w:top w:val="single" w:sz="4" w:space="0" w:color="auto"/>
              <w:bottom w:val="double" w:sz="4" w:space="0" w:color="auto"/>
            </w:tcBorders>
            <w:shd w:val="clear" w:color="auto" w:fill="auto"/>
            <w:tcMar>
              <w:left w:w="58" w:type="dxa"/>
              <w:right w:w="58" w:type="dxa"/>
            </w:tcMar>
            <w:vAlign w:val="bottom"/>
          </w:tcPr>
          <w:p w14:paraId="1ADE36C4" w14:textId="42F8DC6A" w:rsidR="00F93B95" w:rsidRPr="00CE3053" w:rsidRDefault="001460E7" w:rsidP="00F93B95">
            <w:pPr>
              <w:spacing w:after="0"/>
              <w:jc w:val="right"/>
              <w:rPr>
                <w:rFonts w:cstheme="minorHAnsi"/>
                <w:b/>
                <w:bCs/>
                <w:lang w:val="mk-MK"/>
              </w:rPr>
            </w:pPr>
            <w:r w:rsidRPr="00CE3053">
              <w:rPr>
                <w:rFonts w:cstheme="minorHAnsi"/>
                <w:b/>
                <w:bCs/>
                <w:lang w:val="mk-MK"/>
              </w:rPr>
              <w:t>14,730,822</w:t>
            </w:r>
          </w:p>
        </w:tc>
        <w:tc>
          <w:tcPr>
            <w:tcW w:w="1718" w:type="dxa"/>
            <w:tcBorders>
              <w:top w:val="single" w:sz="4" w:space="0" w:color="auto"/>
              <w:bottom w:val="double" w:sz="4" w:space="0" w:color="auto"/>
            </w:tcBorders>
            <w:shd w:val="clear" w:color="auto" w:fill="auto"/>
            <w:tcMar>
              <w:left w:w="58" w:type="dxa"/>
              <w:right w:w="58" w:type="dxa"/>
            </w:tcMar>
            <w:vAlign w:val="bottom"/>
          </w:tcPr>
          <w:p w14:paraId="59E7C0B6" w14:textId="7353B588" w:rsidR="00F93B95" w:rsidRPr="00CE3053" w:rsidRDefault="00CF33EF" w:rsidP="00F93B95">
            <w:pPr>
              <w:spacing w:after="0"/>
              <w:jc w:val="right"/>
              <w:rPr>
                <w:rFonts w:cstheme="minorHAnsi"/>
                <w:b/>
                <w:bCs/>
                <w:lang w:val="mk-MK"/>
              </w:rPr>
            </w:pPr>
            <w:r w:rsidRPr="00CE3053">
              <w:rPr>
                <w:rFonts w:cstheme="minorHAnsi"/>
                <w:b/>
                <w:bCs/>
                <w:lang w:val="mk-MK"/>
              </w:rPr>
              <w:t>485,056</w:t>
            </w:r>
          </w:p>
        </w:tc>
        <w:tc>
          <w:tcPr>
            <w:tcW w:w="1718" w:type="dxa"/>
            <w:tcBorders>
              <w:top w:val="single" w:sz="4" w:space="0" w:color="auto"/>
              <w:bottom w:val="double" w:sz="4" w:space="0" w:color="auto"/>
            </w:tcBorders>
            <w:shd w:val="clear" w:color="auto" w:fill="auto"/>
            <w:tcMar>
              <w:left w:w="58" w:type="dxa"/>
              <w:right w:w="58" w:type="dxa"/>
            </w:tcMar>
            <w:vAlign w:val="bottom"/>
          </w:tcPr>
          <w:p w14:paraId="2AD8F935" w14:textId="2878F960" w:rsidR="00F93B95" w:rsidRPr="00CE3053" w:rsidRDefault="00CF33EF" w:rsidP="00F93B95">
            <w:pPr>
              <w:spacing w:after="0"/>
              <w:jc w:val="right"/>
              <w:rPr>
                <w:rFonts w:cstheme="minorHAnsi"/>
                <w:b/>
                <w:bCs/>
                <w:lang w:val="mk-MK"/>
              </w:rPr>
            </w:pPr>
            <w:r w:rsidRPr="00CE3053">
              <w:rPr>
                <w:rFonts w:cstheme="minorHAnsi"/>
                <w:b/>
                <w:bCs/>
                <w:lang w:val="mk-MK"/>
              </w:rPr>
              <w:t>15,215,878</w:t>
            </w:r>
          </w:p>
        </w:tc>
      </w:tr>
      <w:tr w:rsidR="00F93B95" w:rsidRPr="001E6526" w14:paraId="2D91EB3A" w14:textId="77777777" w:rsidTr="0025712C">
        <w:trPr>
          <w:trHeight w:val="216"/>
        </w:trPr>
        <w:tc>
          <w:tcPr>
            <w:tcW w:w="3860" w:type="dxa"/>
            <w:tcBorders>
              <w:top w:val="double" w:sz="4" w:space="0" w:color="auto"/>
            </w:tcBorders>
            <w:shd w:val="clear" w:color="auto" w:fill="auto"/>
            <w:tcMar>
              <w:left w:w="58" w:type="dxa"/>
              <w:right w:w="58" w:type="dxa"/>
            </w:tcMar>
            <w:vAlign w:val="bottom"/>
          </w:tcPr>
          <w:p w14:paraId="22F0AA65" w14:textId="77777777" w:rsidR="00F93B95" w:rsidRPr="00CE3053" w:rsidRDefault="00F93B95" w:rsidP="00F93B95">
            <w:pPr>
              <w:pStyle w:val="TableText"/>
              <w:spacing w:after="0"/>
              <w:rPr>
                <w:rFonts w:cstheme="minorHAnsi"/>
                <w:bCs/>
                <w:sz w:val="18"/>
                <w:lang w:val="mk-MK"/>
              </w:rPr>
            </w:pPr>
          </w:p>
        </w:tc>
        <w:tc>
          <w:tcPr>
            <w:tcW w:w="1344" w:type="dxa"/>
            <w:tcBorders>
              <w:top w:val="double" w:sz="4" w:space="0" w:color="auto"/>
            </w:tcBorders>
            <w:shd w:val="clear" w:color="auto" w:fill="auto"/>
            <w:tcMar>
              <w:left w:w="58" w:type="dxa"/>
              <w:right w:w="58" w:type="dxa"/>
            </w:tcMar>
            <w:vAlign w:val="bottom"/>
          </w:tcPr>
          <w:p w14:paraId="05C597B9" w14:textId="77777777" w:rsidR="00F93B95" w:rsidRPr="00CE3053" w:rsidRDefault="00F93B95" w:rsidP="00F93B95">
            <w:pPr>
              <w:pStyle w:val="TableText"/>
              <w:spacing w:after="0"/>
              <w:jc w:val="right"/>
              <w:rPr>
                <w:rFonts w:cstheme="minorHAnsi"/>
                <w:sz w:val="18"/>
                <w:lang w:val="mk-MK"/>
              </w:rPr>
            </w:pPr>
          </w:p>
        </w:tc>
        <w:tc>
          <w:tcPr>
            <w:tcW w:w="1718" w:type="dxa"/>
            <w:tcBorders>
              <w:top w:val="double" w:sz="4" w:space="0" w:color="auto"/>
            </w:tcBorders>
            <w:shd w:val="clear" w:color="auto" w:fill="auto"/>
            <w:tcMar>
              <w:left w:w="58" w:type="dxa"/>
              <w:right w:w="58" w:type="dxa"/>
            </w:tcMar>
            <w:vAlign w:val="bottom"/>
          </w:tcPr>
          <w:p w14:paraId="085A3C13" w14:textId="77777777" w:rsidR="00F93B95" w:rsidRPr="00CE3053" w:rsidRDefault="00F93B95" w:rsidP="00F93B95">
            <w:pPr>
              <w:pStyle w:val="TableText"/>
              <w:spacing w:after="0"/>
              <w:jc w:val="right"/>
              <w:rPr>
                <w:rFonts w:cstheme="minorHAnsi"/>
                <w:sz w:val="18"/>
                <w:lang w:val="mk-MK"/>
              </w:rPr>
            </w:pPr>
          </w:p>
        </w:tc>
        <w:tc>
          <w:tcPr>
            <w:tcW w:w="1718" w:type="dxa"/>
            <w:tcBorders>
              <w:top w:val="double" w:sz="4" w:space="0" w:color="auto"/>
            </w:tcBorders>
            <w:shd w:val="clear" w:color="auto" w:fill="auto"/>
            <w:tcMar>
              <w:left w:w="58" w:type="dxa"/>
              <w:right w:w="58" w:type="dxa"/>
            </w:tcMar>
            <w:vAlign w:val="bottom"/>
          </w:tcPr>
          <w:p w14:paraId="08BF4A4C" w14:textId="77777777" w:rsidR="00F93B95" w:rsidRPr="00CE3053" w:rsidRDefault="00F93B95" w:rsidP="00F93B95">
            <w:pPr>
              <w:pStyle w:val="TableText"/>
              <w:spacing w:after="0"/>
              <w:jc w:val="right"/>
              <w:rPr>
                <w:rFonts w:cstheme="minorHAnsi"/>
                <w:sz w:val="18"/>
                <w:lang w:val="mk-MK"/>
              </w:rPr>
            </w:pPr>
          </w:p>
        </w:tc>
      </w:tr>
      <w:tr w:rsidR="00F93B95" w:rsidRPr="001E6526" w14:paraId="517C3C8D" w14:textId="77777777" w:rsidTr="0025712C">
        <w:trPr>
          <w:trHeight w:val="216"/>
        </w:trPr>
        <w:tc>
          <w:tcPr>
            <w:tcW w:w="3860" w:type="dxa"/>
            <w:shd w:val="clear" w:color="auto" w:fill="auto"/>
            <w:tcMar>
              <w:left w:w="58" w:type="dxa"/>
              <w:right w:w="58" w:type="dxa"/>
            </w:tcMar>
            <w:vAlign w:val="bottom"/>
          </w:tcPr>
          <w:p w14:paraId="51F9CA97" w14:textId="2438D877" w:rsidR="00F93B95" w:rsidRPr="00CE3053" w:rsidRDefault="000C283E" w:rsidP="00F93B95">
            <w:pPr>
              <w:pStyle w:val="TableText"/>
              <w:spacing w:after="0"/>
              <w:rPr>
                <w:rFonts w:cstheme="minorHAnsi"/>
                <w:b/>
                <w:bCs/>
                <w:sz w:val="18"/>
                <w:lang w:val="mk-MK"/>
              </w:rPr>
            </w:pPr>
            <w:proofErr w:type="spellStart"/>
            <w:r w:rsidRPr="000C283E">
              <w:rPr>
                <w:rFonts w:cstheme="minorHAnsi"/>
                <w:b/>
                <w:bCs/>
                <w:sz w:val="18"/>
                <w:lang w:val="mk-MK"/>
              </w:rPr>
              <w:t>Liabilities</w:t>
            </w:r>
            <w:proofErr w:type="spellEnd"/>
            <w:r w:rsidRPr="000C283E">
              <w:rPr>
                <w:rFonts w:cstheme="minorHAnsi"/>
                <w:b/>
                <w:bCs/>
                <w:sz w:val="18"/>
                <w:lang w:val="mk-MK"/>
              </w:rPr>
              <w:t xml:space="preserve"> </w:t>
            </w:r>
            <w:proofErr w:type="spellStart"/>
            <w:r w:rsidRPr="000C283E">
              <w:rPr>
                <w:rFonts w:cstheme="minorHAnsi"/>
                <w:b/>
                <w:bCs/>
                <w:sz w:val="18"/>
                <w:lang w:val="mk-MK"/>
              </w:rPr>
              <w:t>according</w:t>
            </w:r>
            <w:proofErr w:type="spellEnd"/>
            <w:r w:rsidRPr="000C283E">
              <w:rPr>
                <w:rFonts w:cstheme="minorHAnsi"/>
                <w:b/>
                <w:bCs/>
                <w:sz w:val="18"/>
                <w:lang w:val="mk-MK"/>
              </w:rPr>
              <w:t xml:space="preserve"> </w:t>
            </w:r>
            <w:proofErr w:type="spellStart"/>
            <w:r w:rsidRPr="000C283E">
              <w:rPr>
                <w:rFonts w:cstheme="minorHAnsi"/>
                <w:b/>
                <w:bCs/>
                <w:sz w:val="18"/>
                <w:lang w:val="mk-MK"/>
              </w:rPr>
              <w:t>to</w:t>
            </w:r>
            <w:proofErr w:type="spellEnd"/>
            <w:r w:rsidRPr="000C283E">
              <w:rPr>
                <w:rFonts w:cstheme="minorHAnsi"/>
                <w:b/>
                <w:bCs/>
                <w:sz w:val="18"/>
                <w:lang w:val="mk-MK"/>
              </w:rPr>
              <w:t xml:space="preserve"> </w:t>
            </w:r>
            <w:proofErr w:type="spellStart"/>
            <w:r w:rsidRPr="000C283E">
              <w:rPr>
                <w:rFonts w:cstheme="minorHAnsi"/>
                <w:b/>
                <w:bCs/>
                <w:sz w:val="18"/>
                <w:lang w:val="mk-MK"/>
              </w:rPr>
              <w:t>the</w:t>
            </w:r>
            <w:proofErr w:type="spellEnd"/>
            <w:r w:rsidRPr="000C283E">
              <w:rPr>
                <w:rFonts w:cstheme="minorHAnsi"/>
                <w:b/>
                <w:bCs/>
                <w:sz w:val="18"/>
                <w:lang w:val="mk-MK"/>
              </w:rPr>
              <w:t xml:space="preserve"> </w:t>
            </w:r>
            <w:proofErr w:type="spellStart"/>
            <w:r w:rsidRPr="000C283E">
              <w:rPr>
                <w:rFonts w:cstheme="minorHAnsi"/>
                <w:b/>
                <w:bCs/>
                <w:sz w:val="18"/>
                <w:lang w:val="mk-MK"/>
              </w:rPr>
              <w:t>Statement</w:t>
            </w:r>
            <w:proofErr w:type="spellEnd"/>
            <w:r w:rsidRPr="000C283E">
              <w:rPr>
                <w:rFonts w:cstheme="minorHAnsi"/>
                <w:b/>
                <w:bCs/>
                <w:sz w:val="18"/>
                <w:lang w:val="mk-MK"/>
              </w:rPr>
              <w:t xml:space="preserve"> </w:t>
            </w:r>
            <w:proofErr w:type="spellStart"/>
            <w:r w:rsidRPr="000C283E">
              <w:rPr>
                <w:rFonts w:cstheme="minorHAnsi"/>
                <w:b/>
                <w:bCs/>
                <w:sz w:val="18"/>
                <w:lang w:val="mk-MK"/>
              </w:rPr>
              <w:t>of</w:t>
            </w:r>
            <w:proofErr w:type="spellEnd"/>
            <w:r w:rsidRPr="000C283E">
              <w:rPr>
                <w:rFonts w:cstheme="minorHAnsi"/>
                <w:b/>
                <w:bCs/>
                <w:sz w:val="18"/>
                <w:lang w:val="mk-MK"/>
              </w:rPr>
              <w:t xml:space="preserve"> </w:t>
            </w:r>
            <w:proofErr w:type="spellStart"/>
            <w:r w:rsidRPr="000C283E">
              <w:rPr>
                <w:rFonts w:cstheme="minorHAnsi"/>
                <w:b/>
                <w:bCs/>
                <w:sz w:val="18"/>
                <w:lang w:val="mk-MK"/>
              </w:rPr>
              <w:t>financial</w:t>
            </w:r>
            <w:proofErr w:type="spellEnd"/>
            <w:r w:rsidRPr="000C283E">
              <w:rPr>
                <w:rFonts w:cstheme="minorHAnsi"/>
                <w:b/>
                <w:bCs/>
                <w:sz w:val="18"/>
                <w:lang w:val="mk-MK"/>
              </w:rPr>
              <w:t xml:space="preserve"> </w:t>
            </w:r>
            <w:proofErr w:type="spellStart"/>
            <w:r w:rsidRPr="000C283E">
              <w:rPr>
                <w:rFonts w:cstheme="minorHAnsi"/>
                <w:b/>
                <w:bCs/>
                <w:sz w:val="18"/>
                <w:lang w:val="mk-MK"/>
              </w:rPr>
              <w:t>position</w:t>
            </w:r>
            <w:proofErr w:type="spellEnd"/>
          </w:p>
        </w:tc>
        <w:tc>
          <w:tcPr>
            <w:tcW w:w="1344" w:type="dxa"/>
            <w:shd w:val="clear" w:color="auto" w:fill="auto"/>
            <w:tcMar>
              <w:left w:w="58" w:type="dxa"/>
              <w:right w:w="58" w:type="dxa"/>
            </w:tcMar>
            <w:vAlign w:val="bottom"/>
          </w:tcPr>
          <w:p w14:paraId="76DDD75F" w14:textId="77777777" w:rsidR="00F93B95" w:rsidRPr="00CE3053" w:rsidRDefault="00F93B95" w:rsidP="00F93B95">
            <w:pPr>
              <w:pStyle w:val="TableText"/>
              <w:spacing w:after="0"/>
              <w:jc w:val="right"/>
              <w:rPr>
                <w:rFonts w:cstheme="minorHAnsi"/>
                <w:b/>
                <w:sz w:val="18"/>
                <w:lang w:val="mk-MK"/>
              </w:rPr>
            </w:pPr>
          </w:p>
        </w:tc>
        <w:tc>
          <w:tcPr>
            <w:tcW w:w="1718" w:type="dxa"/>
            <w:shd w:val="clear" w:color="auto" w:fill="auto"/>
            <w:tcMar>
              <w:left w:w="58" w:type="dxa"/>
              <w:right w:w="58" w:type="dxa"/>
            </w:tcMar>
            <w:vAlign w:val="bottom"/>
          </w:tcPr>
          <w:p w14:paraId="379C5385" w14:textId="77777777" w:rsidR="00F93B95" w:rsidRPr="00CE3053" w:rsidRDefault="00F93B95" w:rsidP="00F93B95">
            <w:pPr>
              <w:pStyle w:val="TableText"/>
              <w:spacing w:after="0"/>
              <w:jc w:val="right"/>
              <w:rPr>
                <w:rFonts w:cstheme="minorHAnsi"/>
                <w:b/>
                <w:sz w:val="18"/>
                <w:lang w:val="mk-MK"/>
              </w:rPr>
            </w:pPr>
          </w:p>
        </w:tc>
        <w:tc>
          <w:tcPr>
            <w:tcW w:w="1718" w:type="dxa"/>
            <w:shd w:val="clear" w:color="auto" w:fill="auto"/>
            <w:tcMar>
              <w:left w:w="58" w:type="dxa"/>
              <w:right w:w="58" w:type="dxa"/>
            </w:tcMar>
            <w:vAlign w:val="bottom"/>
          </w:tcPr>
          <w:p w14:paraId="033CE079" w14:textId="77777777" w:rsidR="00F93B95" w:rsidRPr="00CE3053" w:rsidRDefault="00F93B95" w:rsidP="00F93B95">
            <w:pPr>
              <w:pStyle w:val="TableText"/>
              <w:spacing w:after="0"/>
              <w:jc w:val="right"/>
              <w:rPr>
                <w:rFonts w:cstheme="minorHAnsi"/>
                <w:b/>
                <w:sz w:val="18"/>
                <w:lang w:val="mk-MK"/>
              </w:rPr>
            </w:pPr>
          </w:p>
        </w:tc>
      </w:tr>
      <w:tr w:rsidR="00F93B95" w:rsidRPr="001E6526" w14:paraId="5785B2F1" w14:textId="77777777" w:rsidTr="0025712C">
        <w:trPr>
          <w:trHeight w:val="1332"/>
        </w:trPr>
        <w:tc>
          <w:tcPr>
            <w:tcW w:w="3860" w:type="dxa"/>
            <w:shd w:val="clear" w:color="auto" w:fill="auto"/>
            <w:tcMar>
              <w:left w:w="58" w:type="dxa"/>
              <w:right w:w="58" w:type="dxa"/>
            </w:tcMar>
            <w:vAlign w:val="bottom"/>
          </w:tcPr>
          <w:p w14:paraId="262BC8B7" w14:textId="77777777" w:rsidR="00F93B95" w:rsidRPr="00CE3053" w:rsidRDefault="00F93B95" w:rsidP="00F93B95">
            <w:pPr>
              <w:pStyle w:val="TableText"/>
              <w:spacing w:after="0"/>
              <w:rPr>
                <w:rFonts w:cstheme="minorHAnsi"/>
                <w:bCs/>
                <w:sz w:val="18"/>
                <w:lang w:val="mk-MK"/>
              </w:rPr>
            </w:pPr>
          </w:p>
        </w:tc>
        <w:tc>
          <w:tcPr>
            <w:tcW w:w="1344" w:type="dxa"/>
            <w:shd w:val="clear" w:color="auto" w:fill="auto"/>
            <w:tcMar>
              <w:left w:w="58" w:type="dxa"/>
              <w:right w:w="58" w:type="dxa"/>
            </w:tcMar>
            <w:vAlign w:val="bottom"/>
          </w:tcPr>
          <w:p w14:paraId="78BFD6A4" w14:textId="77777777" w:rsidR="00F93B95" w:rsidRPr="00CE3053" w:rsidRDefault="00F93B95" w:rsidP="00F93B95">
            <w:pPr>
              <w:pStyle w:val="TableText"/>
              <w:spacing w:after="0"/>
              <w:jc w:val="right"/>
              <w:rPr>
                <w:rFonts w:cstheme="minorHAnsi"/>
                <w:sz w:val="18"/>
                <w:lang w:val="mk-MK"/>
              </w:rPr>
            </w:pPr>
          </w:p>
        </w:tc>
        <w:tc>
          <w:tcPr>
            <w:tcW w:w="1718" w:type="dxa"/>
            <w:shd w:val="clear" w:color="auto" w:fill="auto"/>
            <w:tcMar>
              <w:left w:w="58" w:type="dxa"/>
              <w:right w:w="58" w:type="dxa"/>
            </w:tcMar>
            <w:vAlign w:val="bottom"/>
          </w:tcPr>
          <w:p w14:paraId="729A3A53" w14:textId="3B651AF3" w:rsidR="00F93B95" w:rsidRPr="00CE3053" w:rsidRDefault="000C283E" w:rsidP="00F93B95">
            <w:pPr>
              <w:pStyle w:val="TableText"/>
              <w:spacing w:after="0"/>
              <w:jc w:val="right"/>
              <w:rPr>
                <w:rFonts w:cstheme="minorHAnsi"/>
                <w:sz w:val="18"/>
                <w:lang w:val="mk-MK"/>
              </w:rPr>
            </w:pPr>
            <w:proofErr w:type="spellStart"/>
            <w:r w:rsidRPr="000C283E">
              <w:rPr>
                <w:rFonts w:cstheme="minorHAnsi"/>
                <w:sz w:val="18"/>
                <w:lang w:val="mk-MK"/>
              </w:rPr>
              <w:t>Other</w:t>
            </w:r>
            <w:proofErr w:type="spellEnd"/>
            <w:r w:rsidRPr="000C283E">
              <w:rPr>
                <w:rFonts w:cstheme="minorHAnsi"/>
                <w:sz w:val="18"/>
                <w:lang w:val="mk-MK"/>
              </w:rPr>
              <w:t xml:space="preserve"> </w:t>
            </w:r>
            <w:proofErr w:type="spellStart"/>
            <w:r w:rsidRPr="000C283E">
              <w:rPr>
                <w:rFonts w:cstheme="minorHAnsi"/>
                <w:sz w:val="18"/>
                <w:lang w:val="mk-MK"/>
              </w:rPr>
              <w:t>financial</w:t>
            </w:r>
            <w:proofErr w:type="spellEnd"/>
            <w:r w:rsidRPr="000C283E">
              <w:rPr>
                <w:rFonts w:cstheme="minorHAnsi"/>
                <w:sz w:val="18"/>
                <w:lang w:val="mk-MK"/>
              </w:rPr>
              <w:t xml:space="preserve"> </w:t>
            </w:r>
            <w:proofErr w:type="spellStart"/>
            <w:r w:rsidRPr="000C283E">
              <w:rPr>
                <w:rFonts w:cstheme="minorHAnsi"/>
                <w:sz w:val="18"/>
                <w:lang w:val="mk-MK"/>
              </w:rPr>
              <w:t>liabilities</w:t>
            </w:r>
            <w:proofErr w:type="spellEnd"/>
            <w:r w:rsidRPr="000C283E">
              <w:rPr>
                <w:rFonts w:cstheme="minorHAnsi"/>
                <w:sz w:val="18"/>
                <w:lang w:val="mk-MK"/>
              </w:rPr>
              <w:t xml:space="preserve"> </w:t>
            </w:r>
            <w:proofErr w:type="spellStart"/>
            <w:r w:rsidRPr="000C283E">
              <w:rPr>
                <w:rFonts w:cstheme="minorHAnsi"/>
                <w:sz w:val="18"/>
                <w:lang w:val="mk-MK"/>
              </w:rPr>
              <w:t>at</w:t>
            </w:r>
            <w:proofErr w:type="spellEnd"/>
            <w:r w:rsidRPr="000C283E">
              <w:rPr>
                <w:rFonts w:cstheme="minorHAnsi"/>
                <w:sz w:val="18"/>
                <w:lang w:val="mk-MK"/>
              </w:rPr>
              <w:t xml:space="preserve"> </w:t>
            </w:r>
            <w:proofErr w:type="spellStart"/>
            <w:r w:rsidRPr="000C283E">
              <w:rPr>
                <w:rFonts w:cstheme="minorHAnsi"/>
                <w:sz w:val="18"/>
                <w:lang w:val="mk-MK"/>
              </w:rPr>
              <w:t>amortized</w:t>
            </w:r>
            <w:proofErr w:type="spellEnd"/>
            <w:r w:rsidRPr="000C283E">
              <w:rPr>
                <w:rFonts w:cstheme="minorHAnsi"/>
                <w:sz w:val="18"/>
                <w:lang w:val="mk-MK"/>
              </w:rPr>
              <w:t xml:space="preserve"> </w:t>
            </w:r>
            <w:proofErr w:type="spellStart"/>
            <w:r w:rsidRPr="000C283E">
              <w:rPr>
                <w:rFonts w:cstheme="minorHAnsi"/>
                <w:sz w:val="18"/>
                <w:lang w:val="mk-MK"/>
              </w:rPr>
              <w:t>cost</w:t>
            </w:r>
            <w:proofErr w:type="spellEnd"/>
          </w:p>
        </w:tc>
        <w:tc>
          <w:tcPr>
            <w:tcW w:w="1718" w:type="dxa"/>
            <w:shd w:val="clear" w:color="auto" w:fill="auto"/>
            <w:tcMar>
              <w:left w:w="58" w:type="dxa"/>
              <w:right w:w="58" w:type="dxa"/>
            </w:tcMar>
            <w:vAlign w:val="bottom"/>
          </w:tcPr>
          <w:p w14:paraId="21BC7FF6" w14:textId="571341E1" w:rsidR="00F93B95" w:rsidRPr="000C283E" w:rsidRDefault="000C283E" w:rsidP="00F93B95">
            <w:pPr>
              <w:pStyle w:val="TableText"/>
              <w:spacing w:after="0"/>
              <w:jc w:val="right"/>
              <w:rPr>
                <w:rFonts w:cstheme="minorHAnsi"/>
                <w:sz w:val="18"/>
                <w:lang w:val="en-US"/>
              </w:rPr>
            </w:pPr>
            <w:r>
              <w:rPr>
                <w:rFonts w:cstheme="minorHAnsi"/>
                <w:sz w:val="18"/>
                <w:lang w:val="en-US"/>
              </w:rPr>
              <w:t>Total</w:t>
            </w:r>
          </w:p>
        </w:tc>
      </w:tr>
      <w:tr w:rsidR="00F93B95" w:rsidRPr="001E6526" w14:paraId="443AF119" w14:textId="77777777" w:rsidTr="0025712C">
        <w:trPr>
          <w:trHeight w:val="216"/>
        </w:trPr>
        <w:tc>
          <w:tcPr>
            <w:tcW w:w="3860" w:type="dxa"/>
            <w:shd w:val="clear" w:color="auto" w:fill="auto"/>
            <w:tcMar>
              <w:left w:w="58" w:type="dxa"/>
              <w:right w:w="58" w:type="dxa"/>
            </w:tcMar>
            <w:vAlign w:val="bottom"/>
          </w:tcPr>
          <w:p w14:paraId="3F2EB8B1" w14:textId="504A11B5" w:rsidR="00F93B95" w:rsidRPr="000C283E" w:rsidRDefault="000C283E" w:rsidP="00F93B95">
            <w:pPr>
              <w:pStyle w:val="TableText"/>
              <w:spacing w:after="0"/>
              <w:rPr>
                <w:rFonts w:cstheme="minorHAnsi"/>
                <w:bCs/>
                <w:sz w:val="18"/>
                <w:lang w:val="en-US"/>
              </w:rPr>
            </w:pPr>
            <w:r>
              <w:rPr>
                <w:rFonts w:cstheme="minorHAnsi"/>
                <w:bCs/>
                <w:sz w:val="18"/>
                <w:lang w:val="en-US"/>
              </w:rPr>
              <w:t>Claims payables</w:t>
            </w:r>
          </w:p>
        </w:tc>
        <w:tc>
          <w:tcPr>
            <w:tcW w:w="1344" w:type="dxa"/>
            <w:shd w:val="clear" w:color="auto" w:fill="auto"/>
            <w:tcMar>
              <w:left w:w="58" w:type="dxa"/>
              <w:right w:w="58" w:type="dxa"/>
            </w:tcMar>
            <w:vAlign w:val="bottom"/>
          </w:tcPr>
          <w:p w14:paraId="7E7042C7" w14:textId="77777777" w:rsidR="00F93B95" w:rsidRPr="00CE3053" w:rsidRDefault="00F93B95" w:rsidP="00F93B95">
            <w:pPr>
              <w:pStyle w:val="TableText"/>
              <w:spacing w:after="0"/>
              <w:jc w:val="right"/>
              <w:rPr>
                <w:rFonts w:cstheme="minorHAnsi"/>
                <w:sz w:val="18"/>
                <w:lang w:val="mk-MK"/>
              </w:rPr>
            </w:pPr>
          </w:p>
        </w:tc>
        <w:tc>
          <w:tcPr>
            <w:tcW w:w="1718" w:type="dxa"/>
            <w:shd w:val="clear" w:color="auto" w:fill="auto"/>
            <w:tcMar>
              <w:left w:w="58" w:type="dxa"/>
              <w:right w:w="58" w:type="dxa"/>
            </w:tcMar>
            <w:vAlign w:val="bottom"/>
          </w:tcPr>
          <w:p w14:paraId="33BEBC63" w14:textId="3E732040" w:rsidR="00F93B95" w:rsidRPr="001E6526" w:rsidRDefault="00CF33EF" w:rsidP="00F93B95">
            <w:pPr>
              <w:pStyle w:val="TableText"/>
              <w:spacing w:after="0"/>
              <w:jc w:val="right"/>
              <w:rPr>
                <w:rFonts w:cstheme="minorHAnsi"/>
                <w:sz w:val="18"/>
                <w:lang w:val="mk-MK"/>
              </w:rPr>
            </w:pPr>
            <w:r w:rsidRPr="00CE3053">
              <w:rPr>
                <w:rFonts w:cstheme="minorHAnsi"/>
                <w:sz w:val="18"/>
                <w:lang w:val="mk-MK"/>
              </w:rPr>
              <w:t>416,884</w:t>
            </w:r>
          </w:p>
        </w:tc>
        <w:tc>
          <w:tcPr>
            <w:tcW w:w="1718" w:type="dxa"/>
            <w:shd w:val="clear" w:color="auto" w:fill="auto"/>
            <w:tcMar>
              <w:left w:w="58" w:type="dxa"/>
              <w:right w:w="58" w:type="dxa"/>
            </w:tcMar>
            <w:vAlign w:val="bottom"/>
          </w:tcPr>
          <w:p w14:paraId="374DF19D" w14:textId="5A8F305D" w:rsidR="00F93B95" w:rsidRPr="00CE3053" w:rsidRDefault="00CF33EF" w:rsidP="00F93B95">
            <w:pPr>
              <w:spacing w:after="0"/>
              <w:jc w:val="right"/>
              <w:rPr>
                <w:rFonts w:cstheme="minorHAnsi"/>
                <w:lang w:val="mk-MK"/>
              </w:rPr>
            </w:pPr>
            <w:r w:rsidRPr="00CE3053">
              <w:rPr>
                <w:rFonts w:cstheme="minorHAnsi"/>
                <w:lang w:val="mk-MK"/>
              </w:rPr>
              <w:t>416,884</w:t>
            </w:r>
          </w:p>
        </w:tc>
      </w:tr>
      <w:tr w:rsidR="00F93B95" w:rsidRPr="001E6526" w14:paraId="0607EA5C" w14:textId="77777777" w:rsidTr="0025712C">
        <w:trPr>
          <w:trHeight w:val="216"/>
        </w:trPr>
        <w:tc>
          <w:tcPr>
            <w:tcW w:w="3860" w:type="dxa"/>
            <w:tcBorders>
              <w:bottom w:val="single" w:sz="4" w:space="0" w:color="auto"/>
            </w:tcBorders>
            <w:shd w:val="clear" w:color="auto" w:fill="auto"/>
            <w:tcMar>
              <w:left w:w="58" w:type="dxa"/>
              <w:right w:w="58" w:type="dxa"/>
            </w:tcMar>
            <w:vAlign w:val="bottom"/>
          </w:tcPr>
          <w:p w14:paraId="2440167D" w14:textId="1C7F46CB" w:rsidR="00F93B95" w:rsidRPr="000C283E" w:rsidRDefault="000C283E" w:rsidP="00F93B95">
            <w:pPr>
              <w:pStyle w:val="TableText"/>
              <w:spacing w:after="0"/>
              <w:rPr>
                <w:rFonts w:cstheme="minorHAnsi"/>
                <w:bCs/>
                <w:sz w:val="18"/>
                <w:lang w:val="en-US"/>
              </w:rPr>
            </w:pPr>
            <w:r>
              <w:rPr>
                <w:rFonts w:cstheme="minorHAnsi"/>
                <w:bCs/>
                <w:sz w:val="18"/>
                <w:lang w:val="en-US"/>
              </w:rPr>
              <w:t>Other payables</w:t>
            </w:r>
          </w:p>
        </w:tc>
        <w:tc>
          <w:tcPr>
            <w:tcW w:w="1344" w:type="dxa"/>
            <w:tcBorders>
              <w:bottom w:val="single" w:sz="4" w:space="0" w:color="auto"/>
            </w:tcBorders>
            <w:shd w:val="clear" w:color="auto" w:fill="auto"/>
            <w:tcMar>
              <w:left w:w="58" w:type="dxa"/>
              <w:right w:w="58" w:type="dxa"/>
            </w:tcMar>
            <w:vAlign w:val="bottom"/>
          </w:tcPr>
          <w:p w14:paraId="49AB7B0C" w14:textId="77777777" w:rsidR="00F93B95" w:rsidRPr="00CE3053" w:rsidRDefault="00F93B95" w:rsidP="00F93B95">
            <w:pPr>
              <w:pStyle w:val="TableText"/>
              <w:spacing w:after="0"/>
              <w:jc w:val="right"/>
              <w:rPr>
                <w:rFonts w:cstheme="minorHAnsi"/>
                <w:sz w:val="18"/>
                <w:lang w:val="mk-MK"/>
              </w:rPr>
            </w:pPr>
          </w:p>
        </w:tc>
        <w:tc>
          <w:tcPr>
            <w:tcW w:w="1718" w:type="dxa"/>
            <w:tcBorders>
              <w:bottom w:val="single" w:sz="4" w:space="0" w:color="auto"/>
            </w:tcBorders>
            <w:shd w:val="clear" w:color="auto" w:fill="auto"/>
            <w:tcMar>
              <w:left w:w="58" w:type="dxa"/>
              <w:right w:w="58" w:type="dxa"/>
            </w:tcMar>
            <w:vAlign w:val="bottom"/>
          </w:tcPr>
          <w:p w14:paraId="529C59B1" w14:textId="1EBA341D" w:rsidR="00F93B95" w:rsidRPr="001E6526" w:rsidRDefault="00CF33EF" w:rsidP="00F93B95">
            <w:pPr>
              <w:pStyle w:val="TableText"/>
              <w:spacing w:after="0"/>
              <w:jc w:val="right"/>
              <w:rPr>
                <w:rFonts w:cstheme="minorHAnsi"/>
                <w:sz w:val="18"/>
                <w:lang w:val="mk-MK"/>
              </w:rPr>
            </w:pPr>
            <w:r w:rsidRPr="00CE3053">
              <w:rPr>
                <w:rFonts w:cstheme="minorHAnsi"/>
                <w:sz w:val="18"/>
                <w:lang w:val="mk-MK"/>
              </w:rPr>
              <w:t>72</w:t>
            </w:r>
          </w:p>
        </w:tc>
        <w:tc>
          <w:tcPr>
            <w:tcW w:w="1718" w:type="dxa"/>
            <w:tcBorders>
              <w:bottom w:val="single" w:sz="4" w:space="0" w:color="auto"/>
            </w:tcBorders>
            <w:shd w:val="clear" w:color="auto" w:fill="auto"/>
            <w:tcMar>
              <w:left w:w="58" w:type="dxa"/>
              <w:right w:w="58" w:type="dxa"/>
            </w:tcMar>
            <w:vAlign w:val="bottom"/>
          </w:tcPr>
          <w:p w14:paraId="5329CF70" w14:textId="6C10BD47" w:rsidR="00F93B95" w:rsidRPr="001E6526" w:rsidRDefault="00CF33EF" w:rsidP="00F93B95">
            <w:pPr>
              <w:spacing w:after="0"/>
              <w:jc w:val="right"/>
              <w:rPr>
                <w:rFonts w:cstheme="minorHAnsi"/>
                <w:lang w:val="mk-MK"/>
              </w:rPr>
            </w:pPr>
            <w:r w:rsidRPr="00CE3053">
              <w:rPr>
                <w:rFonts w:cstheme="minorHAnsi"/>
                <w:lang w:val="mk-MK"/>
              </w:rPr>
              <w:t>72</w:t>
            </w:r>
          </w:p>
        </w:tc>
      </w:tr>
      <w:tr w:rsidR="00F93B95" w:rsidRPr="001E6526" w14:paraId="2980D905" w14:textId="77777777" w:rsidTr="0025712C">
        <w:trPr>
          <w:trHeight w:val="216"/>
        </w:trPr>
        <w:tc>
          <w:tcPr>
            <w:tcW w:w="3860" w:type="dxa"/>
            <w:tcBorders>
              <w:top w:val="single" w:sz="4" w:space="0" w:color="auto"/>
              <w:bottom w:val="double" w:sz="4" w:space="0" w:color="auto"/>
            </w:tcBorders>
            <w:shd w:val="clear" w:color="auto" w:fill="auto"/>
            <w:tcMar>
              <w:left w:w="58" w:type="dxa"/>
              <w:right w:w="58" w:type="dxa"/>
            </w:tcMar>
            <w:vAlign w:val="bottom"/>
          </w:tcPr>
          <w:p w14:paraId="78B689C2" w14:textId="36CDB117" w:rsidR="00F93B95" w:rsidRPr="000C283E" w:rsidRDefault="000C283E" w:rsidP="00F93B95">
            <w:pPr>
              <w:pStyle w:val="TableText"/>
              <w:spacing w:after="0"/>
              <w:rPr>
                <w:rFonts w:cstheme="minorHAnsi"/>
                <w:b/>
                <w:bCs/>
                <w:sz w:val="18"/>
                <w:lang w:val="en-US"/>
              </w:rPr>
            </w:pPr>
            <w:r>
              <w:rPr>
                <w:rFonts w:cstheme="minorHAnsi"/>
                <w:b/>
                <w:bCs/>
                <w:sz w:val="18"/>
                <w:lang w:val="en-US"/>
              </w:rPr>
              <w:t>Total</w:t>
            </w:r>
          </w:p>
        </w:tc>
        <w:tc>
          <w:tcPr>
            <w:tcW w:w="1344" w:type="dxa"/>
            <w:tcBorders>
              <w:top w:val="single" w:sz="4" w:space="0" w:color="auto"/>
              <w:bottom w:val="double" w:sz="4" w:space="0" w:color="auto"/>
            </w:tcBorders>
            <w:shd w:val="clear" w:color="auto" w:fill="auto"/>
            <w:tcMar>
              <w:left w:w="58" w:type="dxa"/>
              <w:right w:w="58" w:type="dxa"/>
            </w:tcMar>
            <w:vAlign w:val="bottom"/>
          </w:tcPr>
          <w:p w14:paraId="0DCFDC7A" w14:textId="77777777" w:rsidR="00F93B95" w:rsidRPr="00CE3053" w:rsidRDefault="00F93B95" w:rsidP="00F93B95">
            <w:pPr>
              <w:pStyle w:val="TableText"/>
              <w:spacing w:after="0"/>
              <w:jc w:val="right"/>
              <w:rPr>
                <w:rFonts w:cstheme="minorHAnsi"/>
                <w:b/>
                <w:sz w:val="18"/>
                <w:lang w:val="mk-MK"/>
              </w:rPr>
            </w:pPr>
          </w:p>
        </w:tc>
        <w:tc>
          <w:tcPr>
            <w:tcW w:w="1718" w:type="dxa"/>
            <w:tcBorders>
              <w:top w:val="single" w:sz="4" w:space="0" w:color="auto"/>
              <w:bottom w:val="double" w:sz="4" w:space="0" w:color="auto"/>
            </w:tcBorders>
            <w:shd w:val="clear" w:color="auto" w:fill="auto"/>
            <w:tcMar>
              <w:left w:w="58" w:type="dxa"/>
              <w:right w:w="58" w:type="dxa"/>
            </w:tcMar>
            <w:vAlign w:val="bottom"/>
          </w:tcPr>
          <w:p w14:paraId="7A49F7AD" w14:textId="7EA1313F" w:rsidR="00F93B95" w:rsidRPr="00CE3053" w:rsidRDefault="00CF33EF" w:rsidP="00F93B95">
            <w:pPr>
              <w:pStyle w:val="TableText"/>
              <w:spacing w:after="0"/>
              <w:jc w:val="right"/>
              <w:rPr>
                <w:rFonts w:cstheme="minorHAnsi"/>
                <w:b/>
                <w:sz w:val="18"/>
                <w:lang w:val="mk-MK"/>
              </w:rPr>
            </w:pPr>
            <w:r w:rsidRPr="00CE3053">
              <w:rPr>
                <w:rFonts w:cstheme="minorHAnsi"/>
                <w:b/>
                <w:sz w:val="18"/>
                <w:lang w:val="mk-MK"/>
              </w:rPr>
              <w:t>416,956</w:t>
            </w:r>
          </w:p>
        </w:tc>
        <w:tc>
          <w:tcPr>
            <w:tcW w:w="1718" w:type="dxa"/>
            <w:tcBorders>
              <w:top w:val="single" w:sz="4" w:space="0" w:color="auto"/>
              <w:bottom w:val="double" w:sz="4" w:space="0" w:color="auto"/>
            </w:tcBorders>
            <w:shd w:val="clear" w:color="auto" w:fill="auto"/>
            <w:tcMar>
              <w:left w:w="58" w:type="dxa"/>
              <w:right w:w="58" w:type="dxa"/>
            </w:tcMar>
            <w:vAlign w:val="bottom"/>
          </w:tcPr>
          <w:p w14:paraId="02AFB35E" w14:textId="6418FEE6" w:rsidR="00F93B95" w:rsidRPr="00CE3053" w:rsidRDefault="00CF33EF" w:rsidP="00F93B95">
            <w:pPr>
              <w:spacing w:after="0"/>
              <w:jc w:val="right"/>
              <w:rPr>
                <w:rFonts w:cstheme="minorHAnsi"/>
                <w:b/>
                <w:bCs/>
                <w:lang w:val="mk-MK"/>
              </w:rPr>
            </w:pPr>
            <w:r w:rsidRPr="00CE3053">
              <w:rPr>
                <w:rFonts w:cstheme="minorHAnsi"/>
                <w:b/>
                <w:bCs/>
                <w:lang w:val="mk-MK"/>
              </w:rPr>
              <w:t>416,956</w:t>
            </w:r>
          </w:p>
        </w:tc>
      </w:tr>
      <w:tr w:rsidR="00F93B95" w:rsidRPr="001E6526" w14:paraId="70D40CE6" w14:textId="77777777" w:rsidTr="0025712C">
        <w:trPr>
          <w:trHeight w:val="216"/>
        </w:trPr>
        <w:tc>
          <w:tcPr>
            <w:tcW w:w="3860" w:type="dxa"/>
            <w:tcBorders>
              <w:top w:val="double" w:sz="4" w:space="0" w:color="auto"/>
            </w:tcBorders>
            <w:shd w:val="clear" w:color="auto" w:fill="auto"/>
            <w:tcMar>
              <w:left w:w="58" w:type="dxa"/>
              <w:right w:w="58" w:type="dxa"/>
            </w:tcMar>
            <w:vAlign w:val="bottom"/>
          </w:tcPr>
          <w:p w14:paraId="4F124D50" w14:textId="77777777" w:rsidR="00F93B95" w:rsidRPr="00CE3053" w:rsidRDefault="00F93B95" w:rsidP="00F93B95">
            <w:pPr>
              <w:pStyle w:val="TableText"/>
              <w:spacing w:after="0"/>
              <w:rPr>
                <w:rFonts w:cstheme="minorHAnsi"/>
                <w:bCs/>
                <w:sz w:val="18"/>
                <w:lang w:val="mk-MK"/>
              </w:rPr>
            </w:pPr>
          </w:p>
        </w:tc>
        <w:tc>
          <w:tcPr>
            <w:tcW w:w="1344" w:type="dxa"/>
            <w:tcBorders>
              <w:top w:val="double" w:sz="4" w:space="0" w:color="auto"/>
            </w:tcBorders>
            <w:shd w:val="clear" w:color="auto" w:fill="auto"/>
            <w:tcMar>
              <w:left w:w="58" w:type="dxa"/>
              <w:right w:w="58" w:type="dxa"/>
            </w:tcMar>
            <w:vAlign w:val="bottom"/>
          </w:tcPr>
          <w:p w14:paraId="0C2CE542" w14:textId="77777777" w:rsidR="00F93B95" w:rsidRPr="00CE3053" w:rsidRDefault="00F93B95" w:rsidP="00F93B95">
            <w:pPr>
              <w:pStyle w:val="TableText"/>
              <w:spacing w:after="0"/>
              <w:jc w:val="right"/>
              <w:rPr>
                <w:rFonts w:cstheme="minorHAnsi"/>
                <w:sz w:val="18"/>
                <w:lang w:val="mk-MK"/>
              </w:rPr>
            </w:pPr>
          </w:p>
        </w:tc>
        <w:tc>
          <w:tcPr>
            <w:tcW w:w="1718" w:type="dxa"/>
            <w:tcBorders>
              <w:top w:val="double" w:sz="4" w:space="0" w:color="auto"/>
            </w:tcBorders>
            <w:shd w:val="clear" w:color="auto" w:fill="auto"/>
            <w:tcMar>
              <w:left w:w="58" w:type="dxa"/>
              <w:right w:w="58" w:type="dxa"/>
            </w:tcMar>
            <w:vAlign w:val="bottom"/>
          </w:tcPr>
          <w:p w14:paraId="3163DDBC" w14:textId="77777777" w:rsidR="00F93B95" w:rsidRPr="00CE3053" w:rsidRDefault="00F93B95" w:rsidP="00F93B95">
            <w:pPr>
              <w:pStyle w:val="TableText"/>
              <w:spacing w:after="0"/>
              <w:jc w:val="right"/>
              <w:rPr>
                <w:rFonts w:cstheme="minorHAnsi"/>
                <w:sz w:val="18"/>
                <w:lang w:val="mk-MK"/>
              </w:rPr>
            </w:pPr>
          </w:p>
        </w:tc>
        <w:tc>
          <w:tcPr>
            <w:tcW w:w="1718" w:type="dxa"/>
            <w:tcBorders>
              <w:top w:val="double" w:sz="4" w:space="0" w:color="auto"/>
            </w:tcBorders>
            <w:shd w:val="clear" w:color="auto" w:fill="auto"/>
            <w:tcMar>
              <w:left w:w="58" w:type="dxa"/>
              <w:right w:w="58" w:type="dxa"/>
            </w:tcMar>
            <w:vAlign w:val="bottom"/>
          </w:tcPr>
          <w:p w14:paraId="5F3E3715" w14:textId="77777777" w:rsidR="00F93B95" w:rsidRPr="00CE3053" w:rsidRDefault="00F93B95" w:rsidP="00F93B95">
            <w:pPr>
              <w:pStyle w:val="TableText"/>
              <w:spacing w:after="0"/>
              <w:jc w:val="right"/>
              <w:rPr>
                <w:rFonts w:cstheme="minorHAnsi"/>
                <w:sz w:val="18"/>
                <w:lang w:val="mk-MK"/>
              </w:rPr>
            </w:pPr>
          </w:p>
        </w:tc>
      </w:tr>
      <w:tr w:rsidR="00F93B95" w:rsidRPr="001E6526" w14:paraId="455F4115" w14:textId="77777777" w:rsidTr="0025712C">
        <w:trPr>
          <w:trHeight w:val="216"/>
        </w:trPr>
        <w:tc>
          <w:tcPr>
            <w:tcW w:w="3860" w:type="dxa"/>
            <w:shd w:val="clear" w:color="auto" w:fill="auto"/>
            <w:tcMar>
              <w:left w:w="58" w:type="dxa"/>
              <w:right w:w="58" w:type="dxa"/>
            </w:tcMar>
            <w:vAlign w:val="bottom"/>
          </w:tcPr>
          <w:p w14:paraId="11FFBF74" w14:textId="7B60319A" w:rsidR="00F93B95" w:rsidRPr="00CE3053" w:rsidRDefault="00F93B95" w:rsidP="00F93B95">
            <w:pPr>
              <w:pStyle w:val="TableText"/>
              <w:spacing w:after="0"/>
              <w:rPr>
                <w:rFonts w:cstheme="minorHAnsi"/>
                <w:b/>
                <w:bCs/>
                <w:sz w:val="18"/>
                <w:lang w:val="mk-MK"/>
              </w:rPr>
            </w:pPr>
            <w:r w:rsidRPr="00CE3053">
              <w:rPr>
                <w:rFonts w:cstheme="minorHAnsi"/>
                <w:b/>
                <w:bCs/>
                <w:sz w:val="18"/>
                <w:lang w:val="mk-MK"/>
              </w:rPr>
              <w:t xml:space="preserve">31 </w:t>
            </w:r>
            <w:r w:rsidR="000C283E">
              <w:rPr>
                <w:rFonts w:cstheme="minorHAnsi"/>
                <w:b/>
                <w:bCs/>
                <w:sz w:val="18"/>
                <w:lang w:val="en-US"/>
              </w:rPr>
              <w:t>December</w:t>
            </w:r>
            <w:r w:rsidRPr="00CE3053">
              <w:rPr>
                <w:rFonts w:cstheme="minorHAnsi"/>
                <w:b/>
                <w:bCs/>
                <w:sz w:val="18"/>
                <w:lang w:val="mk-MK"/>
              </w:rPr>
              <w:t xml:space="preserve">  20</w:t>
            </w:r>
            <w:r w:rsidR="00660663" w:rsidRPr="00CE3053">
              <w:rPr>
                <w:rFonts w:cstheme="minorHAnsi"/>
                <w:b/>
                <w:bCs/>
                <w:sz w:val="18"/>
                <w:lang w:val="mk-MK"/>
              </w:rPr>
              <w:t>20</w:t>
            </w:r>
          </w:p>
        </w:tc>
        <w:tc>
          <w:tcPr>
            <w:tcW w:w="1344" w:type="dxa"/>
            <w:shd w:val="clear" w:color="auto" w:fill="auto"/>
            <w:tcMar>
              <w:left w:w="58" w:type="dxa"/>
              <w:right w:w="58" w:type="dxa"/>
            </w:tcMar>
            <w:vAlign w:val="bottom"/>
          </w:tcPr>
          <w:p w14:paraId="1B608E33" w14:textId="77777777" w:rsidR="00F93B95" w:rsidRPr="00CE3053" w:rsidRDefault="00F93B95" w:rsidP="00F93B95">
            <w:pPr>
              <w:pStyle w:val="TableText"/>
              <w:spacing w:after="0"/>
              <w:jc w:val="right"/>
              <w:rPr>
                <w:rFonts w:cstheme="minorHAnsi"/>
                <w:b/>
                <w:sz w:val="18"/>
                <w:lang w:val="mk-MK"/>
              </w:rPr>
            </w:pPr>
          </w:p>
        </w:tc>
        <w:tc>
          <w:tcPr>
            <w:tcW w:w="1718" w:type="dxa"/>
            <w:shd w:val="clear" w:color="auto" w:fill="auto"/>
            <w:tcMar>
              <w:left w:w="58" w:type="dxa"/>
              <w:right w:w="58" w:type="dxa"/>
            </w:tcMar>
            <w:vAlign w:val="bottom"/>
          </w:tcPr>
          <w:p w14:paraId="623BF1D3" w14:textId="77777777" w:rsidR="00F93B95" w:rsidRPr="00CE3053" w:rsidRDefault="00F93B95" w:rsidP="00F93B95">
            <w:pPr>
              <w:pStyle w:val="TableText"/>
              <w:spacing w:after="0"/>
              <w:jc w:val="right"/>
              <w:rPr>
                <w:rFonts w:cstheme="minorHAnsi"/>
                <w:b/>
                <w:sz w:val="18"/>
                <w:lang w:val="mk-MK"/>
              </w:rPr>
            </w:pPr>
          </w:p>
        </w:tc>
        <w:tc>
          <w:tcPr>
            <w:tcW w:w="1718" w:type="dxa"/>
            <w:shd w:val="clear" w:color="auto" w:fill="auto"/>
            <w:tcMar>
              <w:left w:w="58" w:type="dxa"/>
              <w:right w:w="58" w:type="dxa"/>
            </w:tcMar>
            <w:vAlign w:val="bottom"/>
          </w:tcPr>
          <w:p w14:paraId="30B90771" w14:textId="77777777" w:rsidR="00F93B95" w:rsidRPr="00CE3053" w:rsidRDefault="00F93B95" w:rsidP="00F93B95">
            <w:pPr>
              <w:pStyle w:val="TableText"/>
              <w:spacing w:after="0"/>
              <w:jc w:val="right"/>
              <w:rPr>
                <w:rFonts w:cstheme="minorHAnsi"/>
                <w:b/>
                <w:sz w:val="18"/>
                <w:lang w:val="mk-MK"/>
              </w:rPr>
            </w:pPr>
          </w:p>
        </w:tc>
      </w:tr>
      <w:tr w:rsidR="00F93B95" w:rsidRPr="001E6526" w14:paraId="61794959" w14:textId="77777777" w:rsidTr="0025712C">
        <w:trPr>
          <w:trHeight w:val="216"/>
        </w:trPr>
        <w:tc>
          <w:tcPr>
            <w:tcW w:w="3860" w:type="dxa"/>
            <w:shd w:val="clear" w:color="auto" w:fill="auto"/>
            <w:tcMar>
              <w:left w:w="58" w:type="dxa"/>
              <w:right w:w="58" w:type="dxa"/>
            </w:tcMar>
            <w:vAlign w:val="bottom"/>
          </w:tcPr>
          <w:p w14:paraId="7250A3F5" w14:textId="7622756C" w:rsidR="00F93B95" w:rsidRPr="00CE3053" w:rsidRDefault="000C283E" w:rsidP="00F93B95">
            <w:pPr>
              <w:pStyle w:val="TableText"/>
              <w:spacing w:after="0"/>
              <w:rPr>
                <w:rFonts w:cstheme="minorHAnsi"/>
                <w:b/>
                <w:bCs/>
                <w:sz w:val="18"/>
                <w:lang w:val="mk-MK"/>
              </w:rPr>
            </w:pPr>
            <w:proofErr w:type="spellStart"/>
            <w:r w:rsidRPr="000C283E">
              <w:rPr>
                <w:rFonts w:cstheme="minorHAnsi"/>
                <w:b/>
                <w:bCs/>
                <w:sz w:val="18"/>
                <w:lang w:val="mk-MK"/>
              </w:rPr>
              <w:t>Assets</w:t>
            </w:r>
            <w:proofErr w:type="spellEnd"/>
            <w:r w:rsidRPr="000C283E">
              <w:rPr>
                <w:rFonts w:cstheme="minorHAnsi"/>
                <w:b/>
                <w:bCs/>
                <w:sz w:val="18"/>
                <w:lang w:val="mk-MK"/>
              </w:rPr>
              <w:t xml:space="preserve"> </w:t>
            </w:r>
            <w:proofErr w:type="spellStart"/>
            <w:r w:rsidRPr="000C283E">
              <w:rPr>
                <w:rFonts w:cstheme="minorHAnsi"/>
                <w:b/>
                <w:bCs/>
                <w:sz w:val="18"/>
                <w:lang w:val="mk-MK"/>
              </w:rPr>
              <w:t>according</w:t>
            </w:r>
            <w:proofErr w:type="spellEnd"/>
            <w:r w:rsidRPr="000C283E">
              <w:rPr>
                <w:rFonts w:cstheme="minorHAnsi"/>
                <w:b/>
                <w:bCs/>
                <w:sz w:val="18"/>
                <w:lang w:val="mk-MK"/>
              </w:rPr>
              <w:t xml:space="preserve"> </w:t>
            </w:r>
            <w:proofErr w:type="spellStart"/>
            <w:r w:rsidRPr="000C283E">
              <w:rPr>
                <w:rFonts w:cstheme="minorHAnsi"/>
                <w:b/>
                <w:bCs/>
                <w:sz w:val="18"/>
                <w:lang w:val="mk-MK"/>
              </w:rPr>
              <w:t>to</w:t>
            </w:r>
            <w:proofErr w:type="spellEnd"/>
            <w:r w:rsidRPr="000C283E">
              <w:rPr>
                <w:rFonts w:cstheme="minorHAnsi"/>
                <w:b/>
                <w:bCs/>
                <w:sz w:val="18"/>
                <w:lang w:val="mk-MK"/>
              </w:rPr>
              <w:t xml:space="preserve"> </w:t>
            </w:r>
            <w:proofErr w:type="spellStart"/>
            <w:r w:rsidRPr="000C283E">
              <w:rPr>
                <w:rFonts w:cstheme="minorHAnsi"/>
                <w:b/>
                <w:bCs/>
                <w:sz w:val="18"/>
                <w:lang w:val="mk-MK"/>
              </w:rPr>
              <w:t>the</w:t>
            </w:r>
            <w:proofErr w:type="spellEnd"/>
            <w:r w:rsidRPr="000C283E">
              <w:rPr>
                <w:rFonts w:cstheme="minorHAnsi"/>
                <w:b/>
                <w:bCs/>
                <w:sz w:val="18"/>
                <w:lang w:val="mk-MK"/>
              </w:rPr>
              <w:t xml:space="preserve"> </w:t>
            </w:r>
            <w:proofErr w:type="spellStart"/>
            <w:r w:rsidRPr="000C283E">
              <w:rPr>
                <w:rFonts w:cstheme="minorHAnsi"/>
                <w:b/>
                <w:bCs/>
                <w:sz w:val="18"/>
                <w:lang w:val="mk-MK"/>
              </w:rPr>
              <w:t>Statement</w:t>
            </w:r>
            <w:proofErr w:type="spellEnd"/>
            <w:r w:rsidRPr="000C283E">
              <w:rPr>
                <w:rFonts w:cstheme="minorHAnsi"/>
                <w:b/>
                <w:bCs/>
                <w:sz w:val="18"/>
                <w:lang w:val="mk-MK"/>
              </w:rPr>
              <w:t xml:space="preserve"> </w:t>
            </w:r>
            <w:proofErr w:type="spellStart"/>
            <w:r w:rsidRPr="000C283E">
              <w:rPr>
                <w:rFonts w:cstheme="minorHAnsi"/>
                <w:b/>
                <w:bCs/>
                <w:sz w:val="18"/>
                <w:lang w:val="mk-MK"/>
              </w:rPr>
              <w:t>of</w:t>
            </w:r>
            <w:proofErr w:type="spellEnd"/>
            <w:r w:rsidRPr="000C283E">
              <w:rPr>
                <w:rFonts w:cstheme="minorHAnsi"/>
                <w:b/>
                <w:bCs/>
                <w:sz w:val="18"/>
                <w:lang w:val="mk-MK"/>
              </w:rPr>
              <w:t xml:space="preserve"> </w:t>
            </w:r>
            <w:proofErr w:type="spellStart"/>
            <w:r w:rsidRPr="000C283E">
              <w:rPr>
                <w:rFonts w:cstheme="minorHAnsi"/>
                <w:b/>
                <w:bCs/>
                <w:sz w:val="18"/>
                <w:lang w:val="mk-MK"/>
              </w:rPr>
              <w:t>financial</w:t>
            </w:r>
            <w:proofErr w:type="spellEnd"/>
            <w:r w:rsidRPr="000C283E">
              <w:rPr>
                <w:rFonts w:cstheme="minorHAnsi"/>
                <w:b/>
                <w:bCs/>
                <w:sz w:val="18"/>
                <w:lang w:val="mk-MK"/>
              </w:rPr>
              <w:t xml:space="preserve"> </w:t>
            </w:r>
            <w:proofErr w:type="spellStart"/>
            <w:r w:rsidRPr="000C283E">
              <w:rPr>
                <w:rFonts w:cstheme="minorHAnsi"/>
                <w:b/>
                <w:bCs/>
                <w:sz w:val="18"/>
                <w:lang w:val="mk-MK"/>
              </w:rPr>
              <w:t>position</w:t>
            </w:r>
            <w:proofErr w:type="spellEnd"/>
          </w:p>
        </w:tc>
        <w:tc>
          <w:tcPr>
            <w:tcW w:w="1344" w:type="dxa"/>
            <w:shd w:val="clear" w:color="auto" w:fill="auto"/>
            <w:tcMar>
              <w:left w:w="58" w:type="dxa"/>
              <w:right w:w="58" w:type="dxa"/>
            </w:tcMar>
            <w:vAlign w:val="bottom"/>
          </w:tcPr>
          <w:p w14:paraId="1AAEEC56" w14:textId="77777777" w:rsidR="00F93B95" w:rsidRPr="00CE3053" w:rsidRDefault="00F93B95" w:rsidP="00F93B95">
            <w:pPr>
              <w:pStyle w:val="TableText"/>
              <w:spacing w:after="0"/>
              <w:jc w:val="right"/>
              <w:rPr>
                <w:rFonts w:cstheme="minorHAnsi"/>
                <w:b/>
                <w:sz w:val="18"/>
                <w:lang w:val="mk-MK"/>
              </w:rPr>
            </w:pPr>
          </w:p>
        </w:tc>
        <w:tc>
          <w:tcPr>
            <w:tcW w:w="1718" w:type="dxa"/>
            <w:shd w:val="clear" w:color="auto" w:fill="auto"/>
            <w:tcMar>
              <w:left w:w="58" w:type="dxa"/>
              <w:right w:w="58" w:type="dxa"/>
            </w:tcMar>
            <w:vAlign w:val="bottom"/>
          </w:tcPr>
          <w:p w14:paraId="43AD5C4F" w14:textId="77777777" w:rsidR="00F93B95" w:rsidRPr="00CE3053" w:rsidRDefault="00F93B95" w:rsidP="00F93B95">
            <w:pPr>
              <w:pStyle w:val="TableText"/>
              <w:spacing w:after="0"/>
              <w:jc w:val="right"/>
              <w:rPr>
                <w:rFonts w:cstheme="minorHAnsi"/>
                <w:b/>
                <w:sz w:val="18"/>
                <w:lang w:val="mk-MK"/>
              </w:rPr>
            </w:pPr>
          </w:p>
        </w:tc>
        <w:tc>
          <w:tcPr>
            <w:tcW w:w="1718" w:type="dxa"/>
            <w:shd w:val="clear" w:color="auto" w:fill="auto"/>
            <w:tcMar>
              <w:left w:w="58" w:type="dxa"/>
              <w:right w:w="58" w:type="dxa"/>
            </w:tcMar>
            <w:vAlign w:val="bottom"/>
          </w:tcPr>
          <w:p w14:paraId="6CBB1DF6" w14:textId="77777777" w:rsidR="00F93B95" w:rsidRPr="00CE3053" w:rsidRDefault="00F93B95" w:rsidP="00F93B95">
            <w:pPr>
              <w:pStyle w:val="TableText"/>
              <w:spacing w:after="0"/>
              <w:jc w:val="right"/>
              <w:rPr>
                <w:rFonts w:cstheme="minorHAnsi"/>
                <w:b/>
                <w:sz w:val="18"/>
                <w:lang w:val="mk-MK"/>
              </w:rPr>
            </w:pPr>
          </w:p>
        </w:tc>
      </w:tr>
      <w:tr w:rsidR="00F93B95" w:rsidRPr="001E6526" w14:paraId="46260C07" w14:textId="77777777" w:rsidTr="0025712C">
        <w:trPr>
          <w:trHeight w:val="216"/>
        </w:trPr>
        <w:tc>
          <w:tcPr>
            <w:tcW w:w="3860" w:type="dxa"/>
            <w:shd w:val="clear" w:color="auto" w:fill="auto"/>
            <w:tcMar>
              <w:left w:w="58" w:type="dxa"/>
              <w:right w:w="58" w:type="dxa"/>
            </w:tcMar>
            <w:vAlign w:val="bottom"/>
          </w:tcPr>
          <w:p w14:paraId="04FFB33A" w14:textId="77777777" w:rsidR="00F93B95" w:rsidRPr="00CE3053" w:rsidRDefault="00F93B95" w:rsidP="00F93B95">
            <w:pPr>
              <w:pStyle w:val="TableText"/>
              <w:spacing w:after="0"/>
              <w:rPr>
                <w:rFonts w:cstheme="minorHAnsi"/>
                <w:bCs/>
                <w:sz w:val="18"/>
                <w:lang w:val="mk-MK"/>
              </w:rPr>
            </w:pPr>
          </w:p>
        </w:tc>
        <w:tc>
          <w:tcPr>
            <w:tcW w:w="1344" w:type="dxa"/>
            <w:shd w:val="clear" w:color="auto" w:fill="auto"/>
            <w:tcMar>
              <w:left w:w="58" w:type="dxa"/>
              <w:right w:w="58" w:type="dxa"/>
            </w:tcMar>
            <w:vAlign w:val="bottom"/>
          </w:tcPr>
          <w:p w14:paraId="608B6E04" w14:textId="0825CE5F" w:rsidR="00F93B95" w:rsidRPr="00CE3053" w:rsidRDefault="000C283E" w:rsidP="00F93B95">
            <w:pPr>
              <w:pStyle w:val="TableText"/>
              <w:spacing w:after="0"/>
              <w:jc w:val="right"/>
              <w:rPr>
                <w:rFonts w:cstheme="minorHAnsi"/>
                <w:sz w:val="18"/>
                <w:lang w:val="mk-MK"/>
              </w:rPr>
            </w:pPr>
            <w:proofErr w:type="spellStart"/>
            <w:r w:rsidRPr="000C283E">
              <w:rPr>
                <w:rFonts w:cstheme="minorHAnsi"/>
                <w:sz w:val="18"/>
                <w:lang w:val="mk-MK"/>
              </w:rPr>
              <w:t>Held-to</w:t>
            </w:r>
            <w:proofErr w:type="spellEnd"/>
            <w:r w:rsidRPr="000C283E">
              <w:rPr>
                <w:rFonts w:cstheme="minorHAnsi"/>
                <w:sz w:val="18"/>
                <w:lang w:val="mk-MK"/>
              </w:rPr>
              <w:t xml:space="preserve">- </w:t>
            </w:r>
            <w:proofErr w:type="spellStart"/>
            <w:r w:rsidRPr="000C283E">
              <w:rPr>
                <w:rFonts w:cstheme="minorHAnsi"/>
                <w:sz w:val="18"/>
                <w:lang w:val="mk-MK"/>
              </w:rPr>
              <w:t>maturity</w:t>
            </w:r>
            <w:proofErr w:type="spellEnd"/>
            <w:r w:rsidRPr="000C283E">
              <w:rPr>
                <w:rFonts w:cstheme="minorHAnsi"/>
                <w:sz w:val="18"/>
                <w:lang w:val="mk-MK"/>
              </w:rPr>
              <w:t xml:space="preserve"> </w:t>
            </w:r>
            <w:proofErr w:type="spellStart"/>
            <w:r w:rsidRPr="000C283E">
              <w:rPr>
                <w:rFonts w:cstheme="minorHAnsi"/>
                <w:sz w:val="18"/>
                <w:lang w:val="mk-MK"/>
              </w:rPr>
              <w:t>investments</w:t>
            </w:r>
            <w:proofErr w:type="spellEnd"/>
          </w:p>
        </w:tc>
        <w:tc>
          <w:tcPr>
            <w:tcW w:w="1718" w:type="dxa"/>
            <w:shd w:val="clear" w:color="auto" w:fill="auto"/>
            <w:tcMar>
              <w:left w:w="58" w:type="dxa"/>
              <w:right w:w="58" w:type="dxa"/>
            </w:tcMar>
            <w:vAlign w:val="bottom"/>
          </w:tcPr>
          <w:p w14:paraId="60088743" w14:textId="22092C6E" w:rsidR="00F93B95" w:rsidRPr="000C283E" w:rsidRDefault="000C283E" w:rsidP="00F93B95">
            <w:pPr>
              <w:pStyle w:val="TableText"/>
              <w:spacing w:after="0"/>
              <w:jc w:val="right"/>
              <w:rPr>
                <w:rFonts w:cstheme="minorHAnsi"/>
                <w:sz w:val="18"/>
                <w:lang w:val="en-US"/>
              </w:rPr>
            </w:pPr>
            <w:r>
              <w:rPr>
                <w:rFonts w:cstheme="minorHAnsi"/>
                <w:sz w:val="18"/>
                <w:lang w:val="en-US"/>
              </w:rPr>
              <w:t>Loans and receivables</w:t>
            </w:r>
          </w:p>
        </w:tc>
        <w:tc>
          <w:tcPr>
            <w:tcW w:w="1718" w:type="dxa"/>
            <w:shd w:val="clear" w:color="auto" w:fill="auto"/>
            <w:tcMar>
              <w:left w:w="58" w:type="dxa"/>
              <w:right w:w="58" w:type="dxa"/>
            </w:tcMar>
            <w:vAlign w:val="bottom"/>
          </w:tcPr>
          <w:p w14:paraId="423A0030" w14:textId="6A1DDFB7" w:rsidR="00F93B95" w:rsidRPr="000C283E" w:rsidRDefault="000C283E" w:rsidP="00F93B95">
            <w:pPr>
              <w:pStyle w:val="TableText"/>
              <w:spacing w:after="0"/>
              <w:jc w:val="right"/>
              <w:rPr>
                <w:rFonts w:cstheme="minorHAnsi"/>
                <w:sz w:val="18"/>
                <w:lang w:val="en-US"/>
              </w:rPr>
            </w:pPr>
            <w:r>
              <w:rPr>
                <w:rFonts w:cstheme="minorHAnsi"/>
                <w:sz w:val="18"/>
                <w:lang w:val="en-US"/>
              </w:rPr>
              <w:t>Total</w:t>
            </w:r>
          </w:p>
        </w:tc>
      </w:tr>
      <w:tr w:rsidR="000C283E" w:rsidRPr="001E6526" w14:paraId="441D26CD" w14:textId="77777777" w:rsidTr="00F56761">
        <w:trPr>
          <w:trHeight w:val="216"/>
        </w:trPr>
        <w:tc>
          <w:tcPr>
            <w:tcW w:w="3860" w:type="dxa"/>
            <w:shd w:val="clear" w:color="auto" w:fill="auto"/>
            <w:tcMar>
              <w:left w:w="58" w:type="dxa"/>
              <w:right w:w="58" w:type="dxa"/>
            </w:tcMar>
          </w:tcPr>
          <w:p w14:paraId="3CA8332C" w14:textId="7E7C8347" w:rsidR="000C283E" w:rsidRPr="00CE3053" w:rsidRDefault="000C283E" w:rsidP="000C283E">
            <w:pPr>
              <w:spacing w:after="0"/>
              <w:rPr>
                <w:rFonts w:cstheme="minorHAnsi"/>
                <w:lang w:val="mk-MK"/>
              </w:rPr>
            </w:pPr>
            <w:r w:rsidRPr="00D12A9C">
              <w:t>Government bills</w:t>
            </w:r>
          </w:p>
        </w:tc>
        <w:tc>
          <w:tcPr>
            <w:tcW w:w="1344" w:type="dxa"/>
            <w:shd w:val="clear" w:color="auto" w:fill="auto"/>
            <w:tcMar>
              <w:left w:w="58" w:type="dxa"/>
              <w:right w:w="58" w:type="dxa"/>
            </w:tcMar>
            <w:vAlign w:val="bottom"/>
          </w:tcPr>
          <w:p w14:paraId="1BBFF587" w14:textId="361A6EE6" w:rsidR="000C283E" w:rsidRPr="00CE3053" w:rsidRDefault="000C283E" w:rsidP="000C283E">
            <w:pPr>
              <w:spacing w:after="0"/>
              <w:jc w:val="right"/>
              <w:rPr>
                <w:rFonts w:cstheme="minorHAnsi"/>
                <w:lang w:val="mk-MK"/>
              </w:rPr>
            </w:pPr>
            <w:r w:rsidRPr="00CE3053">
              <w:rPr>
                <w:rFonts w:cstheme="minorHAnsi"/>
                <w:lang w:val="mk-MK"/>
              </w:rPr>
              <w:t>13,930,548</w:t>
            </w:r>
          </w:p>
        </w:tc>
        <w:tc>
          <w:tcPr>
            <w:tcW w:w="1718" w:type="dxa"/>
            <w:shd w:val="clear" w:color="auto" w:fill="auto"/>
            <w:tcMar>
              <w:left w:w="58" w:type="dxa"/>
              <w:right w:w="58" w:type="dxa"/>
            </w:tcMar>
            <w:vAlign w:val="bottom"/>
          </w:tcPr>
          <w:p w14:paraId="2E3B0E04" w14:textId="77777777" w:rsidR="000C283E" w:rsidRPr="00CE3053" w:rsidRDefault="000C283E" w:rsidP="000C283E">
            <w:pPr>
              <w:spacing w:after="0"/>
              <w:jc w:val="right"/>
              <w:rPr>
                <w:rFonts w:cstheme="minorHAnsi"/>
                <w:lang w:val="mk-MK"/>
              </w:rPr>
            </w:pPr>
            <w:r w:rsidRPr="00CE3053">
              <w:rPr>
                <w:rFonts w:cstheme="minorHAnsi"/>
                <w:lang w:val="mk-MK"/>
              </w:rPr>
              <w:t>-</w:t>
            </w:r>
          </w:p>
        </w:tc>
        <w:tc>
          <w:tcPr>
            <w:tcW w:w="1718" w:type="dxa"/>
            <w:shd w:val="clear" w:color="auto" w:fill="auto"/>
            <w:tcMar>
              <w:left w:w="58" w:type="dxa"/>
              <w:right w:w="58" w:type="dxa"/>
            </w:tcMar>
            <w:vAlign w:val="bottom"/>
          </w:tcPr>
          <w:p w14:paraId="2A957E5B" w14:textId="548D88D8" w:rsidR="000C283E" w:rsidRPr="00CE3053" w:rsidRDefault="000C283E" w:rsidP="000C283E">
            <w:pPr>
              <w:spacing w:after="0"/>
              <w:jc w:val="right"/>
              <w:rPr>
                <w:rFonts w:cstheme="minorHAnsi"/>
                <w:lang w:val="mk-MK"/>
              </w:rPr>
            </w:pPr>
            <w:r w:rsidRPr="00CE3053">
              <w:rPr>
                <w:rFonts w:cstheme="minorHAnsi"/>
                <w:lang w:val="mk-MK"/>
              </w:rPr>
              <w:t>13,930,548</w:t>
            </w:r>
          </w:p>
        </w:tc>
      </w:tr>
      <w:tr w:rsidR="000C283E" w:rsidRPr="001E6526" w14:paraId="7358580C" w14:textId="77777777" w:rsidTr="00F56761">
        <w:trPr>
          <w:trHeight w:val="216"/>
        </w:trPr>
        <w:tc>
          <w:tcPr>
            <w:tcW w:w="3860" w:type="dxa"/>
            <w:shd w:val="clear" w:color="auto" w:fill="auto"/>
            <w:tcMar>
              <w:left w:w="58" w:type="dxa"/>
              <w:right w:w="58" w:type="dxa"/>
            </w:tcMar>
          </w:tcPr>
          <w:p w14:paraId="0CD50F71" w14:textId="6D3EA859" w:rsidR="000C283E" w:rsidRPr="00CE3053" w:rsidRDefault="000C283E" w:rsidP="000C283E">
            <w:pPr>
              <w:spacing w:after="0"/>
              <w:rPr>
                <w:rFonts w:cstheme="minorHAnsi"/>
                <w:lang w:val="mk-MK"/>
              </w:rPr>
            </w:pPr>
            <w:r w:rsidRPr="00D12A9C">
              <w:t>Receivables for insurance premium</w:t>
            </w:r>
          </w:p>
        </w:tc>
        <w:tc>
          <w:tcPr>
            <w:tcW w:w="1344" w:type="dxa"/>
            <w:shd w:val="clear" w:color="auto" w:fill="auto"/>
            <w:tcMar>
              <w:left w:w="58" w:type="dxa"/>
              <w:right w:w="58" w:type="dxa"/>
            </w:tcMar>
            <w:vAlign w:val="bottom"/>
          </w:tcPr>
          <w:p w14:paraId="64BE1EAA" w14:textId="30456B2F" w:rsidR="000C283E" w:rsidRPr="00CE3053" w:rsidRDefault="000C283E" w:rsidP="000C283E">
            <w:pPr>
              <w:spacing w:after="0"/>
              <w:jc w:val="right"/>
              <w:rPr>
                <w:rFonts w:cstheme="minorHAnsi"/>
                <w:lang w:val="mk-MK"/>
              </w:rPr>
            </w:pPr>
            <w:r w:rsidRPr="001E6526">
              <w:rPr>
                <w:rFonts w:cstheme="minorHAnsi"/>
                <w:lang w:val="mk-MK"/>
              </w:rPr>
              <w:t>-</w:t>
            </w:r>
          </w:p>
        </w:tc>
        <w:tc>
          <w:tcPr>
            <w:tcW w:w="1718" w:type="dxa"/>
            <w:shd w:val="clear" w:color="auto" w:fill="auto"/>
            <w:tcMar>
              <w:left w:w="58" w:type="dxa"/>
              <w:right w:w="58" w:type="dxa"/>
            </w:tcMar>
            <w:vAlign w:val="bottom"/>
          </w:tcPr>
          <w:p w14:paraId="6CAB5DEF" w14:textId="722DB7FF" w:rsidR="000C283E" w:rsidRPr="00CE3053" w:rsidRDefault="000C283E" w:rsidP="000C283E">
            <w:pPr>
              <w:spacing w:after="0"/>
              <w:jc w:val="right"/>
              <w:rPr>
                <w:rFonts w:cstheme="minorHAnsi"/>
                <w:lang w:val="mk-MK"/>
              </w:rPr>
            </w:pPr>
            <w:r w:rsidRPr="001E6526">
              <w:rPr>
                <w:rFonts w:cstheme="minorHAnsi"/>
                <w:lang w:val="mk-MK"/>
              </w:rPr>
              <w:t>11,596</w:t>
            </w:r>
          </w:p>
        </w:tc>
        <w:tc>
          <w:tcPr>
            <w:tcW w:w="1718" w:type="dxa"/>
            <w:shd w:val="clear" w:color="auto" w:fill="auto"/>
            <w:tcMar>
              <w:left w:w="58" w:type="dxa"/>
              <w:right w:w="58" w:type="dxa"/>
            </w:tcMar>
            <w:vAlign w:val="bottom"/>
          </w:tcPr>
          <w:p w14:paraId="053F9589" w14:textId="5EF8AE3E" w:rsidR="000C283E" w:rsidRPr="00CE3053" w:rsidRDefault="000C283E" w:rsidP="000C283E">
            <w:pPr>
              <w:spacing w:after="0"/>
              <w:jc w:val="right"/>
              <w:rPr>
                <w:rFonts w:cstheme="minorHAnsi"/>
                <w:lang w:val="mk-MK"/>
              </w:rPr>
            </w:pPr>
            <w:r w:rsidRPr="001E6526">
              <w:rPr>
                <w:rFonts w:cstheme="minorHAnsi"/>
                <w:lang w:val="mk-MK"/>
              </w:rPr>
              <w:t>11,596</w:t>
            </w:r>
          </w:p>
        </w:tc>
      </w:tr>
      <w:tr w:rsidR="000C283E" w:rsidRPr="001E6526" w14:paraId="3A1BCA05" w14:textId="77777777" w:rsidTr="00F56761">
        <w:trPr>
          <w:trHeight w:val="216"/>
        </w:trPr>
        <w:tc>
          <w:tcPr>
            <w:tcW w:w="3860" w:type="dxa"/>
            <w:shd w:val="clear" w:color="auto" w:fill="auto"/>
            <w:tcMar>
              <w:left w:w="58" w:type="dxa"/>
              <w:right w:w="58" w:type="dxa"/>
            </w:tcMar>
          </w:tcPr>
          <w:p w14:paraId="2D6653BA" w14:textId="3B602EB9" w:rsidR="000C283E" w:rsidRPr="00CE3053" w:rsidRDefault="000C283E" w:rsidP="000C283E">
            <w:pPr>
              <w:spacing w:after="0"/>
              <w:rPr>
                <w:rFonts w:cstheme="minorHAnsi"/>
                <w:color w:val="000000"/>
                <w:lang w:val="mk-MK"/>
              </w:rPr>
            </w:pPr>
            <w:r w:rsidRPr="00D12A9C">
              <w:t>Other receivables</w:t>
            </w:r>
          </w:p>
        </w:tc>
        <w:tc>
          <w:tcPr>
            <w:tcW w:w="1344" w:type="dxa"/>
            <w:shd w:val="clear" w:color="auto" w:fill="auto"/>
            <w:tcMar>
              <w:left w:w="58" w:type="dxa"/>
              <w:right w:w="58" w:type="dxa"/>
            </w:tcMar>
            <w:vAlign w:val="bottom"/>
          </w:tcPr>
          <w:p w14:paraId="49A6C476" w14:textId="77777777" w:rsidR="000C283E" w:rsidRPr="00CE3053" w:rsidRDefault="000C283E" w:rsidP="000C283E">
            <w:pPr>
              <w:spacing w:after="0"/>
              <w:jc w:val="right"/>
              <w:rPr>
                <w:rFonts w:cstheme="minorHAnsi"/>
                <w:lang w:val="mk-MK"/>
              </w:rPr>
            </w:pPr>
            <w:r w:rsidRPr="00CE3053">
              <w:rPr>
                <w:rFonts w:cstheme="minorHAnsi"/>
                <w:lang w:val="mk-MK"/>
              </w:rPr>
              <w:t>-</w:t>
            </w:r>
          </w:p>
        </w:tc>
        <w:tc>
          <w:tcPr>
            <w:tcW w:w="1718" w:type="dxa"/>
            <w:shd w:val="clear" w:color="auto" w:fill="auto"/>
            <w:tcMar>
              <w:left w:w="58" w:type="dxa"/>
              <w:right w:w="58" w:type="dxa"/>
            </w:tcMar>
            <w:vAlign w:val="bottom"/>
          </w:tcPr>
          <w:p w14:paraId="1DCBBE0F" w14:textId="6127EF1C" w:rsidR="000C283E" w:rsidRPr="00CE3053" w:rsidRDefault="000C283E" w:rsidP="000C283E">
            <w:pPr>
              <w:spacing w:after="0"/>
              <w:jc w:val="right"/>
              <w:rPr>
                <w:rFonts w:cstheme="minorHAnsi"/>
                <w:lang w:val="mk-MK"/>
              </w:rPr>
            </w:pPr>
            <w:r w:rsidRPr="00CE3053">
              <w:rPr>
                <w:rFonts w:cstheme="minorHAnsi"/>
                <w:lang w:val="mk-MK"/>
              </w:rPr>
              <w:t>-</w:t>
            </w:r>
          </w:p>
        </w:tc>
        <w:tc>
          <w:tcPr>
            <w:tcW w:w="1718" w:type="dxa"/>
            <w:shd w:val="clear" w:color="auto" w:fill="auto"/>
            <w:tcMar>
              <w:left w:w="58" w:type="dxa"/>
              <w:right w:w="58" w:type="dxa"/>
            </w:tcMar>
            <w:vAlign w:val="bottom"/>
          </w:tcPr>
          <w:p w14:paraId="2C46FB19" w14:textId="0991860C" w:rsidR="000C283E" w:rsidRPr="00CE3053" w:rsidRDefault="000C283E" w:rsidP="000C283E">
            <w:pPr>
              <w:spacing w:after="0"/>
              <w:jc w:val="right"/>
              <w:rPr>
                <w:rFonts w:cstheme="minorHAnsi"/>
                <w:lang w:val="mk-MK"/>
              </w:rPr>
            </w:pPr>
            <w:r w:rsidRPr="00CE3053">
              <w:rPr>
                <w:rFonts w:cstheme="minorHAnsi"/>
                <w:lang w:val="mk-MK"/>
              </w:rPr>
              <w:t>-</w:t>
            </w:r>
          </w:p>
        </w:tc>
      </w:tr>
      <w:tr w:rsidR="000C283E" w:rsidRPr="001E6526" w14:paraId="497CABDE" w14:textId="77777777" w:rsidTr="00F56761">
        <w:trPr>
          <w:trHeight w:val="216"/>
        </w:trPr>
        <w:tc>
          <w:tcPr>
            <w:tcW w:w="3860" w:type="dxa"/>
            <w:tcBorders>
              <w:bottom w:val="single" w:sz="4" w:space="0" w:color="auto"/>
            </w:tcBorders>
            <w:shd w:val="clear" w:color="auto" w:fill="auto"/>
            <w:tcMar>
              <w:left w:w="58" w:type="dxa"/>
              <w:right w:w="58" w:type="dxa"/>
            </w:tcMar>
          </w:tcPr>
          <w:p w14:paraId="5721F6C9" w14:textId="70A24855" w:rsidR="000C283E" w:rsidRPr="00CE3053" w:rsidRDefault="000C283E" w:rsidP="000C283E">
            <w:pPr>
              <w:spacing w:after="0"/>
              <w:rPr>
                <w:rFonts w:cstheme="minorHAnsi"/>
                <w:lang w:val="mk-MK"/>
              </w:rPr>
            </w:pPr>
            <w:r w:rsidRPr="00D12A9C">
              <w:t>Cash and cash equivalents</w:t>
            </w:r>
          </w:p>
        </w:tc>
        <w:tc>
          <w:tcPr>
            <w:tcW w:w="1344" w:type="dxa"/>
            <w:tcBorders>
              <w:bottom w:val="single" w:sz="4" w:space="0" w:color="auto"/>
            </w:tcBorders>
            <w:shd w:val="clear" w:color="auto" w:fill="auto"/>
            <w:tcMar>
              <w:left w:w="58" w:type="dxa"/>
              <w:right w:w="58" w:type="dxa"/>
            </w:tcMar>
            <w:vAlign w:val="bottom"/>
          </w:tcPr>
          <w:p w14:paraId="4D05561C" w14:textId="77777777" w:rsidR="000C283E" w:rsidRPr="00CE3053" w:rsidRDefault="000C283E" w:rsidP="000C283E">
            <w:pPr>
              <w:spacing w:after="0"/>
              <w:jc w:val="right"/>
              <w:rPr>
                <w:rFonts w:cstheme="minorHAnsi"/>
                <w:lang w:val="mk-MK"/>
              </w:rPr>
            </w:pPr>
            <w:r w:rsidRPr="00CE3053">
              <w:rPr>
                <w:rFonts w:cstheme="minorHAnsi"/>
                <w:lang w:val="mk-MK"/>
              </w:rPr>
              <w:t>-</w:t>
            </w:r>
          </w:p>
        </w:tc>
        <w:tc>
          <w:tcPr>
            <w:tcW w:w="1718" w:type="dxa"/>
            <w:tcBorders>
              <w:bottom w:val="single" w:sz="4" w:space="0" w:color="auto"/>
            </w:tcBorders>
            <w:shd w:val="clear" w:color="auto" w:fill="auto"/>
            <w:tcMar>
              <w:left w:w="58" w:type="dxa"/>
              <w:right w:w="58" w:type="dxa"/>
            </w:tcMar>
            <w:vAlign w:val="bottom"/>
          </w:tcPr>
          <w:p w14:paraId="60C548E3" w14:textId="116682F2" w:rsidR="000C283E" w:rsidRPr="00CE3053" w:rsidRDefault="000C283E" w:rsidP="000C283E">
            <w:pPr>
              <w:spacing w:after="0"/>
              <w:jc w:val="right"/>
              <w:rPr>
                <w:rFonts w:cstheme="minorHAnsi"/>
                <w:lang w:val="mk-MK"/>
              </w:rPr>
            </w:pPr>
            <w:r w:rsidRPr="00CE3053">
              <w:rPr>
                <w:rFonts w:cstheme="minorHAnsi"/>
                <w:lang w:val="mk-MK"/>
              </w:rPr>
              <w:t>678,377</w:t>
            </w:r>
          </w:p>
        </w:tc>
        <w:tc>
          <w:tcPr>
            <w:tcW w:w="1718" w:type="dxa"/>
            <w:tcBorders>
              <w:bottom w:val="single" w:sz="4" w:space="0" w:color="auto"/>
            </w:tcBorders>
            <w:shd w:val="clear" w:color="auto" w:fill="auto"/>
            <w:tcMar>
              <w:left w:w="58" w:type="dxa"/>
              <w:right w:w="58" w:type="dxa"/>
            </w:tcMar>
            <w:vAlign w:val="bottom"/>
          </w:tcPr>
          <w:p w14:paraId="0B8A08B5" w14:textId="55DFE3E2" w:rsidR="000C283E" w:rsidRPr="00CE3053" w:rsidRDefault="000C283E" w:rsidP="000C283E">
            <w:pPr>
              <w:spacing w:after="0"/>
              <w:jc w:val="right"/>
              <w:rPr>
                <w:rFonts w:cstheme="minorHAnsi"/>
                <w:lang w:val="mk-MK"/>
              </w:rPr>
            </w:pPr>
            <w:r w:rsidRPr="00CE3053">
              <w:rPr>
                <w:rFonts w:cstheme="minorHAnsi"/>
                <w:lang w:val="mk-MK"/>
              </w:rPr>
              <w:t>678,377</w:t>
            </w:r>
          </w:p>
        </w:tc>
      </w:tr>
      <w:tr w:rsidR="00660663" w:rsidRPr="001E6526" w14:paraId="428B0ACE" w14:textId="77777777" w:rsidTr="0025712C">
        <w:trPr>
          <w:trHeight w:val="216"/>
        </w:trPr>
        <w:tc>
          <w:tcPr>
            <w:tcW w:w="3860" w:type="dxa"/>
            <w:tcBorders>
              <w:top w:val="single" w:sz="4" w:space="0" w:color="auto"/>
              <w:bottom w:val="double" w:sz="4" w:space="0" w:color="auto"/>
            </w:tcBorders>
            <w:shd w:val="clear" w:color="auto" w:fill="auto"/>
            <w:tcMar>
              <w:left w:w="58" w:type="dxa"/>
              <w:right w:w="58" w:type="dxa"/>
            </w:tcMar>
            <w:vAlign w:val="center"/>
          </w:tcPr>
          <w:p w14:paraId="4EDA529E" w14:textId="31438D4E" w:rsidR="00660663" w:rsidRPr="000C283E" w:rsidRDefault="000C283E" w:rsidP="00660663">
            <w:pPr>
              <w:spacing w:after="0"/>
              <w:rPr>
                <w:rFonts w:cstheme="minorHAnsi"/>
                <w:b/>
                <w:bCs/>
              </w:rPr>
            </w:pPr>
            <w:r>
              <w:rPr>
                <w:rFonts w:cstheme="minorHAnsi"/>
                <w:b/>
                <w:bCs/>
              </w:rPr>
              <w:t>Total</w:t>
            </w:r>
          </w:p>
        </w:tc>
        <w:tc>
          <w:tcPr>
            <w:tcW w:w="1344" w:type="dxa"/>
            <w:tcBorders>
              <w:top w:val="single" w:sz="4" w:space="0" w:color="auto"/>
              <w:bottom w:val="double" w:sz="4" w:space="0" w:color="auto"/>
            </w:tcBorders>
            <w:shd w:val="clear" w:color="auto" w:fill="auto"/>
            <w:tcMar>
              <w:left w:w="58" w:type="dxa"/>
              <w:right w:w="58" w:type="dxa"/>
            </w:tcMar>
            <w:vAlign w:val="bottom"/>
          </w:tcPr>
          <w:p w14:paraId="28A0519D" w14:textId="194C4B58" w:rsidR="00660663" w:rsidRPr="00CE3053" w:rsidRDefault="00660663" w:rsidP="00660663">
            <w:pPr>
              <w:spacing w:after="0"/>
              <w:jc w:val="right"/>
              <w:rPr>
                <w:rFonts w:cstheme="minorHAnsi"/>
                <w:b/>
                <w:bCs/>
                <w:lang w:val="mk-MK"/>
              </w:rPr>
            </w:pPr>
            <w:r w:rsidRPr="00CE3053">
              <w:rPr>
                <w:rFonts w:cstheme="minorHAnsi"/>
                <w:b/>
                <w:bCs/>
                <w:lang w:val="mk-MK"/>
              </w:rPr>
              <w:t>13,930,548</w:t>
            </w:r>
          </w:p>
        </w:tc>
        <w:tc>
          <w:tcPr>
            <w:tcW w:w="1718" w:type="dxa"/>
            <w:tcBorders>
              <w:top w:val="single" w:sz="4" w:space="0" w:color="auto"/>
              <w:bottom w:val="double" w:sz="4" w:space="0" w:color="auto"/>
            </w:tcBorders>
            <w:shd w:val="clear" w:color="auto" w:fill="auto"/>
            <w:tcMar>
              <w:left w:w="58" w:type="dxa"/>
              <w:right w:w="58" w:type="dxa"/>
            </w:tcMar>
            <w:vAlign w:val="bottom"/>
          </w:tcPr>
          <w:p w14:paraId="2967C230" w14:textId="4268A20C" w:rsidR="00660663" w:rsidRPr="00CE3053" w:rsidRDefault="00660663" w:rsidP="00660663">
            <w:pPr>
              <w:spacing w:after="0"/>
              <w:jc w:val="right"/>
              <w:rPr>
                <w:rFonts w:cstheme="minorHAnsi"/>
                <w:b/>
                <w:bCs/>
                <w:lang w:val="mk-MK"/>
              </w:rPr>
            </w:pPr>
            <w:r w:rsidRPr="00CE3053">
              <w:rPr>
                <w:rFonts w:cstheme="minorHAnsi"/>
                <w:b/>
                <w:bCs/>
                <w:lang w:val="mk-MK"/>
              </w:rPr>
              <w:t>689,973</w:t>
            </w:r>
          </w:p>
        </w:tc>
        <w:tc>
          <w:tcPr>
            <w:tcW w:w="1718" w:type="dxa"/>
            <w:tcBorders>
              <w:top w:val="single" w:sz="4" w:space="0" w:color="auto"/>
              <w:bottom w:val="double" w:sz="4" w:space="0" w:color="auto"/>
            </w:tcBorders>
            <w:shd w:val="clear" w:color="auto" w:fill="auto"/>
            <w:tcMar>
              <w:left w:w="58" w:type="dxa"/>
              <w:right w:w="58" w:type="dxa"/>
            </w:tcMar>
            <w:vAlign w:val="bottom"/>
          </w:tcPr>
          <w:p w14:paraId="0C91703A" w14:textId="290580E3" w:rsidR="00660663" w:rsidRPr="00CE3053" w:rsidRDefault="001460E7" w:rsidP="00660663">
            <w:pPr>
              <w:spacing w:after="0"/>
              <w:jc w:val="right"/>
              <w:rPr>
                <w:rFonts w:cstheme="minorHAnsi"/>
                <w:b/>
                <w:bCs/>
                <w:lang w:val="mk-MK"/>
              </w:rPr>
            </w:pPr>
            <w:r w:rsidRPr="00CE3053">
              <w:rPr>
                <w:rFonts w:cstheme="minorHAnsi"/>
                <w:b/>
                <w:bCs/>
                <w:lang w:val="mk-MK"/>
              </w:rPr>
              <w:t>14,620,521</w:t>
            </w:r>
          </w:p>
        </w:tc>
      </w:tr>
      <w:tr w:rsidR="00660663" w:rsidRPr="001E6526" w14:paraId="48B53AAB" w14:textId="77777777" w:rsidTr="0025712C">
        <w:trPr>
          <w:trHeight w:val="216"/>
        </w:trPr>
        <w:tc>
          <w:tcPr>
            <w:tcW w:w="3860" w:type="dxa"/>
            <w:tcBorders>
              <w:top w:val="double" w:sz="4" w:space="0" w:color="auto"/>
            </w:tcBorders>
            <w:shd w:val="clear" w:color="auto" w:fill="auto"/>
            <w:tcMar>
              <w:left w:w="58" w:type="dxa"/>
              <w:right w:w="58" w:type="dxa"/>
            </w:tcMar>
            <w:vAlign w:val="bottom"/>
          </w:tcPr>
          <w:p w14:paraId="6B2A6157" w14:textId="77777777" w:rsidR="00660663" w:rsidRPr="00CE3053" w:rsidRDefault="00660663" w:rsidP="00660663">
            <w:pPr>
              <w:pStyle w:val="TableText"/>
              <w:spacing w:after="0"/>
              <w:rPr>
                <w:rFonts w:cstheme="minorHAnsi"/>
                <w:bCs/>
                <w:sz w:val="18"/>
                <w:lang w:val="mk-MK"/>
              </w:rPr>
            </w:pPr>
          </w:p>
        </w:tc>
        <w:tc>
          <w:tcPr>
            <w:tcW w:w="1344" w:type="dxa"/>
            <w:tcBorders>
              <w:top w:val="double" w:sz="4" w:space="0" w:color="auto"/>
            </w:tcBorders>
            <w:shd w:val="clear" w:color="auto" w:fill="auto"/>
            <w:tcMar>
              <w:left w:w="58" w:type="dxa"/>
              <w:right w:w="58" w:type="dxa"/>
            </w:tcMar>
            <w:vAlign w:val="bottom"/>
          </w:tcPr>
          <w:p w14:paraId="53E54502" w14:textId="77777777" w:rsidR="00660663" w:rsidRPr="00CE3053" w:rsidRDefault="00660663" w:rsidP="00660663">
            <w:pPr>
              <w:pStyle w:val="TableText"/>
              <w:spacing w:after="0"/>
              <w:jc w:val="right"/>
              <w:rPr>
                <w:rFonts w:cstheme="minorHAnsi"/>
                <w:sz w:val="18"/>
                <w:lang w:val="mk-MK"/>
              </w:rPr>
            </w:pPr>
          </w:p>
        </w:tc>
        <w:tc>
          <w:tcPr>
            <w:tcW w:w="1718" w:type="dxa"/>
            <w:tcBorders>
              <w:top w:val="double" w:sz="4" w:space="0" w:color="auto"/>
            </w:tcBorders>
            <w:shd w:val="clear" w:color="auto" w:fill="auto"/>
            <w:tcMar>
              <w:left w:w="58" w:type="dxa"/>
              <w:right w:w="58" w:type="dxa"/>
            </w:tcMar>
            <w:vAlign w:val="bottom"/>
          </w:tcPr>
          <w:p w14:paraId="1D95480D" w14:textId="77777777" w:rsidR="00660663" w:rsidRPr="00CE3053" w:rsidRDefault="00660663" w:rsidP="00660663">
            <w:pPr>
              <w:pStyle w:val="TableText"/>
              <w:spacing w:after="0"/>
              <w:jc w:val="right"/>
              <w:rPr>
                <w:rFonts w:cstheme="minorHAnsi"/>
                <w:sz w:val="18"/>
                <w:lang w:val="mk-MK"/>
              </w:rPr>
            </w:pPr>
          </w:p>
        </w:tc>
        <w:tc>
          <w:tcPr>
            <w:tcW w:w="1718" w:type="dxa"/>
            <w:tcBorders>
              <w:top w:val="double" w:sz="4" w:space="0" w:color="auto"/>
            </w:tcBorders>
            <w:shd w:val="clear" w:color="auto" w:fill="auto"/>
            <w:tcMar>
              <w:left w:w="58" w:type="dxa"/>
              <w:right w:w="58" w:type="dxa"/>
            </w:tcMar>
            <w:vAlign w:val="bottom"/>
          </w:tcPr>
          <w:p w14:paraId="02F9EAE6" w14:textId="77777777" w:rsidR="00660663" w:rsidRPr="00CE3053" w:rsidRDefault="00660663" w:rsidP="00660663">
            <w:pPr>
              <w:pStyle w:val="TableText"/>
              <w:spacing w:after="0"/>
              <w:jc w:val="right"/>
              <w:rPr>
                <w:rFonts w:cstheme="minorHAnsi"/>
                <w:sz w:val="18"/>
                <w:lang w:val="mk-MK"/>
              </w:rPr>
            </w:pPr>
          </w:p>
        </w:tc>
      </w:tr>
      <w:tr w:rsidR="00660663" w:rsidRPr="001E6526" w14:paraId="275D186A" w14:textId="77777777" w:rsidTr="000C283E">
        <w:trPr>
          <w:trHeight w:val="68"/>
        </w:trPr>
        <w:tc>
          <w:tcPr>
            <w:tcW w:w="3860" w:type="dxa"/>
            <w:shd w:val="clear" w:color="auto" w:fill="auto"/>
            <w:tcMar>
              <w:left w:w="58" w:type="dxa"/>
              <w:right w:w="58" w:type="dxa"/>
            </w:tcMar>
            <w:vAlign w:val="bottom"/>
          </w:tcPr>
          <w:p w14:paraId="6B98860A" w14:textId="23AAE269" w:rsidR="00660663" w:rsidRPr="00CE3053" w:rsidRDefault="000C283E" w:rsidP="00660663">
            <w:pPr>
              <w:pStyle w:val="TableText"/>
              <w:spacing w:after="0"/>
              <w:rPr>
                <w:rFonts w:cstheme="minorHAnsi"/>
                <w:b/>
                <w:bCs/>
                <w:sz w:val="18"/>
                <w:lang w:val="mk-MK"/>
              </w:rPr>
            </w:pPr>
            <w:proofErr w:type="spellStart"/>
            <w:r w:rsidRPr="000C283E">
              <w:rPr>
                <w:rFonts w:cstheme="minorHAnsi"/>
                <w:b/>
                <w:bCs/>
                <w:sz w:val="18"/>
                <w:lang w:val="mk-MK"/>
              </w:rPr>
              <w:t>Liabilities</w:t>
            </w:r>
            <w:proofErr w:type="spellEnd"/>
            <w:r w:rsidRPr="000C283E">
              <w:rPr>
                <w:rFonts w:cstheme="minorHAnsi"/>
                <w:b/>
                <w:bCs/>
                <w:sz w:val="18"/>
                <w:lang w:val="mk-MK"/>
              </w:rPr>
              <w:t xml:space="preserve"> </w:t>
            </w:r>
            <w:proofErr w:type="spellStart"/>
            <w:r w:rsidRPr="000C283E">
              <w:rPr>
                <w:rFonts w:cstheme="minorHAnsi"/>
                <w:b/>
                <w:bCs/>
                <w:sz w:val="18"/>
                <w:lang w:val="mk-MK"/>
              </w:rPr>
              <w:t>according</w:t>
            </w:r>
            <w:proofErr w:type="spellEnd"/>
            <w:r w:rsidRPr="000C283E">
              <w:rPr>
                <w:rFonts w:cstheme="minorHAnsi"/>
                <w:b/>
                <w:bCs/>
                <w:sz w:val="18"/>
                <w:lang w:val="mk-MK"/>
              </w:rPr>
              <w:t xml:space="preserve"> </w:t>
            </w:r>
            <w:proofErr w:type="spellStart"/>
            <w:r w:rsidRPr="000C283E">
              <w:rPr>
                <w:rFonts w:cstheme="minorHAnsi"/>
                <w:b/>
                <w:bCs/>
                <w:sz w:val="18"/>
                <w:lang w:val="mk-MK"/>
              </w:rPr>
              <w:t>to</w:t>
            </w:r>
            <w:proofErr w:type="spellEnd"/>
            <w:r w:rsidRPr="000C283E">
              <w:rPr>
                <w:rFonts w:cstheme="minorHAnsi"/>
                <w:b/>
                <w:bCs/>
                <w:sz w:val="18"/>
                <w:lang w:val="mk-MK"/>
              </w:rPr>
              <w:t xml:space="preserve"> </w:t>
            </w:r>
            <w:proofErr w:type="spellStart"/>
            <w:r w:rsidRPr="000C283E">
              <w:rPr>
                <w:rFonts w:cstheme="minorHAnsi"/>
                <w:b/>
                <w:bCs/>
                <w:sz w:val="18"/>
                <w:lang w:val="mk-MK"/>
              </w:rPr>
              <w:t>the</w:t>
            </w:r>
            <w:proofErr w:type="spellEnd"/>
            <w:r w:rsidRPr="000C283E">
              <w:rPr>
                <w:rFonts w:cstheme="minorHAnsi"/>
                <w:b/>
                <w:bCs/>
                <w:sz w:val="18"/>
                <w:lang w:val="mk-MK"/>
              </w:rPr>
              <w:t xml:space="preserve"> </w:t>
            </w:r>
            <w:proofErr w:type="spellStart"/>
            <w:r w:rsidRPr="000C283E">
              <w:rPr>
                <w:rFonts w:cstheme="minorHAnsi"/>
                <w:b/>
                <w:bCs/>
                <w:sz w:val="18"/>
                <w:lang w:val="mk-MK"/>
              </w:rPr>
              <w:t>Statement</w:t>
            </w:r>
            <w:proofErr w:type="spellEnd"/>
            <w:r w:rsidRPr="000C283E">
              <w:rPr>
                <w:rFonts w:cstheme="minorHAnsi"/>
                <w:b/>
                <w:bCs/>
                <w:sz w:val="18"/>
                <w:lang w:val="mk-MK"/>
              </w:rPr>
              <w:t xml:space="preserve"> </w:t>
            </w:r>
            <w:proofErr w:type="spellStart"/>
            <w:r w:rsidRPr="000C283E">
              <w:rPr>
                <w:rFonts w:cstheme="minorHAnsi"/>
                <w:b/>
                <w:bCs/>
                <w:sz w:val="18"/>
                <w:lang w:val="mk-MK"/>
              </w:rPr>
              <w:t>of</w:t>
            </w:r>
            <w:proofErr w:type="spellEnd"/>
            <w:r w:rsidRPr="000C283E">
              <w:rPr>
                <w:rFonts w:cstheme="minorHAnsi"/>
                <w:b/>
                <w:bCs/>
                <w:sz w:val="18"/>
                <w:lang w:val="mk-MK"/>
              </w:rPr>
              <w:t xml:space="preserve"> </w:t>
            </w:r>
            <w:proofErr w:type="spellStart"/>
            <w:r w:rsidRPr="000C283E">
              <w:rPr>
                <w:rFonts w:cstheme="minorHAnsi"/>
                <w:b/>
                <w:bCs/>
                <w:sz w:val="18"/>
                <w:lang w:val="mk-MK"/>
              </w:rPr>
              <w:t>financial</w:t>
            </w:r>
            <w:proofErr w:type="spellEnd"/>
            <w:r w:rsidRPr="000C283E">
              <w:rPr>
                <w:rFonts w:cstheme="minorHAnsi"/>
                <w:b/>
                <w:bCs/>
                <w:sz w:val="18"/>
                <w:lang w:val="mk-MK"/>
              </w:rPr>
              <w:t xml:space="preserve"> </w:t>
            </w:r>
            <w:proofErr w:type="spellStart"/>
            <w:r w:rsidRPr="000C283E">
              <w:rPr>
                <w:rFonts w:cstheme="minorHAnsi"/>
                <w:b/>
                <w:bCs/>
                <w:sz w:val="18"/>
                <w:lang w:val="mk-MK"/>
              </w:rPr>
              <w:t>position</w:t>
            </w:r>
            <w:proofErr w:type="spellEnd"/>
          </w:p>
        </w:tc>
        <w:tc>
          <w:tcPr>
            <w:tcW w:w="1344" w:type="dxa"/>
            <w:shd w:val="clear" w:color="auto" w:fill="auto"/>
            <w:tcMar>
              <w:left w:w="58" w:type="dxa"/>
              <w:right w:w="58" w:type="dxa"/>
            </w:tcMar>
            <w:vAlign w:val="bottom"/>
          </w:tcPr>
          <w:p w14:paraId="555B2F42" w14:textId="77777777" w:rsidR="00660663" w:rsidRPr="00CE3053" w:rsidRDefault="00660663" w:rsidP="00660663">
            <w:pPr>
              <w:pStyle w:val="TableText"/>
              <w:spacing w:after="0"/>
              <w:jc w:val="right"/>
              <w:rPr>
                <w:rFonts w:cstheme="minorHAnsi"/>
                <w:b/>
                <w:sz w:val="18"/>
                <w:lang w:val="mk-MK"/>
              </w:rPr>
            </w:pPr>
          </w:p>
        </w:tc>
        <w:tc>
          <w:tcPr>
            <w:tcW w:w="1718" w:type="dxa"/>
            <w:shd w:val="clear" w:color="auto" w:fill="auto"/>
            <w:tcMar>
              <w:left w:w="58" w:type="dxa"/>
              <w:right w:w="58" w:type="dxa"/>
            </w:tcMar>
            <w:vAlign w:val="bottom"/>
          </w:tcPr>
          <w:p w14:paraId="2630DA1C" w14:textId="77777777" w:rsidR="00660663" w:rsidRPr="00CE3053" w:rsidRDefault="00660663" w:rsidP="00660663">
            <w:pPr>
              <w:pStyle w:val="TableText"/>
              <w:spacing w:after="0"/>
              <w:jc w:val="right"/>
              <w:rPr>
                <w:rFonts w:cstheme="minorHAnsi"/>
                <w:b/>
                <w:sz w:val="18"/>
                <w:lang w:val="mk-MK"/>
              </w:rPr>
            </w:pPr>
          </w:p>
        </w:tc>
        <w:tc>
          <w:tcPr>
            <w:tcW w:w="1718" w:type="dxa"/>
            <w:shd w:val="clear" w:color="auto" w:fill="auto"/>
            <w:tcMar>
              <w:left w:w="58" w:type="dxa"/>
              <w:right w:w="58" w:type="dxa"/>
            </w:tcMar>
            <w:vAlign w:val="bottom"/>
          </w:tcPr>
          <w:p w14:paraId="3B2C2390" w14:textId="77777777" w:rsidR="00660663" w:rsidRPr="00CE3053" w:rsidRDefault="00660663" w:rsidP="00660663">
            <w:pPr>
              <w:pStyle w:val="TableText"/>
              <w:spacing w:after="0"/>
              <w:jc w:val="right"/>
              <w:rPr>
                <w:rFonts w:cstheme="minorHAnsi"/>
                <w:b/>
                <w:sz w:val="18"/>
                <w:lang w:val="mk-MK"/>
              </w:rPr>
            </w:pPr>
          </w:p>
        </w:tc>
      </w:tr>
      <w:tr w:rsidR="00660663" w:rsidRPr="001E6526" w14:paraId="49799004" w14:textId="77777777" w:rsidTr="0025712C">
        <w:trPr>
          <w:trHeight w:val="216"/>
        </w:trPr>
        <w:tc>
          <w:tcPr>
            <w:tcW w:w="3860" w:type="dxa"/>
            <w:shd w:val="clear" w:color="auto" w:fill="auto"/>
            <w:tcMar>
              <w:left w:w="58" w:type="dxa"/>
              <w:right w:w="58" w:type="dxa"/>
            </w:tcMar>
            <w:vAlign w:val="bottom"/>
          </w:tcPr>
          <w:p w14:paraId="397E70D3" w14:textId="77777777" w:rsidR="00660663" w:rsidRPr="00CE3053" w:rsidRDefault="00660663" w:rsidP="00660663">
            <w:pPr>
              <w:pStyle w:val="TableText"/>
              <w:spacing w:after="0"/>
              <w:rPr>
                <w:rFonts w:cstheme="minorHAnsi"/>
                <w:bCs/>
                <w:sz w:val="18"/>
                <w:lang w:val="mk-MK"/>
              </w:rPr>
            </w:pPr>
          </w:p>
        </w:tc>
        <w:tc>
          <w:tcPr>
            <w:tcW w:w="1344" w:type="dxa"/>
            <w:shd w:val="clear" w:color="auto" w:fill="auto"/>
            <w:tcMar>
              <w:left w:w="58" w:type="dxa"/>
              <w:right w:w="58" w:type="dxa"/>
            </w:tcMar>
            <w:vAlign w:val="bottom"/>
          </w:tcPr>
          <w:p w14:paraId="42BB3215" w14:textId="77777777" w:rsidR="00660663" w:rsidRPr="00CE3053" w:rsidRDefault="00660663" w:rsidP="00660663">
            <w:pPr>
              <w:pStyle w:val="TableText"/>
              <w:spacing w:after="0"/>
              <w:jc w:val="right"/>
              <w:rPr>
                <w:rFonts w:cstheme="minorHAnsi"/>
                <w:sz w:val="18"/>
                <w:lang w:val="mk-MK"/>
              </w:rPr>
            </w:pPr>
          </w:p>
        </w:tc>
        <w:tc>
          <w:tcPr>
            <w:tcW w:w="1718" w:type="dxa"/>
            <w:shd w:val="clear" w:color="auto" w:fill="auto"/>
            <w:tcMar>
              <w:left w:w="58" w:type="dxa"/>
              <w:right w:w="58" w:type="dxa"/>
            </w:tcMar>
            <w:vAlign w:val="bottom"/>
          </w:tcPr>
          <w:p w14:paraId="227D2AE5" w14:textId="4FFFB9F4" w:rsidR="00660663" w:rsidRPr="00CE3053" w:rsidRDefault="000C283E" w:rsidP="00660663">
            <w:pPr>
              <w:pStyle w:val="TableText"/>
              <w:spacing w:after="0"/>
              <w:jc w:val="right"/>
              <w:rPr>
                <w:rFonts w:cstheme="minorHAnsi"/>
                <w:sz w:val="18"/>
                <w:lang w:val="mk-MK"/>
              </w:rPr>
            </w:pPr>
            <w:proofErr w:type="spellStart"/>
            <w:r w:rsidRPr="000C283E">
              <w:rPr>
                <w:rFonts w:cstheme="minorHAnsi"/>
                <w:sz w:val="18"/>
                <w:lang w:val="mk-MK"/>
              </w:rPr>
              <w:t>Other</w:t>
            </w:r>
            <w:proofErr w:type="spellEnd"/>
            <w:r w:rsidRPr="000C283E">
              <w:rPr>
                <w:rFonts w:cstheme="minorHAnsi"/>
                <w:sz w:val="18"/>
                <w:lang w:val="mk-MK"/>
              </w:rPr>
              <w:t xml:space="preserve"> </w:t>
            </w:r>
            <w:proofErr w:type="spellStart"/>
            <w:r w:rsidRPr="000C283E">
              <w:rPr>
                <w:rFonts w:cstheme="minorHAnsi"/>
                <w:sz w:val="18"/>
                <w:lang w:val="mk-MK"/>
              </w:rPr>
              <w:t>financial</w:t>
            </w:r>
            <w:proofErr w:type="spellEnd"/>
            <w:r w:rsidRPr="000C283E">
              <w:rPr>
                <w:rFonts w:cstheme="minorHAnsi"/>
                <w:sz w:val="18"/>
                <w:lang w:val="mk-MK"/>
              </w:rPr>
              <w:t xml:space="preserve"> </w:t>
            </w:r>
            <w:proofErr w:type="spellStart"/>
            <w:r w:rsidRPr="000C283E">
              <w:rPr>
                <w:rFonts w:cstheme="minorHAnsi"/>
                <w:sz w:val="18"/>
                <w:lang w:val="mk-MK"/>
              </w:rPr>
              <w:t>liabilities</w:t>
            </w:r>
            <w:proofErr w:type="spellEnd"/>
            <w:r w:rsidRPr="000C283E">
              <w:rPr>
                <w:rFonts w:cstheme="minorHAnsi"/>
                <w:sz w:val="18"/>
                <w:lang w:val="mk-MK"/>
              </w:rPr>
              <w:t xml:space="preserve"> </w:t>
            </w:r>
            <w:proofErr w:type="spellStart"/>
            <w:r w:rsidRPr="000C283E">
              <w:rPr>
                <w:rFonts w:cstheme="minorHAnsi"/>
                <w:sz w:val="18"/>
                <w:lang w:val="mk-MK"/>
              </w:rPr>
              <w:t>at</w:t>
            </w:r>
            <w:proofErr w:type="spellEnd"/>
            <w:r w:rsidRPr="000C283E">
              <w:rPr>
                <w:rFonts w:cstheme="minorHAnsi"/>
                <w:sz w:val="18"/>
                <w:lang w:val="mk-MK"/>
              </w:rPr>
              <w:t xml:space="preserve"> </w:t>
            </w:r>
            <w:proofErr w:type="spellStart"/>
            <w:r w:rsidRPr="000C283E">
              <w:rPr>
                <w:rFonts w:cstheme="minorHAnsi"/>
                <w:sz w:val="18"/>
                <w:lang w:val="mk-MK"/>
              </w:rPr>
              <w:t>amortized</w:t>
            </w:r>
            <w:proofErr w:type="spellEnd"/>
            <w:r w:rsidRPr="000C283E">
              <w:rPr>
                <w:rFonts w:cstheme="minorHAnsi"/>
                <w:sz w:val="18"/>
                <w:lang w:val="mk-MK"/>
              </w:rPr>
              <w:t xml:space="preserve"> </w:t>
            </w:r>
            <w:proofErr w:type="spellStart"/>
            <w:r w:rsidRPr="000C283E">
              <w:rPr>
                <w:rFonts w:cstheme="minorHAnsi"/>
                <w:sz w:val="18"/>
                <w:lang w:val="mk-MK"/>
              </w:rPr>
              <w:t>cost</w:t>
            </w:r>
            <w:proofErr w:type="spellEnd"/>
          </w:p>
        </w:tc>
        <w:tc>
          <w:tcPr>
            <w:tcW w:w="1718" w:type="dxa"/>
            <w:shd w:val="clear" w:color="auto" w:fill="auto"/>
            <w:tcMar>
              <w:left w:w="58" w:type="dxa"/>
              <w:right w:w="58" w:type="dxa"/>
            </w:tcMar>
            <w:vAlign w:val="bottom"/>
          </w:tcPr>
          <w:p w14:paraId="36E34FCF" w14:textId="01263485" w:rsidR="00660663" w:rsidRPr="000C283E" w:rsidRDefault="000C283E" w:rsidP="00660663">
            <w:pPr>
              <w:pStyle w:val="TableText"/>
              <w:spacing w:after="0"/>
              <w:jc w:val="right"/>
              <w:rPr>
                <w:rFonts w:cstheme="minorHAnsi"/>
                <w:sz w:val="18"/>
                <w:lang w:val="en-US"/>
              </w:rPr>
            </w:pPr>
            <w:r>
              <w:rPr>
                <w:rFonts w:cstheme="minorHAnsi"/>
                <w:sz w:val="18"/>
                <w:lang w:val="en-US"/>
              </w:rPr>
              <w:t>Total</w:t>
            </w:r>
          </w:p>
        </w:tc>
      </w:tr>
      <w:tr w:rsidR="00660663" w:rsidRPr="001E6526" w14:paraId="542A71CA" w14:textId="77777777" w:rsidTr="0025712C">
        <w:trPr>
          <w:trHeight w:val="216"/>
        </w:trPr>
        <w:tc>
          <w:tcPr>
            <w:tcW w:w="3860" w:type="dxa"/>
            <w:shd w:val="clear" w:color="auto" w:fill="auto"/>
            <w:tcMar>
              <w:left w:w="58" w:type="dxa"/>
              <w:right w:w="58" w:type="dxa"/>
            </w:tcMar>
            <w:vAlign w:val="bottom"/>
          </w:tcPr>
          <w:p w14:paraId="5796BECC" w14:textId="37549753" w:rsidR="00660663" w:rsidRPr="000C283E" w:rsidRDefault="000C283E" w:rsidP="00660663">
            <w:pPr>
              <w:pStyle w:val="TableText"/>
              <w:spacing w:after="0"/>
              <w:rPr>
                <w:rFonts w:cstheme="minorHAnsi"/>
                <w:bCs/>
                <w:sz w:val="18"/>
                <w:lang w:val="en-US"/>
              </w:rPr>
            </w:pPr>
            <w:r>
              <w:rPr>
                <w:rFonts w:cstheme="minorHAnsi"/>
                <w:bCs/>
                <w:sz w:val="18"/>
                <w:lang w:val="en-US"/>
              </w:rPr>
              <w:t>Claims payables</w:t>
            </w:r>
          </w:p>
        </w:tc>
        <w:tc>
          <w:tcPr>
            <w:tcW w:w="1344" w:type="dxa"/>
            <w:shd w:val="clear" w:color="auto" w:fill="auto"/>
            <w:tcMar>
              <w:left w:w="58" w:type="dxa"/>
              <w:right w:w="58" w:type="dxa"/>
            </w:tcMar>
            <w:vAlign w:val="bottom"/>
          </w:tcPr>
          <w:p w14:paraId="4D226DAD" w14:textId="77777777" w:rsidR="00660663" w:rsidRPr="00CE3053" w:rsidRDefault="00660663" w:rsidP="00660663">
            <w:pPr>
              <w:pStyle w:val="TableText"/>
              <w:spacing w:after="0"/>
              <w:jc w:val="right"/>
              <w:rPr>
                <w:rFonts w:cstheme="minorHAnsi"/>
                <w:sz w:val="18"/>
                <w:lang w:val="mk-MK"/>
              </w:rPr>
            </w:pPr>
          </w:p>
        </w:tc>
        <w:tc>
          <w:tcPr>
            <w:tcW w:w="1718" w:type="dxa"/>
            <w:shd w:val="clear" w:color="auto" w:fill="auto"/>
            <w:tcMar>
              <w:left w:w="58" w:type="dxa"/>
              <w:right w:w="58" w:type="dxa"/>
            </w:tcMar>
            <w:vAlign w:val="bottom"/>
          </w:tcPr>
          <w:p w14:paraId="3CD67052" w14:textId="53891D07" w:rsidR="00660663" w:rsidRPr="00CE3053" w:rsidRDefault="001460E7" w:rsidP="00660663">
            <w:pPr>
              <w:pStyle w:val="TableText"/>
              <w:spacing w:after="0"/>
              <w:jc w:val="right"/>
              <w:rPr>
                <w:rFonts w:cstheme="minorHAnsi"/>
                <w:sz w:val="18"/>
                <w:lang w:val="mk-MK"/>
              </w:rPr>
            </w:pPr>
            <w:r w:rsidRPr="00CE3053">
              <w:rPr>
                <w:rFonts w:cstheme="minorHAnsi"/>
                <w:sz w:val="18"/>
                <w:lang w:val="mk-MK"/>
              </w:rPr>
              <w:t>621,156</w:t>
            </w:r>
          </w:p>
        </w:tc>
        <w:tc>
          <w:tcPr>
            <w:tcW w:w="1718" w:type="dxa"/>
            <w:shd w:val="clear" w:color="auto" w:fill="auto"/>
            <w:tcMar>
              <w:left w:w="58" w:type="dxa"/>
              <w:right w:w="58" w:type="dxa"/>
            </w:tcMar>
            <w:vAlign w:val="bottom"/>
          </w:tcPr>
          <w:p w14:paraId="099FD7E7" w14:textId="4D548A9C" w:rsidR="00660663" w:rsidRPr="00CE3053" w:rsidRDefault="001460E7" w:rsidP="00660663">
            <w:pPr>
              <w:spacing w:after="0"/>
              <w:jc w:val="right"/>
              <w:rPr>
                <w:rFonts w:cstheme="minorHAnsi"/>
                <w:lang w:val="mk-MK"/>
              </w:rPr>
            </w:pPr>
            <w:r w:rsidRPr="00CE3053">
              <w:rPr>
                <w:rFonts w:cstheme="minorHAnsi"/>
                <w:lang w:val="mk-MK"/>
              </w:rPr>
              <w:t>621,156</w:t>
            </w:r>
          </w:p>
        </w:tc>
      </w:tr>
      <w:tr w:rsidR="00660663" w:rsidRPr="001E6526" w14:paraId="0CEBB5AB" w14:textId="77777777" w:rsidTr="0025712C">
        <w:trPr>
          <w:trHeight w:val="216"/>
        </w:trPr>
        <w:tc>
          <w:tcPr>
            <w:tcW w:w="3860" w:type="dxa"/>
            <w:tcBorders>
              <w:bottom w:val="single" w:sz="4" w:space="0" w:color="auto"/>
            </w:tcBorders>
            <w:shd w:val="clear" w:color="auto" w:fill="auto"/>
            <w:tcMar>
              <w:left w:w="58" w:type="dxa"/>
              <w:right w:w="58" w:type="dxa"/>
            </w:tcMar>
            <w:vAlign w:val="bottom"/>
          </w:tcPr>
          <w:p w14:paraId="7B5C270C" w14:textId="39CC6672" w:rsidR="00660663" w:rsidRPr="000C283E" w:rsidRDefault="000C283E" w:rsidP="00660663">
            <w:pPr>
              <w:pStyle w:val="TableText"/>
              <w:spacing w:after="0"/>
              <w:rPr>
                <w:rFonts w:cstheme="minorHAnsi"/>
                <w:bCs/>
                <w:sz w:val="18"/>
                <w:lang w:val="en-US"/>
              </w:rPr>
            </w:pPr>
            <w:r>
              <w:rPr>
                <w:rFonts w:cstheme="minorHAnsi"/>
                <w:bCs/>
                <w:sz w:val="18"/>
                <w:lang w:val="en-US"/>
              </w:rPr>
              <w:t>Other payables</w:t>
            </w:r>
          </w:p>
        </w:tc>
        <w:tc>
          <w:tcPr>
            <w:tcW w:w="1344" w:type="dxa"/>
            <w:tcBorders>
              <w:bottom w:val="single" w:sz="4" w:space="0" w:color="auto"/>
            </w:tcBorders>
            <w:shd w:val="clear" w:color="auto" w:fill="auto"/>
            <w:tcMar>
              <w:left w:w="58" w:type="dxa"/>
              <w:right w:w="58" w:type="dxa"/>
            </w:tcMar>
            <w:vAlign w:val="bottom"/>
          </w:tcPr>
          <w:p w14:paraId="1953014E" w14:textId="77777777" w:rsidR="00660663" w:rsidRPr="00CE3053" w:rsidRDefault="00660663" w:rsidP="00660663">
            <w:pPr>
              <w:pStyle w:val="TableText"/>
              <w:spacing w:after="0"/>
              <w:jc w:val="right"/>
              <w:rPr>
                <w:rFonts w:cstheme="minorHAnsi"/>
                <w:sz w:val="18"/>
                <w:lang w:val="mk-MK"/>
              </w:rPr>
            </w:pPr>
          </w:p>
        </w:tc>
        <w:tc>
          <w:tcPr>
            <w:tcW w:w="1718" w:type="dxa"/>
            <w:tcBorders>
              <w:bottom w:val="single" w:sz="4" w:space="0" w:color="auto"/>
            </w:tcBorders>
            <w:shd w:val="clear" w:color="auto" w:fill="auto"/>
            <w:tcMar>
              <w:left w:w="58" w:type="dxa"/>
              <w:right w:w="58" w:type="dxa"/>
            </w:tcMar>
            <w:vAlign w:val="bottom"/>
          </w:tcPr>
          <w:p w14:paraId="2065D040" w14:textId="6998F8FA" w:rsidR="00660663" w:rsidRPr="001E6526" w:rsidRDefault="001460E7" w:rsidP="00660663">
            <w:pPr>
              <w:pStyle w:val="TableText"/>
              <w:spacing w:after="0"/>
              <w:jc w:val="right"/>
              <w:rPr>
                <w:rFonts w:cstheme="minorHAnsi"/>
                <w:sz w:val="18"/>
                <w:lang w:val="mk-MK"/>
              </w:rPr>
            </w:pPr>
            <w:r w:rsidRPr="00CE3053">
              <w:rPr>
                <w:rFonts w:cstheme="minorHAnsi"/>
                <w:sz w:val="18"/>
                <w:lang w:val="mk-MK"/>
              </w:rPr>
              <w:t>68</w:t>
            </w:r>
          </w:p>
        </w:tc>
        <w:tc>
          <w:tcPr>
            <w:tcW w:w="1718" w:type="dxa"/>
            <w:tcBorders>
              <w:bottom w:val="single" w:sz="4" w:space="0" w:color="auto"/>
            </w:tcBorders>
            <w:shd w:val="clear" w:color="auto" w:fill="auto"/>
            <w:tcMar>
              <w:left w:w="58" w:type="dxa"/>
              <w:right w:w="58" w:type="dxa"/>
            </w:tcMar>
            <w:vAlign w:val="bottom"/>
          </w:tcPr>
          <w:p w14:paraId="7CF2E297" w14:textId="4DAA7AF2" w:rsidR="00660663" w:rsidRPr="00CE3053" w:rsidRDefault="001460E7" w:rsidP="00660663">
            <w:pPr>
              <w:spacing w:after="0"/>
              <w:jc w:val="right"/>
              <w:rPr>
                <w:rFonts w:cstheme="minorHAnsi"/>
                <w:lang w:val="mk-MK"/>
              </w:rPr>
            </w:pPr>
            <w:r w:rsidRPr="00CE3053">
              <w:rPr>
                <w:rFonts w:cstheme="minorHAnsi"/>
                <w:lang w:val="mk-MK"/>
              </w:rPr>
              <w:t>68</w:t>
            </w:r>
          </w:p>
        </w:tc>
      </w:tr>
      <w:tr w:rsidR="00660663" w:rsidRPr="001E6526" w14:paraId="0E072C00" w14:textId="77777777" w:rsidTr="0025712C">
        <w:trPr>
          <w:trHeight w:val="216"/>
        </w:trPr>
        <w:tc>
          <w:tcPr>
            <w:tcW w:w="3860" w:type="dxa"/>
            <w:tcBorders>
              <w:top w:val="single" w:sz="4" w:space="0" w:color="auto"/>
              <w:bottom w:val="double" w:sz="4" w:space="0" w:color="auto"/>
            </w:tcBorders>
            <w:shd w:val="clear" w:color="auto" w:fill="auto"/>
            <w:tcMar>
              <w:left w:w="58" w:type="dxa"/>
              <w:right w:w="58" w:type="dxa"/>
            </w:tcMar>
            <w:vAlign w:val="bottom"/>
          </w:tcPr>
          <w:p w14:paraId="49A50982" w14:textId="611F7E58" w:rsidR="00660663" w:rsidRPr="000C283E" w:rsidRDefault="000C283E" w:rsidP="00660663">
            <w:pPr>
              <w:pStyle w:val="TableText"/>
              <w:spacing w:after="0"/>
              <w:rPr>
                <w:rFonts w:cstheme="minorHAnsi"/>
                <w:b/>
                <w:bCs/>
                <w:sz w:val="18"/>
                <w:lang w:val="en-US"/>
              </w:rPr>
            </w:pPr>
            <w:r>
              <w:rPr>
                <w:rFonts w:cstheme="minorHAnsi"/>
                <w:b/>
                <w:bCs/>
                <w:sz w:val="18"/>
                <w:lang w:val="en-US"/>
              </w:rPr>
              <w:t>Total</w:t>
            </w:r>
          </w:p>
        </w:tc>
        <w:tc>
          <w:tcPr>
            <w:tcW w:w="1344" w:type="dxa"/>
            <w:tcBorders>
              <w:top w:val="single" w:sz="4" w:space="0" w:color="auto"/>
              <w:bottom w:val="double" w:sz="4" w:space="0" w:color="auto"/>
            </w:tcBorders>
            <w:shd w:val="clear" w:color="auto" w:fill="auto"/>
            <w:tcMar>
              <w:left w:w="58" w:type="dxa"/>
              <w:right w:w="58" w:type="dxa"/>
            </w:tcMar>
            <w:vAlign w:val="bottom"/>
          </w:tcPr>
          <w:p w14:paraId="5B6A9665" w14:textId="77777777" w:rsidR="00660663" w:rsidRPr="00CE3053" w:rsidRDefault="00660663" w:rsidP="00660663">
            <w:pPr>
              <w:pStyle w:val="TableText"/>
              <w:spacing w:after="0"/>
              <w:jc w:val="right"/>
              <w:rPr>
                <w:rFonts w:cstheme="minorHAnsi"/>
                <w:b/>
                <w:sz w:val="18"/>
                <w:lang w:val="mk-MK"/>
              </w:rPr>
            </w:pPr>
          </w:p>
        </w:tc>
        <w:tc>
          <w:tcPr>
            <w:tcW w:w="1718" w:type="dxa"/>
            <w:tcBorders>
              <w:top w:val="single" w:sz="4" w:space="0" w:color="auto"/>
              <w:bottom w:val="double" w:sz="4" w:space="0" w:color="auto"/>
            </w:tcBorders>
            <w:shd w:val="clear" w:color="auto" w:fill="auto"/>
            <w:tcMar>
              <w:left w:w="58" w:type="dxa"/>
              <w:right w:w="58" w:type="dxa"/>
            </w:tcMar>
            <w:vAlign w:val="bottom"/>
          </w:tcPr>
          <w:p w14:paraId="23187630" w14:textId="2AE6DD64" w:rsidR="00660663" w:rsidRPr="00CE3053" w:rsidRDefault="001460E7" w:rsidP="00660663">
            <w:pPr>
              <w:pStyle w:val="TableText"/>
              <w:spacing w:after="0"/>
              <w:jc w:val="right"/>
              <w:rPr>
                <w:rFonts w:cstheme="minorHAnsi"/>
                <w:b/>
                <w:sz w:val="18"/>
                <w:lang w:val="mk-MK"/>
              </w:rPr>
            </w:pPr>
            <w:r w:rsidRPr="00CE3053">
              <w:rPr>
                <w:rFonts w:cstheme="minorHAnsi"/>
                <w:b/>
                <w:sz w:val="18"/>
                <w:lang w:val="mk-MK"/>
              </w:rPr>
              <w:t>621,224</w:t>
            </w:r>
          </w:p>
        </w:tc>
        <w:tc>
          <w:tcPr>
            <w:tcW w:w="1718" w:type="dxa"/>
            <w:tcBorders>
              <w:top w:val="single" w:sz="4" w:space="0" w:color="auto"/>
              <w:bottom w:val="double" w:sz="4" w:space="0" w:color="auto"/>
            </w:tcBorders>
            <w:shd w:val="clear" w:color="auto" w:fill="auto"/>
            <w:tcMar>
              <w:left w:w="58" w:type="dxa"/>
              <w:right w:w="58" w:type="dxa"/>
            </w:tcMar>
            <w:vAlign w:val="bottom"/>
          </w:tcPr>
          <w:p w14:paraId="7C7ACC93" w14:textId="4E497C8E" w:rsidR="00660663" w:rsidRPr="00CE3053" w:rsidRDefault="001460E7" w:rsidP="00660663">
            <w:pPr>
              <w:spacing w:after="0"/>
              <w:jc w:val="right"/>
              <w:rPr>
                <w:rFonts w:cstheme="minorHAnsi"/>
                <w:b/>
                <w:bCs/>
                <w:lang w:val="mk-MK"/>
              </w:rPr>
            </w:pPr>
            <w:r w:rsidRPr="00CE3053">
              <w:rPr>
                <w:rFonts w:cstheme="minorHAnsi"/>
                <w:b/>
                <w:bCs/>
                <w:lang w:val="mk-MK"/>
              </w:rPr>
              <w:t>621,224</w:t>
            </w:r>
          </w:p>
        </w:tc>
      </w:tr>
    </w:tbl>
    <w:p w14:paraId="442FB492" w14:textId="77777777" w:rsidR="00F93B95" w:rsidRPr="00CE3053" w:rsidRDefault="00F93B95" w:rsidP="00F93B95">
      <w:pPr>
        <w:pStyle w:val="BodyText"/>
        <w:spacing w:after="0"/>
        <w:rPr>
          <w:rFonts w:cstheme="minorHAnsi"/>
          <w:lang w:val="mk-MK"/>
        </w:rPr>
      </w:pPr>
    </w:p>
    <w:p w14:paraId="752F2432" w14:textId="77777777" w:rsidR="00F93B95" w:rsidRPr="00CE3053" w:rsidRDefault="00F93B95" w:rsidP="00F93B95">
      <w:pPr>
        <w:pStyle w:val="BodyText"/>
        <w:spacing w:after="0"/>
        <w:rPr>
          <w:rFonts w:cstheme="minorHAnsi"/>
          <w:lang w:val="mk-MK"/>
        </w:rPr>
        <w:sectPr w:rsidR="00F93B95" w:rsidRPr="00CE3053" w:rsidSect="00820DDF">
          <w:headerReference w:type="even" r:id="rId33"/>
          <w:headerReference w:type="default" r:id="rId34"/>
          <w:headerReference w:type="first" r:id="rId35"/>
          <w:pgSz w:w="11906" w:h="16838" w:code="9"/>
          <w:pgMar w:top="1627" w:right="734" w:bottom="1138" w:left="2606" w:header="706" w:footer="562" w:gutter="0"/>
          <w:cols w:space="708"/>
          <w:docGrid w:linePitch="360"/>
        </w:sectPr>
      </w:pPr>
    </w:p>
    <w:p w14:paraId="2C8C863B" w14:textId="0C2EEEC8" w:rsidR="00F93B95" w:rsidRPr="00CE3053" w:rsidRDefault="00DD219D" w:rsidP="0061511C">
      <w:pPr>
        <w:pStyle w:val="NumberedHeading1"/>
        <w:numPr>
          <w:ilvl w:val="0"/>
          <w:numId w:val="22"/>
        </w:numPr>
        <w:spacing w:before="0" w:after="0" w:line="260" w:lineRule="atLeast"/>
        <w:rPr>
          <w:rFonts w:ascii="Arial" w:hAnsi="Arial" w:cs="Arial"/>
          <w:b/>
          <w:color w:val="4F2D7F"/>
          <w:sz w:val="18"/>
          <w:lang w:val="mk-MK"/>
        </w:rPr>
      </w:pPr>
      <w:r>
        <w:rPr>
          <w:rFonts w:ascii="Arial" w:hAnsi="Arial" w:cs="Arial"/>
          <w:b/>
          <w:color w:val="4F2D7F"/>
          <w:sz w:val="18"/>
          <w:lang w:val="en-US"/>
        </w:rPr>
        <w:lastRenderedPageBreak/>
        <w:t>Interest income</w:t>
      </w:r>
    </w:p>
    <w:tbl>
      <w:tblPr>
        <w:tblW w:w="8640" w:type="dxa"/>
        <w:tblInd w:w="86" w:type="dxa"/>
        <w:tblLook w:val="01E0" w:firstRow="1" w:lastRow="1" w:firstColumn="1" w:lastColumn="1" w:noHBand="0" w:noVBand="0"/>
      </w:tblPr>
      <w:tblGrid>
        <w:gridCol w:w="5760"/>
        <w:gridCol w:w="1440"/>
        <w:gridCol w:w="1440"/>
      </w:tblGrid>
      <w:tr w:rsidR="00F30EF8" w:rsidRPr="001E6526" w14:paraId="32AB81F2" w14:textId="77777777" w:rsidTr="00550288">
        <w:trPr>
          <w:trHeight w:val="216"/>
        </w:trPr>
        <w:tc>
          <w:tcPr>
            <w:tcW w:w="5760" w:type="dxa"/>
            <w:shd w:val="clear" w:color="auto" w:fill="auto"/>
            <w:tcMar>
              <w:left w:w="58" w:type="dxa"/>
              <w:right w:w="58" w:type="dxa"/>
            </w:tcMar>
            <w:vAlign w:val="bottom"/>
          </w:tcPr>
          <w:p w14:paraId="14522E71" w14:textId="77777777" w:rsidR="00F30EF8" w:rsidRPr="00CE3053" w:rsidRDefault="00F30EF8" w:rsidP="00F93B95">
            <w:pPr>
              <w:pStyle w:val="TableText"/>
              <w:spacing w:after="0"/>
              <w:rPr>
                <w:rFonts w:ascii="Arial" w:hAnsi="Arial"/>
                <w:sz w:val="18"/>
                <w:lang w:val="mk-MK"/>
              </w:rPr>
            </w:pPr>
          </w:p>
        </w:tc>
        <w:tc>
          <w:tcPr>
            <w:tcW w:w="2880" w:type="dxa"/>
            <w:gridSpan w:val="2"/>
            <w:shd w:val="clear" w:color="auto" w:fill="auto"/>
            <w:tcMar>
              <w:left w:w="58" w:type="dxa"/>
              <w:right w:w="58" w:type="dxa"/>
            </w:tcMar>
            <w:vAlign w:val="bottom"/>
          </w:tcPr>
          <w:p w14:paraId="50B45EF3" w14:textId="578F900D" w:rsidR="00F30EF8" w:rsidRPr="00CE3053" w:rsidRDefault="00F30EF8" w:rsidP="00F93B95">
            <w:pPr>
              <w:pStyle w:val="TableText"/>
              <w:spacing w:after="0"/>
              <w:jc w:val="right"/>
              <w:rPr>
                <w:rFonts w:ascii="Arial" w:hAnsi="Arial"/>
                <w:sz w:val="18"/>
                <w:lang w:val="mk-MK"/>
              </w:rPr>
            </w:pPr>
            <w:r w:rsidRPr="00CE3053">
              <w:rPr>
                <w:rFonts w:ascii="Arial" w:hAnsi="Arial"/>
                <w:sz w:val="18"/>
                <w:lang w:val="mk-MK"/>
              </w:rPr>
              <w:t xml:space="preserve">(000 </w:t>
            </w:r>
            <w:proofErr w:type="spellStart"/>
            <w:r w:rsidR="00E57D64">
              <w:rPr>
                <w:rFonts w:ascii="Arial" w:hAnsi="Arial"/>
                <w:sz w:val="18"/>
                <w:lang w:val="en-US"/>
              </w:rPr>
              <w:t>mkd</w:t>
            </w:r>
            <w:proofErr w:type="spellEnd"/>
            <w:r w:rsidRPr="00CE3053">
              <w:rPr>
                <w:rFonts w:ascii="Arial" w:hAnsi="Arial"/>
                <w:sz w:val="18"/>
                <w:lang w:val="mk-MK"/>
              </w:rPr>
              <w:t>)</w:t>
            </w:r>
          </w:p>
        </w:tc>
      </w:tr>
      <w:tr w:rsidR="00F93B95" w:rsidRPr="001E6526" w14:paraId="2A3FA5DE" w14:textId="77777777" w:rsidTr="0025712C">
        <w:trPr>
          <w:trHeight w:val="216"/>
        </w:trPr>
        <w:tc>
          <w:tcPr>
            <w:tcW w:w="5760" w:type="dxa"/>
            <w:shd w:val="clear" w:color="auto" w:fill="auto"/>
            <w:tcMar>
              <w:left w:w="58" w:type="dxa"/>
              <w:right w:w="58" w:type="dxa"/>
            </w:tcMar>
            <w:vAlign w:val="bottom"/>
          </w:tcPr>
          <w:p w14:paraId="260646D9" w14:textId="77777777" w:rsidR="00F93B95" w:rsidRPr="00CE3053" w:rsidRDefault="00F93B95" w:rsidP="00F93B95">
            <w:pPr>
              <w:pStyle w:val="TableText"/>
              <w:spacing w:after="0"/>
              <w:rPr>
                <w:rFonts w:ascii="Arial" w:hAnsi="Arial"/>
                <w:sz w:val="18"/>
                <w:lang w:val="mk-MK"/>
              </w:rPr>
            </w:pPr>
          </w:p>
        </w:tc>
        <w:tc>
          <w:tcPr>
            <w:tcW w:w="1440" w:type="dxa"/>
            <w:shd w:val="clear" w:color="auto" w:fill="auto"/>
            <w:tcMar>
              <w:left w:w="58" w:type="dxa"/>
              <w:right w:w="58" w:type="dxa"/>
            </w:tcMar>
            <w:vAlign w:val="bottom"/>
          </w:tcPr>
          <w:p w14:paraId="59D8BC43" w14:textId="0860C529" w:rsidR="00F93B95" w:rsidRPr="00CE3053" w:rsidRDefault="00F93B95" w:rsidP="00F93B95">
            <w:pPr>
              <w:pStyle w:val="TableText"/>
              <w:spacing w:after="0"/>
              <w:jc w:val="right"/>
              <w:rPr>
                <w:rFonts w:ascii="Arial" w:hAnsi="Arial"/>
                <w:sz w:val="18"/>
                <w:lang w:val="mk-MK"/>
              </w:rPr>
            </w:pPr>
            <w:r w:rsidRPr="00CE3053">
              <w:rPr>
                <w:rFonts w:ascii="Arial" w:hAnsi="Arial"/>
                <w:sz w:val="18"/>
                <w:lang w:val="mk-MK"/>
              </w:rPr>
              <w:t>202</w:t>
            </w:r>
            <w:r w:rsidR="005D76E4" w:rsidRPr="00CE3053">
              <w:rPr>
                <w:rFonts w:ascii="Arial" w:hAnsi="Arial"/>
                <w:sz w:val="18"/>
                <w:lang w:val="mk-MK"/>
              </w:rPr>
              <w:t>1</w:t>
            </w:r>
          </w:p>
        </w:tc>
        <w:tc>
          <w:tcPr>
            <w:tcW w:w="1440" w:type="dxa"/>
            <w:shd w:val="clear" w:color="auto" w:fill="auto"/>
            <w:tcMar>
              <w:left w:w="58" w:type="dxa"/>
              <w:right w:w="58" w:type="dxa"/>
            </w:tcMar>
            <w:vAlign w:val="bottom"/>
          </w:tcPr>
          <w:p w14:paraId="6ABB307A" w14:textId="2D155132" w:rsidR="00F93B95" w:rsidRPr="00CE3053" w:rsidRDefault="00F93B95" w:rsidP="00F93B95">
            <w:pPr>
              <w:pStyle w:val="TableText"/>
              <w:spacing w:after="0"/>
              <w:jc w:val="right"/>
              <w:rPr>
                <w:rFonts w:ascii="Arial" w:hAnsi="Arial"/>
                <w:sz w:val="18"/>
                <w:lang w:val="mk-MK"/>
              </w:rPr>
            </w:pPr>
            <w:r w:rsidRPr="00CE3053">
              <w:rPr>
                <w:rFonts w:ascii="Arial" w:hAnsi="Arial"/>
                <w:sz w:val="18"/>
                <w:lang w:val="mk-MK"/>
              </w:rPr>
              <w:t>20</w:t>
            </w:r>
            <w:r w:rsidR="005D76E4" w:rsidRPr="00CE3053">
              <w:rPr>
                <w:rFonts w:ascii="Arial" w:hAnsi="Arial"/>
                <w:sz w:val="18"/>
                <w:lang w:val="mk-MK"/>
              </w:rPr>
              <w:t>20</w:t>
            </w:r>
          </w:p>
        </w:tc>
      </w:tr>
      <w:tr w:rsidR="00F93B95" w:rsidRPr="001E6526" w14:paraId="32E66338" w14:textId="77777777" w:rsidTr="0025712C">
        <w:trPr>
          <w:trHeight w:val="216"/>
        </w:trPr>
        <w:tc>
          <w:tcPr>
            <w:tcW w:w="5760" w:type="dxa"/>
            <w:shd w:val="clear" w:color="auto" w:fill="auto"/>
            <w:tcMar>
              <w:left w:w="58" w:type="dxa"/>
              <w:right w:w="58" w:type="dxa"/>
            </w:tcMar>
            <w:vAlign w:val="bottom"/>
          </w:tcPr>
          <w:p w14:paraId="66CAFE8D" w14:textId="77777777" w:rsidR="00F93B95" w:rsidRPr="00CE3053" w:rsidRDefault="00F93B95" w:rsidP="00F93B95">
            <w:pPr>
              <w:pStyle w:val="TableText"/>
              <w:spacing w:after="0"/>
              <w:rPr>
                <w:rFonts w:ascii="Arial" w:hAnsi="Arial"/>
                <w:sz w:val="18"/>
                <w:lang w:val="mk-MK"/>
              </w:rPr>
            </w:pPr>
          </w:p>
        </w:tc>
        <w:tc>
          <w:tcPr>
            <w:tcW w:w="1440" w:type="dxa"/>
            <w:shd w:val="clear" w:color="auto" w:fill="auto"/>
            <w:tcMar>
              <w:left w:w="58" w:type="dxa"/>
              <w:right w:w="58" w:type="dxa"/>
            </w:tcMar>
            <w:vAlign w:val="bottom"/>
          </w:tcPr>
          <w:p w14:paraId="14945D50" w14:textId="77777777" w:rsidR="00F93B95" w:rsidRPr="00CE3053" w:rsidRDefault="00F93B95" w:rsidP="00F93B95">
            <w:pPr>
              <w:pStyle w:val="TableText"/>
              <w:spacing w:after="0"/>
              <w:jc w:val="right"/>
              <w:rPr>
                <w:rFonts w:ascii="Arial" w:hAnsi="Arial"/>
                <w:sz w:val="18"/>
                <w:lang w:val="mk-MK"/>
              </w:rPr>
            </w:pPr>
          </w:p>
        </w:tc>
        <w:tc>
          <w:tcPr>
            <w:tcW w:w="1440" w:type="dxa"/>
            <w:shd w:val="clear" w:color="auto" w:fill="auto"/>
            <w:tcMar>
              <w:left w:w="58" w:type="dxa"/>
              <w:right w:w="58" w:type="dxa"/>
            </w:tcMar>
            <w:vAlign w:val="bottom"/>
          </w:tcPr>
          <w:p w14:paraId="1ACC83BB" w14:textId="77777777" w:rsidR="00F93B95" w:rsidRPr="00CE3053" w:rsidRDefault="00F93B95" w:rsidP="00F93B95">
            <w:pPr>
              <w:pStyle w:val="TableText"/>
              <w:spacing w:after="0"/>
              <w:jc w:val="right"/>
              <w:rPr>
                <w:rFonts w:ascii="Arial" w:hAnsi="Arial"/>
                <w:sz w:val="18"/>
                <w:lang w:val="mk-MK"/>
              </w:rPr>
            </w:pPr>
          </w:p>
        </w:tc>
      </w:tr>
      <w:tr w:rsidR="00DD219D" w:rsidRPr="001E6526" w14:paraId="72095D0A" w14:textId="77777777" w:rsidTr="006011CB">
        <w:trPr>
          <w:trHeight w:val="216"/>
        </w:trPr>
        <w:tc>
          <w:tcPr>
            <w:tcW w:w="5760" w:type="dxa"/>
            <w:shd w:val="clear" w:color="auto" w:fill="auto"/>
            <w:tcMar>
              <w:left w:w="58" w:type="dxa"/>
              <w:right w:w="58" w:type="dxa"/>
            </w:tcMar>
          </w:tcPr>
          <w:p w14:paraId="4B791D5B" w14:textId="18E956FD" w:rsidR="00DD219D" w:rsidRPr="002236F7" w:rsidRDefault="002236F7" w:rsidP="00DD219D">
            <w:pPr>
              <w:pStyle w:val="TableText"/>
              <w:spacing w:after="0"/>
              <w:rPr>
                <w:rFonts w:ascii="Arial" w:hAnsi="Arial"/>
                <w:bCs/>
                <w:sz w:val="18"/>
                <w:lang w:val="en-US"/>
              </w:rPr>
            </w:pPr>
            <w:r w:rsidRPr="00C913A8">
              <w:rPr>
                <w:rFonts w:ascii="Arial" w:hAnsi="Arial"/>
                <w:bCs/>
                <w:sz w:val="18"/>
                <w:lang w:val="en-US"/>
              </w:rPr>
              <w:t>Government bills</w:t>
            </w:r>
            <w:r w:rsidRPr="002236F7">
              <w:rPr>
                <w:rFonts w:ascii="Arial" w:hAnsi="Arial"/>
                <w:bCs/>
                <w:sz w:val="18"/>
                <w:lang w:val="en-US"/>
              </w:rPr>
              <w:t xml:space="preserve"> (Note 12)</w:t>
            </w:r>
          </w:p>
        </w:tc>
        <w:tc>
          <w:tcPr>
            <w:tcW w:w="1440" w:type="dxa"/>
            <w:shd w:val="clear" w:color="auto" w:fill="auto"/>
            <w:tcMar>
              <w:left w:w="58" w:type="dxa"/>
              <w:right w:w="58" w:type="dxa"/>
            </w:tcMar>
            <w:vAlign w:val="bottom"/>
          </w:tcPr>
          <w:p w14:paraId="006806E0" w14:textId="18D36FFE" w:rsidR="00DD219D" w:rsidRPr="00CE3053" w:rsidRDefault="00DD219D" w:rsidP="00DD219D">
            <w:pPr>
              <w:spacing w:after="0"/>
              <w:jc w:val="right"/>
              <w:rPr>
                <w:rFonts w:ascii="Arial" w:hAnsi="Arial" w:cs="Arial"/>
                <w:color w:val="000000"/>
                <w:lang w:val="mk-MK"/>
              </w:rPr>
            </w:pPr>
            <w:r w:rsidRPr="00CE3053">
              <w:rPr>
                <w:rFonts w:ascii="Arial" w:hAnsi="Arial" w:cs="Arial"/>
                <w:color w:val="000000"/>
                <w:lang w:val="mk-MK"/>
              </w:rPr>
              <w:t>62,641</w:t>
            </w:r>
          </w:p>
        </w:tc>
        <w:tc>
          <w:tcPr>
            <w:tcW w:w="1440" w:type="dxa"/>
            <w:shd w:val="clear" w:color="auto" w:fill="auto"/>
            <w:tcMar>
              <w:left w:w="58" w:type="dxa"/>
              <w:right w:w="58" w:type="dxa"/>
            </w:tcMar>
            <w:vAlign w:val="bottom"/>
          </w:tcPr>
          <w:p w14:paraId="31DC788C" w14:textId="76F1BD4F" w:rsidR="00DD219D" w:rsidRPr="00CE3053" w:rsidRDefault="00DD219D" w:rsidP="00DD219D">
            <w:pPr>
              <w:spacing w:after="0"/>
              <w:jc w:val="right"/>
              <w:rPr>
                <w:rFonts w:ascii="Arial" w:hAnsi="Arial" w:cs="Arial"/>
                <w:color w:val="000000"/>
                <w:lang w:val="mk-MK"/>
              </w:rPr>
            </w:pPr>
            <w:r w:rsidRPr="001E6526">
              <w:rPr>
                <w:rFonts w:ascii="Arial" w:hAnsi="Arial" w:cs="Arial"/>
                <w:color w:val="000000"/>
                <w:lang w:val="mk-MK"/>
              </w:rPr>
              <w:t>95,485</w:t>
            </w:r>
          </w:p>
        </w:tc>
      </w:tr>
      <w:tr w:rsidR="00DD219D" w:rsidRPr="001E6526" w14:paraId="3AD7AE68" w14:textId="77777777" w:rsidTr="006011CB">
        <w:trPr>
          <w:trHeight w:val="216"/>
        </w:trPr>
        <w:tc>
          <w:tcPr>
            <w:tcW w:w="5760" w:type="dxa"/>
            <w:shd w:val="clear" w:color="auto" w:fill="auto"/>
            <w:tcMar>
              <w:left w:w="58" w:type="dxa"/>
              <w:right w:w="58" w:type="dxa"/>
            </w:tcMar>
          </w:tcPr>
          <w:p w14:paraId="6C432A1D" w14:textId="44ACE7F6" w:rsidR="00DD219D" w:rsidRPr="002236F7" w:rsidRDefault="00DD219D" w:rsidP="00DD219D">
            <w:pPr>
              <w:pStyle w:val="TableText"/>
              <w:spacing w:after="0"/>
              <w:rPr>
                <w:rFonts w:ascii="Arial" w:hAnsi="Arial"/>
                <w:bCs/>
                <w:sz w:val="18"/>
                <w:lang w:val="en-US"/>
              </w:rPr>
            </w:pPr>
            <w:r w:rsidRPr="002236F7">
              <w:rPr>
                <w:rFonts w:ascii="Arial" w:hAnsi="Arial"/>
                <w:bCs/>
                <w:sz w:val="18"/>
                <w:lang w:val="en-US"/>
              </w:rPr>
              <w:t>Penalty interest for insurance premiums</w:t>
            </w:r>
          </w:p>
        </w:tc>
        <w:tc>
          <w:tcPr>
            <w:tcW w:w="1440" w:type="dxa"/>
            <w:shd w:val="clear" w:color="auto" w:fill="auto"/>
            <w:tcMar>
              <w:left w:w="58" w:type="dxa"/>
              <w:right w:w="58" w:type="dxa"/>
            </w:tcMar>
            <w:vAlign w:val="bottom"/>
          </w:tcPr>
          <w:p w14:paraId="67B38083" w14:textId="44C75704" w:rsidR="00DD219D" w:rsidRPr="00CE3053" w:rsidRDefault="00DD219D" w:rsidP="00DD219D">
            <w:pPr>
              <w:spacing w:after="0"/>
              <w:jc w:val="right"/>
              <w:rPr>
                <w:rFonts w:ascii="Arial" w:hAnsi="Arial" w:cs="Arial"/>
                <w:color w:val="000000"/>
                <w:lang w:val="mk-MK"/>
              </w:rPr>
            </w:pPr>
            <w:r w:rsidRPr="00CE3053">
              <w:rPr>
                <w:rFonts w:ascii="Arial" w:hAnsi="Arial" w:cs="Arial"/>
                <w:color w:val="000000"/>
                <w:lang w:val="mk-MK"/>
              </w:rPr>
              <w:t>38</w:t>
            </w:r>
          </w:p>
        </w:tc>
        <w:tc>
          <w:tcPr>
            <w:tcW w:w="1440" w:type="dxa"/>
            <w:shd w:val="clear" w:color="auto" w:fill="auto"/>
            <w:tcMar>
              <w:left w:w="58" w:type="dxa"/>
              <w:right w:w="58" w:type="dxa"/>
            </w:tcMar>
            <w:vAlign w:val="bottom"/>
          </w:tcPr>
          <w:p w14:paraId="6C5603AB" w14:textId="039D03AB" w:rsidR="00DD219D" w:rsidRPr="00CE3053" w:rsidRDefault="00DD219D" w:rsidP="00DD219D">
            <w:pPr>
              <w:spacing w:after="0"/>
              <w:jc w:val="right"/>
              <w:rPr>
                <w:rFonts w:ascii="Arial" w:hAnsi="Arial" w:cs="Arial"/>
                <w:color w:val="000000"/>
                <w:lang w:val="mk-MK"/>
              </w:rPr>
            </w:pPr>
            <w:r w:rsidRPr="001E6526">
              <w:rPr>
                <w:rFonts w:ascii="Arial" w:hAnsi="Arial" w:cs="Arial"/>
                <w:color w:val="000000"/>
                <w:lang w:val="mk-MK"/>
              </w:rPr>
              <w:t>24</w:t>
            </w:r>
          </w:p>
        </w:tc>
      </w:tr>
      <w:tr w:rsidR="00DD219D" w:rsidRPr="001E6526" w14:paraId="3C55015E" w14:textId="77777777" w:rsidTr="006011CB">
        <w:trPr>
          <w:trHeight w:val="216"/>
        </w:trPr>
        <w:tc>
          <w:tcPr>
            <w:tcW w:w="5760" w:type="dxa"/>
            <w:shd w:val="clear" w:color="auto" w:fill="auto"/>
            <w:tcMar>
              <w:left w:w="58" w:type="dxa"/>
              <w:right w:w="58" w:type="dxa"/>
            </w:tcMar>
          </w:tcPr>
          <w:p w14:paraId="7F4AAC36" w14:textId="49B17062" w:rsidR="00DD219D" w:rsidRPr="002236F7" w:rsidRDefault="00DD219D" w:rsidP="00DD219D">
            <w:pPr>
              <w:pStyle w:val="TableText"/>
              <w:spacing w:after="0"/>
              <w:rPr>
                <w:rFonts w:ascii="Arial" w:hAnsi="Arial"/>
                <w:bCs/>
                <w:sz w:val="18"/>
                <w:lang w:val="en-US"/>
              </w:rPr>
            </w:pPr>
            <w:r w:rsidRPr="002236F7">
              <w:rPr>
                <w:rFonts w:ascii="Arial" w:hAnsi="Arial"/>
                <w:bCs/>
                <w:sz w:val="18"/>
                <w:lang w:val="en-US"/>
              </w:rPr>
              <w:t>Other revenues</w:t>
            </w:r>
          </w:p>
        </w:tc>
        <w:tc>
          <w:tcPr>
            <w:tcW w:w="1440" w:type="dxa"/>
            <w:shd w:val="clear" w:color="auto" w:fill="auto"/>
            <w:tcMar>
              <w:left w:w="58" w:type="dxa"/>
              <w:right w:w="58" w:type="dxa"/>
            </w:tcMar>
            <w:vAlign w:val="bottom"/>
          </w:tcPr>
          <w:p w14:paraId="6EBD8B0D" w14:textId="69C750FA" w:rsidR="00DD219D" w:rsidRPr="00CE3053" w:rsidRDefault="00DD219D" w:rsidP="00DD219D">
            <w:pPr>
              <w:spacing w:after="0"/>
              <w:jc w:val="right"/>
              <w:rPr>
                <w:rFonts w:ascii="Arial" w:hAnsi="Arial" w:cs="Arial"/>
                <w:color w:val="000000"/>
                <w:lang w:val="mk-MK"/>
              </w:rPr>
            </w:pPr>
            <w:r w:rsidRPr="00CE3053">
              <w:rPr>
                <w:rFonts w:ascii="Arial" w:hAnsi="Arial" w:cs="Arial"/>
                <w:color w:val="000000"/>
                <w:lang w:val="mk-MK"/>
              </w:rPr>
              <w:t>-</w:t>
            </w:r>
          </w:p>
        </w:tc>
        <w:tc>
          <w:tcPr>
            <w:tcW w:w="1440" w:type="dxa"/>
            <w:shd w:val="clear" w:color="auto" w:fill="auto"/>
            <w:tcMar>
              <w:left w:w="58" w:type="dxa"/>
              <w:right w:w="58" w:type="dxa"/>
            </w:tcMar>
            <w:vAlign w:val="bottom"/>
          </w:tcPr>
          <w:p w14:paraId="788C603D" w14:textId="2533F486" w:rsidR="00DD219D" w:rsidRPr="001E6526" w:rsidRDefault="00DD219D" w:rsidP="00DD219D">
            <w:pPr>
              <w:spacing w:after="0"/>
              <w:jc w:val="right"/>
              <w:rPr>
                <w:rFonts w:ascii="Arial" w:hAnsi="Arial" w:cs="Arial"/>
                <w:color w:val="000000"/>
                <w:lang w:val="mk-MK"/>
              </w:rPr>
            </w:pPr>
            <w:r w:rsidRPr="001E6526">
              <w:rPr>
                <w:rFonts w:ascii="Arial" w:hAnsi="Arial" w:cs="Arial"/>
                <w:color w:val="000000"/>
                <w:lang w:val="mk-MK"/>
              </w:rPr>
              <w:t>13</w:t>
            </w:r>
          </w:p>
        </w:tc>
      </w:tr>
      <w:tr w:rsidR="005D76E4" w:rsidRPr="001E6526" w14:paraId="02C8F312" w14:textId="77777777" w:rsidTr="0025712C">
        <w:trPr>
          <w:trHeight w:val="216"/>
        </w:trPr>
        <w:tc>
          <w:tcPr>
            <w:tcW w:w="5760" w:type="dxa"/>
            <w:tcBorders>
              <w:top w:val="single" w:sz="4" w:space="0" w:color="auto"/>
              <w:bottom w:val="double" w:sz="4" w:space="0" w:color="auto"/>
            </w:tcBorders>
            <w:shd w:val="clear" w:color="auto" w:fill="auto"/>
            <w:tcMar>
              <w:left w:w="58" w:type="dxa"/>
              <w:right w:w="58" w:type="dxa"/>
            </w:tcMar>
            <w:vAlign w:val="bottom"/>
          </w:tcPr>
          <w:p w14:paraId="24223AB5" w14:textId="77777777" w:rsidR="005D76E4" w:rsidRPr="00CE3053" w:rsidRDefault="005D76E4" w:rsidP="005D76E4">
            <w:pPr>
              <w:pStyle w:val="TableText"/>
              <w:spacing w:after="0"/>
              <w:rPr>
                <w:rFonts w:ascii="Arial" w:hAnsi="Arial"/>
                <w:b/>
                <w:bCs/>
                <w:sz w:val="18"/>
                <w:lang w:val="mk-MK"/>
              </w:rPr>
            </w:pPr>
          </w:p>
        </w:tc>
        <w:tc>
          <w:tcPr>
            <w:tcW w:w="1440" w:type="dxa"/>
            <w:tcBorders>
              <w:top w:val="single" w:sz="4" w:space="0" w:color="auto"/>
              <w:bottom w:val="double" w:sz="4" w:space="0" w:color="auto"/>
            </w:tcBorders>
            <w:shd w:val="clear" w:color="auto" w:fill="auto"/>
            <w:tcMar>
              <w:left w:w="58" w:type="dxa"/>
              <w:right w:w="58" w:type="dxa"/>
            </w:tcMar>
            <w:vAlign w:val="bottom"/>
          </w:tcPr>
          <w:p w14:paraId="5032F723" w14:textId="1FDF7AA0" w:rsidR="005D76E4" w:rsidRPr="00CE3053" w:rsidRDefault="005D76E4" w:rsidP="005D76E4">
            <w:pPr>
              <w:spacing w:after="0"/>
              <w:jc w:val="right"/>
              <w:rPr>
                <w:rFonts w:ascii="Arial" w:hAnsi="Arial" w:cs="Arial"/>
                <w:b/>
                <w:bCs/>
                <w:color w:val="000000"/>
                <w:lang w:val="mk-MK"/>
              </w:rPr>
            </w:pPr>
            <w:r w:rsidRPr="00CE3053">
              <w:rPr>
                <w:rFonts w:ascii="Arial" w:hAnsi="Arial" w:cs="Arial"/>
                <w:b/>
                <w:bCs/>
                <w:color w:val="000000"/>
                <w:lang w:val="mk-MK"/>
              </w:rPr>
              <w:t>62,679</w:t>
            </w:r>
          </w:p>
        </w:tc>
        <w:tc>
          <w:tcPr>
            <w:tcW w:w="1440" w:type="dxa"/>
            <w:tcBorders>
              <w:top w:val="single" w:sz="4" w:space="0" w:color="auto"/>
              <w:bottom w:val="double" w:sz="4" w:space="0" w:color="auto"/>
            </w:tcBorders>
            <w:shd w:val="clear" w:color="auto" w:fill="auto"/>
            <w:tcMar>
              <w:left w:w="58" w:type="dxa"/>
              <w:right w:w="58" w:type="dxa"/>
            </w:tcMar>
            <w:vAlign w:val="bottom"/>
          </w:tcPr>
          <w:p w14:paraId="4E3FDB32" w14:textId="76512A60" w:rsidR="005D76E4" w:rsidRPr="00CE3053" w:rsidRDefault="005D76E4" w:rsidP="005D76E4">
            <w:pPr>
              <w:spacing w:after="0"/>
              <w:jc w:val="right"/>
              <w:rPr>
                <w:rFonts w:ascii="Arial" w:hAnsi="Arial" w:cs="Arial"/>
                <w:b/>
                <w:bCs/>
                <w:color w:val="000000"/>
                <w:lang w:val="mk-MK"/>
              </w:rPr>
            </w:pPr>
            <w:r w:rsidRPr="001E6526">
              <w:rPr>
                <w:rFonts w:ascii="Arial" w:hAnsi="Arial" w:cs="Arial"/>
                <w:b/>
                <w:bCs/>
                <w:color w:val="000000"/>
                <w:lang w:val="mk-MK"/>
              </w:rPr>
              <w:t>95,522</w:t>
            </w:r>
          </w:p>
        </w:tc>
      </w:tr>
    </w:tbl>
    <w:p w14:paraId="7221AE36" w14:textId="77777777" w:rsidR="00F93B95" w:rsidRPr="00CE3053" w:rsidRDefault="00F93B95" w:rsidP="00F93B95">
      <w:pPr>
        <w:pStyle w:val="BodyText"/>
        <w:rPr>
          <w:rFonts w:ascii="Arial" w:hAnsi="Arial" w:cs="Arial"/>
          <w:lang w:val="mk-MK"/>
        </w:rPr>
      </w:pPr>
    </w:p>
    <w:p w14:paraId="11254210" w14:textId="3491AE07" w:rsidR="00F93B95" w:rsidRPr="00CE3053" w:rsidRDefault="00063F2F" w:rsidP="0061511C">
      <w:pPr>
        <w:pStyle w:val="NumberedHeading1"/>
        <w:numPr>
          <w:ilvl w:val="0"/>
          <w:numId w:val="22"/>
        </w:numPr>
        <w:spacing w:before="0" w:after="0" w:line="260" w:lineRule="atLeast"/>
        <w:rPr>
          <w:rFonts w:ascii="Arial" w:hAnsi="Arial" w:cs="Arial"/>
          <w:b/>
          <w:color w:val="4F2D7F"/>
          <w:sz w:val="18"/>
          <w:lang w:val="mk-MK"/>
        </w:rPr>
      </w:pPr>
      <w:r>
        <w:rPr>
          <w:rFonts w:ascii="Arial" w:hAnsi="Arial" w:cs="Arial"/>
          <w:b/>
          <w:color w:val="4F2D7F"/>
          <w:sz w:val="18"/>
          <w:lang w:val="en-US"/>
        </w:rPr>
        <w:t>Employee expenses</w:t>
      </w:r>
    </w:p>
    <w:tbl>
      <w:tblPr>
        <w:tblW w:w="8640" w:type="dxa"/>
        <w:tblInd w:w="86" w:type="dxa"/>
        <w:tblLook w:val="01E0" w:firstRow="1" w:lastRow="1" w:firstColumn="1" w:lastColumn="1" w:noHBand="0" w:noVBand="0"/>
      </w:tblPr>
      <w:tblGrid>
        <w:gridCol w:w="5760"/>
        <w:gridCol w:w="1440"/>
        <w:gridCol w:w="1440"/>
      </w:tblGrid>
      <w:tr w:rsidR="00F30EF8" w:rsidRPr="001E6526" w14:paraId="0E41D26F" w14:textId="77777777" w:rsidTr="00741B99">
        <w:trPr>
          <w:trHeight w:val="216"/>
        </w:trPr>
        <w:tc>
          <w:tcPr>
            <w:tcW w:w="5760" w:type="dxa"/>
            <w:shd w:val="clear" w:color="auto" w:fill="auto"/>
            <w:tcMar>
              <w:left w:w="58" w:type="dxa"/>
              <w:right w:w="58" w:type="dxa"/>
            </w:tcMar>
            <w:vAlign w:val="bottom"/>
          </w:tcPr>
          <w:p w14:paraId="3FF97AD1" w14:textId="77777777" w:rsidR="00F30EF8" w:rsidRPr="00CE3053" w:rsidRDefault="00F30EF8" w:rsidP="00F93B95">
            <w:pPr>
              <w:pStyle w:val="TableText"/>
              <w:spacing w:after="0"/>
              <w:rPr>
                <w:rFonts w:ascii="Arial" w:hAnsi="Arial"/>
                <w:sz w:val="18"/>
                <w:lang w:val="mk-MK"/>
              </w:rPr>
            </w:pPr>
          </w:p>
        </w:tc>
        <w:tc>
          <w:tcPr>
            <w:tcW w:w="2880" w:type="dxa"/>
            <w:gridSpan w:val="2"/>
            <w:shd w:val="clear" w:color="auto" w:fill="auto"/>
            <w:tcMar>
              <w:left w:w="58" w:type="dxa"/>
              <w:right w:w="58" w:type="dxa"/>
            </w:tcMar>
            <w:vAlign w:val="bottom"/>
          </w:tcPr>
          <w:p w14:paraId="766B5251" w14:textId="45B5FD32" w:rsidR="00F30EF8" w:rsidRPr="00CE3053" w:rsidRDefault="00F30EF8" w:rsidP="00F93B95">
            <w:pPr>
              <w:pStyle w:val="TableText"/>
              <w:spacing w:after="0"/>
              <w:jc w:val="right"/>
              <w:rPr>
                <w:rFonts w:ascii="Arial" w:hAnsi="Arial"/>
                <w:sz w:val="18"/>
                <w:lang w:val="mk-MK"/>
              </w:rPr>
            </w:pPr>
            <w:r w:rsidRPr="00CE3053">
              <w:rPr>
                <w:rFonts w:ascii="Arial" w:hAnsi="Arial"/>
                <w:sz w:val="18"/>
                <w:lang w:val="mk-MK"/>
              </w:rPr>
              <w:t xml:space="preserve">(000 </w:t>
            </w:r>
            <w:proofErr w:type="spellStart"/>
            <w:r w:rsidR="00E57D64">
              <w:rPr>
                <w:rFonts w:ascii="Arial" w:hAnsi="Arial"/>
                <w:sz w:val="18"/>
                <w:lang w:val="en-US"/>
              </w:rPr>
              <w:t>mkd</w:t>
            </w:r>
            <w:proofErr w:type="spellEnd"/>
            <w:r w:rsidRPr="00CE3053">
              <w:rPr>
                <w:rFonts w:ascii="Arial" w:hAnsi="Arial"/>
                <w:sz w:val="18"/>
                <w:lang w:val="mk-MK"/>
              </w:rPr>
              <w:t>)</w:t>
            </w:r>
          </w:p>
        </w:tc>
      </w:tr>
      <w:tr w:rsidR="00F93B95" w:rsidRPr="001E6526" w14:paraId="5C84BEA9" w14:textId="77777777" w:rsidTr="0025712C">
        <w:trPr>
          <w:trHeight w:val="216"/>
        </w:trPr>
        <w:tc>
          <w:tcPr>
            <w:tcW w:w="5760" w:type="dxa"/>
            <w:shd w:val="clear" w:color="auto" w:fill="auto"/>
            <w:tcMar>
              <w:left w:w="58" w:type="dxa"/>
              <w:right w:w="58" w:type="dxa"/>
            </w:tcMar>
            <w:vAlign w:val="bottom"/>
          </w:tcPr>
          <w:p w14:paraId="5D640E57" w14:textId="77777777" w:rsidR="00F93B95" w:rsidRPr="00CE3053" w:rsidRDefault="00F93B95" w:rsidP="00F93B95">
            <w:pPr>
              <w:pStyle w:val="TableText"/>
              <w:spacing w:after="0"/>
              <w:rPr>
                <w:rFonts w:ascii="Arial" w:hAnsi="Arial"/>
                <w:sz w:val="18"/>
                <w:lang w:val="mk-MK"/>
              </w:rPr>
            </w:pPr>
          </w:p>
        </w:tc>
        <w:tc>
          <w:tcPr>
            <w:tcW w:w="1440" w:type="dxa"/>
            <w:shd w:val="clear" w:color="auto" w:fill="auto"/>
            <w:tcMar>
              <w:left w:w="58" w:type="dxa"/>
              <w:right w:w="58" w:type="dxa"/>
            </w:tcMar>
            <w:vAlign w:val="bottom"/>
          </w:tcPr>
          <w:p w14:paraId="62871817" w14:textId="1A6F497D" w:rsidR="00F93B95" w:rsidRPr="00CE3053" w:rsidRDefault="00F93B95" w:rsidP="00F93B95">
            <w:pPr>
              <w:pStyle w:val="TableText"/>
              <w:spacing w:after="0"/>
              <w:jc w:val="right"/>
              <w:rPr>
                <w:rFonts w:ascii="Arial" w:hAnsi="Arial"/>
                <w:sz w:val="18"/>
                <w:lang w:val="mk-MK"/>
              </w:rPr>
            </w:pPr>
            <w:r w:rsidRPr="00CE3053">
              <w:rPr>
                <w:rFonts w:ascii="Arial" w:hAnsi="Arial"/>
                <w:sz w:val="18"/>
                <w:lang w:val="mk-MK"/>
              </w:rPr>
              <w:t>202</w:t>
            </w:r>
            <w:r w:rsidR="00F85875" w:rsidRPr="00CE3053">
              <w:rPr>
                <w:rFonts w:ascii="Arial" w:hAnsi="Arial"/>
                <w:sz w:val="18"/>
                <w:lang w:val="mk-MK"/>
              </w:rPr>
              <w:t>1</w:t>
            </w:r>
          </w:p>
        </w:tc>
        <w:tc>
          <w:tcPr>
            <w:tcW w:w="1440" w:type="dxa"/>
            <w:shd w:val="clear" w:color="auto" w:fill="auto"/>
            <w:tcMar>
              <w:left w:w="58" w:type="dxa"/>
              <w:right w:w="58" w:type="dxa"/>
            </w:tcMar>
            <w:vAlign w:val="bottom"/>
          </w:tcPr>
          <w:p w14:paraId="73B40730" w14:textId="1763EF19" w:rsidR="00F93B95" w:rsidRPr="00CE3053" w:rsidRDefault="00F93B95" w:rsidP="00F93B95">
            <w:pPr>
              <w:pStyle w:val="TableText"/>
              <w:spacing w:after="0"/>
              <w:jc w:val="right"/>
              <w:rPr>
                <w:rFonts w:ascii="Arial" w:hAnsi="Arial"/>
                <w:sz w:val="18"/>
                <w:lang w:val="mk-MK"/>
              </w:rPr>
            </w:pPr>
            <w:r w:rsidRPr="00CE3053">
              <w:rPr>
                <w:rFonts w:ascii="Arial" w:hAnsi="Arial"/>
                <w:sz w:val="18"/>
                <w:lang w:val="mk-MK"/>
              </w:rPr>
              <w:t>20</w:t>
            </w:r>
            <w:r w:rsidR="005D76E4" w:rsidRPr="00CE3053">
              <w:rPr>
                <w:rFonts w:ascii="Arial" w:hAnsi="Arial"/>
                <w:sz w:val="18"/>
                <w:lang w:val="mk-MK"/>
              </w:rPr>
              <w:t>20</w:t>
            </w:r>
          </w:p>
        </w:tc>
      </w:tr>
      <w:tr w:rsidR="00F93B95" w:rsidRPr="001E6526" w14:paraId="10AD63B4" w14:textId="77777777" w:rsidTr="0025712C">
        <w:trPr>
          <w:trHeight w:val="216"/>
        </w:trPr>
        <w:tc>
          <w:tcPr>
            <w:tcW w:w="5760" w:type="dxa"/>
            <w:shd w:val="clear" w:color="auto" w:fill="auto"/>
            <w:tcMar>
              <w:left w:w="58" w:type="dxa"/>
              <w:right w:w="58" w:type="dxa"/>
            </w:tcMar>
            <w:vAlign w:val="bottom"/>
          </w:tcPr>
          <w:p w14:paraId="6B934DE8" w14:textId="77777777" w:rsidR="00F93B95" w:rsidRPr="00CE3053" w:rsidRDefault="00F93B95" w:rsidP="00F93B95">
            <w:pPr>
              <w:pStyle w:val="TableText"/>
              <w:spacing w:after="0"/>
              <w:rPr>
                <w:rFonts w:ascii="Arial" w:hAnsi="Arial"/>
                <w:sz w:val="18"/>
                <w:lang w:val="mk-MK"/>
              </w:rPr>
            </w:pPr>
          </w:p>
        </w:tc>
        <w:tc>
          <w:tcPr>
            <w:tcW w:w="1440" w:type="dxa"/>
            <w:shd w:val="clear" w:color="auto" w:fill="auto"/>
            <w:tcMar>
              <w:left w:w="58" w:type="dxa"/>
              <w:right w:w="58" w:type="dxa"/>
            </w:tcMar>
            <w:vAlign w:val="bottom"/>
          </w:tcPr>
          <w:p w14:paraId="0D20A86F" w14:textId="77777777" w:rsidR="00F93B95" w:rsidRPr="00CE3053" w:rsidRDefault="00F93B95" w:rsidP="00F93B95">
            <w:pPr>
              <w:pStyle w:val="TableText"/>
              <w:spacing w:after="0"/>
              <w:jc w:val="right"/>
              <w:rPr>
                <w:rFonts w:ascii="Arial" w:hAnsi="Arial"/>
                <w:sz w:val="18"/>
                <w:lang w:val="mk-MK"/>
              </w:rPr>
            </w:pPr>
          </w:p>
        </w:tc>
        <w:tc>
          <w:tcPr>
            <w:tcW w:w="1440" w:type="dxa"/>
            <w:shd w:val="clear" w:color="auto" w:fill="auto"/>
            <w:tcMar>
              <w:left w:w="58" w:type="dxa"/>
              <w:right w:w="58" w:type="dxa"/>
            </w:tcMar>
            <w:vAlign w:val="bottom"/>
          </w:tcPr>
          <w:p w14:paraId="38EA5436" w14:textId="77777777" w:rsidR="00F93B95" w:rsidRPr="00CE3053" w:rsidRDefault="00F93B95" w:rsidP="00F93B95">
            <w:pPr>
              <w:pStyle w:val="TableText"/>
              <w:spacing w:after="0"/>
              <w:jc w:val="right"/>
              <w:rPr>
                <w:rFonts w:ascii="Arial" w:hAnsi="Arial"/>
                <w:sz w:val="18"/>
                <w:lang w:val="mk-MK"/>
              </w:rPr>
            </w:pPr>
          </w:p>
        </w:tc>
      </w:tr>
      <w:tr w:rsidR="005D76E4" w:rsidRPr="001E6526" w14:paraId="466BE3C4" w14:textId="77777777" w:rsidTr="0025712C">
        <w:trPr>
          <w:trHeight w:val="216"/>
        </w:trPr>
        <w:tc>
          <w:tcPr>
            <w:tcW w:w="5760" w:type="dxa"/>
            <w:shd w:val="clear" w:color="auto" w:fill="auto"/>
            <w:tcMar>
              <w:left w:w="58" w:type="dxa"/>
              <w:right w:w="58" w:type="dxa"/>
            </w:tcMar>
            <w:vAlign w:val="bottom"/>
          </w:tcPr>
          <w:p w14:paraId="66D699D3" w14:textId="5303981E" w:rsidR="005D76E4" w:rsidRPr="00CE3053" w:rsidRDefault="00E57D64" w:rsidP="005D76E4">
            <w:pPr>
              <w:pStyle w:val="TableText"/>
              <w:spacing w:after="0"/>
              <w:rPr>
                <w:rFonts w:ascii="Arial" w:hAnsi="Arial"/>
                <w:bCs/>
                <w:sz w:val="18"/>
                <w:lang w:val="mk-MK"/>
              </w:rPr>
            </w:pPr>
            <w:r>
              <w:rPr>
                <w:rFonts w:ascii="Arial" w:hAnsi="Arial"/>
                <w:bCs/>
                <w:sz w:val="18"/>
                <w:lang w:val="en-US"/>
              </w:rPr>
              <w:t>Net salaries</w:t>
            </w:r>
            <w:r w:rsidR="005D76E4" w:rsidRPr="00CE3053">
              <w:rPr>
                <w:rFonts w:ascii="Arial" w:hAnsi="Arial"/>
                <w:bCs/>
                <w:sz w:val="18"/>
                <w:lang w:val="mk-MK"/>
              </w:rPr>
              <w:t xml:space="preserve"> </w:t>
            </w:r>
          </w:p>
        </w:tc>
        <w:tc>
          <w:tcPr>
            <w:tcW w:w="1440" w:type="dxa"/>
            <w:shd w:val="clear" w:color="auto" w:fill="auto"/>
            <w:tcMar>
              <w:left w:w="58" w:type="dxa"/>
              <w:right w:w="58" w:type="dxa"/>
            </w:tcMar>
            <w:vAlign w:val="bottom"/>
          </w:tcPr>
          <w:p w14:paraId="51D81EA6" w14:textId="41E7E214" w:rsidR="005D76E4" w:rsidRPr="00CE3053" w:rsidRDefault="00F85875" w:rsidP="005D76E4">
            <w:pPr>
              <w:spacing w:after="0"/>
              <w:jc w:val="right"/>
              <w:rPr>
                <w:rFonts w:ascii="Arial" w:hAnsi="Arial" w:cs="Arial"/>
                <w:color w:val="000000"/>
                <w:lang w:val="mk-MK"/>
              </w:rPr>
            </w:pPr>
            <w:r w:rsidRPr="00CE3053">
              <w:rPr>
                <w:rFonts w:ascii="Arial" w:hAnsi="Arial" w:cs="Arial"/>
                <w:color w:val="000000"/>
                <w:lang w:val="mk-MK"/>
              </w:rPr>
              <w:t>7,18</w:t>
            </w:r>
            <w:r w:rsidRPr="001E6526">
              <w:rPr>
                <w:rFonts w:ascii="Arial" w:hAnsi="Arial" w:cs="Arial"/>
                <w:color w:val="000000"/>
                <w:lang w:val="mk-MK"/>
              </w:rPr>
              <w:t>3</w:t>
            </w:r>
          </w:p>
        </w:tc>
        <w:tc>
          <w:tcPr>
            <w:tcW w:w="1440" w:type="dxa"/>
            <w:shd w:val="clear" w:color="auto" w:fill="auto"/>
            <w:tcMar>
              <w:left w:w="58" w:type="dxa"/>
              <w:right w:w="58" w:type="dxa"/>
            </w:tcMar>
            <w:vAlign w:val="bottom"/>
          </w:tcPr>
          <w:p w14:paraId="6B1CAED4" w14:textId="4B3DAD1E" w:rsidR="005D76E4" w:rsidRPr="00CE3053" w:rsidRDefault="005D76E4" w:rsidP="005D76E4">
            <w:pPr>
              <w:spacing w:after="0"/>
              <w:jc w:val="right"/>
              <w:rPr>
                <w:rFonts w:ascii="Arial" w:hAnsi="Arial" w:cs="Arial"/>
                <w:color w:val="000000"/>
                <w:lang w:val="mk-MK"/>
              </w:rPr>
            </w:pPr>
            <w:r w:rsidRPr="001E6526">
              <w:rPr>
                <w:rFonts w:ascii="Arial" w:hAnsi="Arial" w:cs="Arial"/>
                <w:color w:val="000000"/>
                <w:lang w:val="mk-MK"/>
              </w:rPr>
              <w:t>6,680</w:t>
            </w:r>
          </w:p>
        </w:tc>
      </w:tr>
      <w:tr w:rsidR="005D76E4" w:rsidRPr="001E6526" w14:paraId="3F813D54" w14:textId="77777777" w:rsidTr="0025712C">
        <w:trPr>
          <w:trHeight w:val="216"/>
        </w:trPr>
        <w:tc>
          <w:tcPr>
            <w:tcW w:w="5760" w:type="dxa"/>
            <w:shd w:val="clear" w:color="auto" w:fill="auto"/>
            <w:tcMar>
              <w:left w:w="58" w:type="dxa"/>
              <w:right w:w="58" w:type="dxa"/>
            </w:tcMar>
            <w:vAlign w:val="bottom"/>
          </w:tcPr>
          <w:p w14:paraId="340DADA5" w14:textId="4E64A8BD" w:rsidR="005D76E4" w:rsidRPr="00E57D64" w:rsidRDefault="00E57D64" w:rsidP="005D76E4">
            <w:pPr>
              <w:pStyle w:val="TableText"/>
              <w:spacing w:after="0"/>
              <w:rPr>
                <w:rFonts w:ascii="Arial" w:hAnsi="Arial"/>
                <w:bCs/>
                <w:sz w:val="18"/>
                <w:lang w:val="en-US"/>
              </w:rPr>
            </w:pPr>
            <w:r>
              <w:rPr>
                <w:rFonts w:ascii="Arial" w:hAnsi="Arial"/>
                <w:bCs/>
                <w:sz w:val="18"/>
                <w:lang w:val="en-US"/>
              </w:rPr>
              <w:t>Personal tax and mandatory contributions</w:t>
            </w:r>
          </w:p>
        </w:tc>
        <w:tc>
          <w:tcPr>
            <w:tcW w:w="1440" w:type="dxa"/>
            <w:shd w:val="clear" w:color="auto" w:fill="auto"/>
            <w:tcMar>
              <w:left w:w="58" w:type="dxa"/>
              <w:right w:w="58" w:type="dxa"/>
            </w:tcMar>
            <w:vAlign w:val="bottom"/>
          </w:tcPr>
          <w:p w14:paraId="0BCB6BCF" w14:textId="6AD975BB" w:rsidR="005D76E4" w:rsidRPr="00CE3053" w:rsidRDefault="00F85875" w:rsidP="005D76E4">
            <w:pPr>
              <w:spacing w:after="0"/>
              <w:jc w:val="right"/>
              <w:rPr>
                <w:rFonts w:ascii="Arial" w:hAnsi="Arial" w:cs="Arial"/>
                <w:color w:val="000000"/>
                <w:lang w:val="mk-MK"/>
              </w:rPr>
            </w:pPr>
            <w:r w:rsidRPr="00CE3053">
              <w:rPr>
                <w:rFonts w:ascii="Arial" w:hAnsi="Arial" w:cs="Arial"/>
                <w:color w:val="000000"/>
                <w:lang w:val="mk-MK"/>
              </w:rPr>
              <w:t>3,735</w:t>
            </w:r>
          </w:p>
        </w:tc>
        <w:tc>
          <w:tcPr>
            <w:tcW w:w="1440" w:type="dxa"/>
            <w:shd w:val="clear" w:color="auto" w:fill="auto"/>
            <w:tcMar>
              <w:left w:w="58" w:type="dxa"/>
              <w:right w:w="58" w:type="dxa"/>
            </w:tcMar>
            <w:vAlign w:val="bottom"/>
          </w:tcPr>
          <w:p w14:paraId="15F3A803" w14:textId="33164C8C" w:rsidR="005D76E4" w:rsidRPr="00CE3053" w:rsidRDefault="005D76E4" w:rsidP="005D76E4">
            <w:pPr>
              <w:spacing w:after="0"/>
              <w:jc w:val="right"/>
              <w:rPr>
                <w:rFonts w:ascii="Arial" w:hAnsi="Arial" w:cs="Arial"/>
                <w:color w:val="000000"/>
                <w:lang w:val="mk-MK"/>
              </w:rPr>
            </w:pPr>
            <w:r w:rsidRPr="001E6526">
              <w:rPr>
                <w:rFonts w:ascii="Arial" w:hAnsi="Arial" w:cs="Arial"/>
                <w:color w:val="000000"/>
                <w:lang w:val="mk-MK"/>
              </w:rPr>
              <w:t>3,467</w:t>
            </w:r>
          </w:p>
        </w:tc>
      </w:tr>
      <w:tr w:rsidR="005D76E4" w:rsidRPr="001E6526" w14:paraId="3EED65C5" w14:textId="77777777" w:rsidTr="0025712C">
        <w:trPr>
          <w:trHeight w:val="216"/>
        </w:trPr>
        <w:tc>
          <w:tcPr>
            <w:tcW w:w="5760" w:type="dxa"/>
            <w:shd w:val="clear" w:color="auto" w:fill="auto"/>
            <w:tcMar>
              <w:left w:w="58" w:type="dxa"/>
              <w:right w:w="58" w:type="dxa"/>
            </w:tcMar>
            <w:vAlign w:val="bottom"/>
          </w:tcPr>
          <w:p w14:paraId="5C1A88DE" w14:textId="603DDE57" w:rsidR="005D76E4" w:rsidRPr="00E57D64" w:rsidRDefault="00E57D64" w:rsidP="005D76E4">
            <w:pPr>
              <w:pStyle w:val="TableText"/>
              <w:spacing w:after="0"/>
              <w:rPr>
                <w:rFonts w:ascii="Arial" w:hAnsi="Arial"/>
                <w:bCs/>
                <w:sz w:val="18"/>
                <w:lang w:val="en-US"/>
              </w:rPr>
            </w:pPr>
            <w:r>
              <w:rPr>
                <w:rFonts w:ascii="Arial" w:hAnsi="Arial"/>
                <w:bCs/>
                <w:sz w:val="18"/>
                <w:lang w:val="en-US"/>
              </w:rPr>
              <w:t>Rental costs</w:t>
            </w:r>
          </w:p>
        </w:tc>
        <w:tc>
          <w:tcPr>
            <w:tcW w:w="1440" w:type="dxa"/>
            <w:shd w:val="clear" w:color="auto" w:fill="auto"/>
            <w:tcMar>
              <w:left w:w="58" w:type="dxa"/>
              <w:right w:w="58" w:type="dxa"/>
            </w:tcMar>
            <w:vAlign w:val="bottom"/>
          </w:tcPr>
          <w:p w14:paraId="0101A630" w14:textId="55F9B965" w:rsidR="005D76E4" w:rsidRPr="00CE3053" w:rsidRDefault="00F85875" w:rsidP="005D76E4">
            <w:pPr>
              <w:spacing w:after="0"/>
              <w:jc w:val="right"/>
              <w:rPr>
                <w:rFonts w:ascii="Arial" w:hAnsi="Arial" w:cs="Arial"/>
                <w:color w:val="000000"/>
                <w:lang w:val="mk-MK"/>
              </w:rPr>
            </w:pPr>
            <w:r w:rsidRPr="00CE3053">
              <w:rPr>
                <w:rFonts w:ascii="Arial" w:hAnsi="Arial" w:cs="Arial"/>
                <w:color w:val="000000"/>
                <w:lang w:val="mk-MK"/>
              </w:rPr>
              <w:t>-</w:t>
            </w:r>
          </w:p>
        </w:tc>
        <w:tc>
          <w:tcPr>
            <w:tcW w:w="1440" w:type="dxa"/>
            <w:shd w:val="clear" w:color="auto" w:fill="auto"/>
            <w:tcMar>
              <w:left w:w="58" w:type="dxa"/>
              <w:right w:w="58" w:type="dxa"/>
            </w:tcMar>
            <w:vAlign w:val="bottom"/>
          </w:tcPr>
          <w:p w14:paraId="37512461" w14:textId="429B73CB" w:rsidR="005D76E4" w:rsidRPr="00CE3053" w:rsidRDefault="005D76E4" w:rsidP="005D76E4">
            <w:pPr>
              <w:spacing w:after="0"/>
              <w:jc w:val="right"/>
              <w:rPr>
                <w:rFonts w:ascii="Arial" w:hAnsi="Arial" w:cs="Arial"/>
                <w:color w:val="000000"/>
                <w:lang w:val="mk-MK"/>
              </w:rPr>
            </w:pPr>
            <w:r w:rsidRPr="001E6526">
              <w:rPr>
                <w:rFonts w:ascii="Arial" w:hAnsi="Arial" w:cs="Arial"/>
                <w:color w:val="000000"/>
                <w:lang w:val="mk-MK"/>
              </w:rPr>
              <w:t>215</w:t>
            </w:r>
          </w:p>
        </w:tc>
      </w:tr>
      <w:tr w:rsidR="005D76E4" w:rsidRPr="001E6526" w14:paraId="55152ACF" w14:textId="77777777" w:rsidTr="0025712C">
        <w:trPr>
          <w:trHeight w:val="216"/>
        </w:trPr>
        <w:tc>
          <w:tcPr>
            <w:tcW w:w="5760" w:type="dxa"/>
            <w:shd w:val="clear" w:color="auto" w:fill="auto"/>
            <w:tcMar>
              <w:left w:w="58" w:type="dxa"/>
              <w:right w:w="58" w:type="dxa"/>
            </w:tcMar>
            <w:vAlign w:val="bottom"/>
          </w:tcPr>
          <w:p w14:paraId="34661547" w14:textId="0A73FDE7" w:rsidR="005D76E4" w:rsidRPr="00E57D64" w:rsidRDefault="00CA00D8" w:rsidP="005D76E4">
            <w:pPr>
              <w:pStyle w:val="TableText"/>
              <w:spacing w:after="0"/>
              <w:rPr>
                <w:rFonts w:ascii="Arial" w:hAnsi="Arial"/>
                <w:bCs/>
                <w:sz w:val="18"/>
                <w:lang w:val="en-US"/>
              </w:rPr>
            </w:pPr>
            <w:r>
              <w:rPr>
                <w:rFonts w:ascii="Arial" w:hAnsi="Arial"/>
                <w:bCs/>
                <w:sz w:val="18"/>
                <w:lang w:val="en-US"/>
              </w:rPr>
              <w:t>E</w:t>
            </w:r>
            <w:r w:rsidRPr="00CA00D8">
              <w:rPr>
                <w:rFonts w:ascii="Arial" w:hAnsi="Arial"/>
                <w:bCs/>
                <w:sz w:val="18"/>
                <w:lang w:val="en-US"/>
              </w:rPr>
              <w:t>mployee recognition</w:t>
            </w:r>
          </w:p>
        </w:tc>
        <w:tc>
          <w:tcPr>
            <w:tcW w:w="1440" w:type="dxa"/>
            <w:shd w:val="clear" w:color="auto" w:fill="auto"/>
            <w:tcMar>
              <w:left w:w="58" w:type="dxa"/>
              <w:right w:w="58" w:type="dxa"/>
            </w:tcMar>
            <w:vAlign w:val="bottom"/>
          </w:tcPr>
          <w:p w14:paraId="4B4B0F0C" w14:textId="7394B1A7" w:rsidR="005D76E4" w:rsidRPr="00CE3053" w:rsidRDefault="00F85875" w:rsidP="005D76E4">
            <w:pPr>
              <w:spacing w:after="0"/>
              <w:jc w:val="right"/>
              <w:rPr>
                <w:rFonts w:ascii="Arial" w:hAnsi="Arial" w:cs="Arial"/>
                <w:color w:val="000000"/>
                <w:lang w:val="mk-MK"/>
              </w:rPr>
            </w:pPr>
            <w:r w:rsidRPr="00CE3053">
              <w:rPr>
                <w:rFonts w:ascii="Arial" w:hAnsi="Arial" w:cs="Arial"/>
                <w:color w:val="000000"/>
                <w:lang w:val="mk-MK"/>
              </w:rPr>
              <w:t>190</w:t>
            </w:r>
          </w:p>
        </w:tc>
        <w:tc>
          <w:tcPr>
            <w:tcW w:w="1440" w:type="dxa"/>
            <w:shd w:val="clear" w:color="auto" w:fill="auto"/>
            <w:tcMar>
              <w:left w:w="58" w:type="dxa"/>
              <w:right w:w="58" w:type="dxa"/>
            </w:tcMar>
            <w:vAlign w:val="bottom"/>
          </w:tcPr>
          <w:p w14:paraId="198D196D" w14:textId="446C5863" w:rsidR="005D76E4" w:rsidRPr="001E6526" w:rsidRDefault="005D76E4" w:rsidP="005D76E4">
            <w:pPr>
              <w:spacing w:after="0"/>
              <w:jc w:val="right"/>
              <w:rPr>
                <w:rFonts w:ascii="Arial" w:hAnsi="Arial" w:cs="Arial"/>
                <w:color w:val="000000"/>
                <w:lang w:val="mk-MK"/>
              </w:rPr>
            </w:pPr>
            <w:r w:rsidRPr="001E6526">
              <w:rPr>
                <w:rFonts w:ascii="Arial" w:hAnsi="Arial" w:cs="Arial"/>
                <w:color w:val="000000"/>
                <w:lang w:val="mk-MK"/>
              </w:rPr>
              <w:t>31</w:t>
            </w:r>
          </w:p>
        </w:tc>
      </w:tr>
      <w:tr w:rsidR="005D76E4" w:rsidRPr="001E6526" w14:paraId="105A85F1" w14:textId="77777777" w:rsidTr="0025712C">
        <w:trPr>
          <w:trHeight w:val="216"/>
        </w:trPr>
        <w:tc>
          <w:tcPr>
            <w:tcW w:w="5760" w:type="dxa"/>
            <w:shd w:val="clear" w:color="auto" w:fill="auto"/>
            <w:tcMar>
              <w:left w:w="58" w:type="dxa"/>
              <w:right w:w="58" w:type="dxa"/>
            </w:tcMar>
            <w:vAlign w:val="bottom"/>
          </w:tcPr>
          <w:p w14:paraId="28183A97" w14:textId="2E70DABD" w:rsidR="005D76E4" w:rsidRPr="00E57D64" w:rsidRDefault="00E57D64" w:rsidP="005D76E4">
            <w:pPr>
              <w:pStyle w:val="TableText"/>
              <w:spacing w:after="0"/>
              <w:rPr>
                <w:rFonts w:ascii="Arial" w:hAnsi="Arial"/>
                <w:bCs/>
                <w:sz w:val="18"/>
                <w:lang w:val="en-US"/>
              </w:rPr>
            </w:pPr>
            <w:r>
              <w:rPr>
                <w:rFonts w:ascii="Arial" w:hAnsi="Arial"/>
                <w:bCs/>
                <w:sz w:val="18"/>
                <w:lang w:val="en-US"/>
              </w:rPr>
              <w:t>Retirement</w:t>
            </w:r>
          </w:p>
        </w:tc>
        <w:tc>
          <w:tcPr>
            <w:tcW w:w="1440" w:type="dxa"/>
            <w:shd w:val="clear" w:color="auto" w:fill="auto"/>
            <w:tcMar>
              <w:left w:w="58" w:type="dxa"/>
              <w:right w:w="58" w:type="dxa"/>
            </w:tcMar>
            <w:vAlign w:val="bottom"/>
          </w:tcPr>
          <w:p w14:paraId="448C8234" w14:textId="74F509A4" w:rsidR="005D76E4" w:rsidRPr="00CE3053" w:rsidRDefault="00F85875" w:rsidP="005D76E4">
            <w:pPr>
              <w:spacing w:after="0"/>
              <w:jc w:val="right"/>
              <w:rPr>
                <w:rFonts w:ascii="Arial" w:hAnsi="Arial" w:cs="Arial"/>
                <w:color w:val="000000"/>
                <w:lang w:val="mk-MK"/>
              </w:rPr>
            </w:pPr>
            <w:r w:rsidRPr="00CE3053">
              <w:rPr>
                <w:rFonts w:ascii="Arial" w:hAnsi="Arial" w:cs="Arial"/>
                <w:color w:val="000000"/>
                <w:lang w:val="mk-MK"/>
              </w:rPr>
              <w:t>10</w:t>
            </w:r>
            <w:r w:rsidR="004A4062" w:rsidRPr="001E6526">
              <w:rPr>
                <w:rFonts w:ascii="Arial" w:hAnsi="Arial" w:cs="Arial"/>
                <w:color w:val="000000"/>
                <w:lang w:val="mk-MK"/>
              </w:rPr>
              <w:t>5</w:t>
            </w:r>
          </w:p>
        </w:tc>
        <w:tc>
          <w:tcPr>
            <w:tcW w:w="1440" w:type="dxa"/>
            <w:shd w:val="clear" w:color="auto" w:fill="auto"/>
            <w:tcMar>
              <w:left w:w="58" w:type="dxa"/>
              <w:right w:w="58" w:type="dxa"/>
            </w:tcMar>
            <w:vAlign w:val="bottom"/>
          </w:tcPr>
          <w:p w14:paraId="5D6BEC71" w14:textId="6D90E344" w:rsidR="005D76E4" w:rsidRPr="001E6526" w:rsidRDefault="005D76E4" w:rsidP="005D76E4">
            <w:pPr>
              <w:spacing w:after="0"/>
              <w:jc w:val="right"/>
              <w:rPr>
                <w:rFonts w:ascii="Arial" w:hAnsi="Arial" w:cs="Arial"/>
                <w:color w:val="000000"/>
                <w:lang w:val="mk-MK"/>
              </w:rPr>
            </w:pPr>
            <w:r w:rsidRPr="001E6526">
              <w:rPr>
                <w:rFonts w:ascii="Arial" w:hAnsi="Arial" w:cs="Arial"/>
                <w:color w:val="000000"/>
                <w:lang w:val="mk-MK"/>
              </w:rPr>
              <w:t>209</w:t>
            </w:r>
          </w:p>
        </w:tc>
      </w:tr>
      <w:tr w:rsidR="00F85875" w:rsidRPr="001E6526" w14:paraId="06073D8C" w14:textId="77777777" w:rsidTr="0025712C">
        <w:trPr>
          <w:trHeight w:val="216"/>
        </w:trPr>
        <w:tc>
          <w:tcPr>
            <w:tcW w:w="5760" w:type="dxa"/>
            <w:shd w:val="clear" w:color="auto" w:fill="auto"/>
            <w:tcMar>
              <w:left w:w="58" w:type="dxa"/>
              <w:right w:w="58" w:type="dxa"/>
            </w:tcMar>
            <w:vAlign w:val="bottom"/>
          </w:tcPr>
          <w:p w14:paraId="6A0D713F" w14:textId="3F14841B" w:rsidR="00F85875" w:rsidRPr="00C913A8" w:rsidRDefault="00063F2F" w:rsidP="005D76E4">
            <w:pPr>
              <w:pStyle w:val="TableText"/>
              <w:spacing w:after="0"/>
              <w:rPr>
                <w:rFonts w:ascii="Arial" w:hAnsi="Arial"/>
                <w:bCs/>
                <w:sz w:val="18"/>
                <w:lang w:val="mk-MK"/>
              </w:rPr>
            </w:pPr>
            <w:r>
              <w:rPr>
                <w:rFonts w:ascii="Arial" w:hAnsi="Arial"/>
                <w:bCs/>
                <w:sz w:val="18"/>
                <w:lang w:val="en-US"/>
              </w:rPr>
              <w:t>Holiday allowance</w:t>
            </w:r>
          </w:p>
        </w:tc>
        <w:tc>
          <w:tcPr>
            <w:tcW w:w="1440" w:type="dxa"/>
            <w:shd w:val="clear" w:color="auto" w:fill="auto"/>
            <w:tcMar>
              <w:left w:w="58" w:type="dxa"/>
              <w:right w:w="58" w:type="dxa"/>
            </w:tcMar>
            <w:vAlign w:val="bottom"/>
          </w:tcPr>
          <w:p w14:paraId="20BE6451" w14:textId="643CBD78" w:rsidR="00F85875" w:rsidRPr="001E6526" w:rsidRDefault="00F85875" w:rsidP="005D76E4">
            <w:pPr>
              <w:spacing w:after="0"/>
              <w:jc w:val="right"/>
              <w:rPr>
                <w:rFonts w:ascii="Arial" w:hAnsi="Arial" w:cs="Arial"/>
                <w:color w:val="000000"/>
                <w:lang w:val="mk-MK"/>
              </w:rPr>
            </w:pPr>
            <w:r w:rsidRPr="001E6526">
              <w:rPr>
                <w:rFonts w:ascii="Arial" w:hAnsi="Arial" w:cs="Arial"/>
                <w:color w:val="000000"/>
                <w:lang w:val="mk-MK"/>
              </w:rPr>
              <w:t>192</w:t>
            </w:r>
          </w:p>
        </w:tc>
        <w:tc>
          <w:tcPr>
            <w:tcW w:w="1440" w:type="dxa"/>
            <w:shd w:val="clear" w:color="auto" w:fill="auto"/>
            <w:tcMar>
              <w:left w:w="58" w:type="dxa"/>
              <w:right w:w="58" w:type="dxa"/>
            </w:tcMar>
            <w:vAlign w:val="bottom"/>
          </w:tcPr>
          <w:p w14:paraId="431B3684" w14:textId="093D8A0D" w:rsidR="00F85875" w:rsidRPr="001E6526" w:rsidRDefault="00F85875" w:rsidP="005D76E4">
            <w:pPr>
              <w:spacing w:after="0"/>
              <w:jc w:val="right"/>
              <w:rPr>
                <w:rFonts w:ascii="Arial" w:hAnsi="Arial" w:cs="Arial"/>
                <w:color w:val="000000"/>
                <w:lang w:val="mk-MK"/>
              </w:rPr>
            </w:pPr>
            <w:r w:rsidRPr="001E6526">
              <w:rPr>
                <w:rFonts w:ascii="Arial" w:hAnsi="Arial" w:cs="Arial"/>
                <w:color w:val="000000"/>
                <w:lang w:val="mk-MK"/>
              </w:rPr>
              <w:t>-</w:t>
            </w:r>
          </w:p>
        </w:tc>
      </w:tr>
      <w:tr w:rsidR="005D76E4" w:rsidRPr="001E6526" w14:paraId="31012FE0" w14:textId="77777777" w:rsidTr="0025712C">
        <w:trPr>
          <w:trHeight w:val="216"/>
        </w:trPr>
        <w:tc>
          <w:tcPr>
            <w:tcW w:w="5760" w:type="dxa"/>
            <w:tcBorders>
              <w:top w:val="single" w:sz="4" w:space="0" w:color="auto"/>
              <w:bottom w:val="double" w:sz="4" w:space="0" w:color="auto"/>
            </w:tcBorders>
            <w:shd w:val="clear" w:color="auto" w:fill="auto"/>
            <w:tcMar>
              <w:left w:w="58" w:type="dxa"/>
              <w:right w:w="58" w:type="dxa"/>
            </w:tcMar>
            <w:vAlign w:val="bottom"/>
          </w:tcPr>
          <w:p w14:paraId="7BD12EB0" w14:textId="77777777" w:rsidR="005D76E4" w:rsidRPr="00CE3053" w:rsidRDefault="005D76E4" w:rsidP="005D76E4">
            <w:pPr>
              <w:pStyle w:val="TableText"/>
              <w:spacing w:after="0"/>
              <w:rPr>
                <w:rFonts w:ascii="Arial" w:hAnsi="Arial"/>
                <w:b/>
                <w:bCs/>
                <w:sz w:val="18"/>
                <w:lang w:val="mk-MK"/>
              </w:rPr>
            </w:pPr>
          </w:p>
        </w:tc>
        <w:tc>
          <w:tcPr>
            <w:tcW w:w="1440" w:type="dxa"/>
            <w:tcBorders>
              <w:top w:val="single" w:sz="4" w:space="0" w:color="auto"/>
              <w:bottom w:val="double" w:sz="4" w:space="0" w:color="auto"/>
            </w:tcBorders>
            <w:shd w:val="clear" w:color="auto" w:fill="auto"/>
            <w:tcMar>
              <w:left w:w="58" w:type="dxa"/>
              <w:right w:w="58" w:type="dxa"/>
            </w:tcMar>
            <w:vAlign w:val="bottom"/>
          </w:tcPr>
          <w:p w14:paraId="22F9025C" w14:textId="7092754D" w:rsidR="005D76E4" w:rsidRPr="001E6526" w:rsidRDefault="00F85875" w:rsidP="005D76E4">
            <w:pPr>
              <w:spacing w:after="0"/>
              <w:jc w:val="right"/>
              <w:rPr>
                <w:rFonts w:ascii="Arial" w:hAnsi="Arial" w:cs="Arial"/>
                <w:b/>
                <w:bCs/>
                <w:color w:val="000000"/>
                <w:lang w:val="mk-MK"/>
              </w:rPr>
            </w:pPr>
            <w:r w:rsidRPr="001E6526">
              <w:rPr>
                <w:rFonts w:ascii="Arial" w:hAnsi="Arial" w:cs="Arial"/>
                <w:b/>
                <w:bCs/>
                <w:color w:val="000000"/>
                <w:lang w:val="mk-MK"/>
              </w:rPr>
              <w:t>11,405</w:t>
            </w:r>
          </w:p>
        </w:tc>
        <w:tc>
          <w:tcPr>
            <w:tcW w:w="1440" w:type="dxa"/>
            <w:tcBorders>
              <w:top w:val="single" w:sz="4" w:space="0" w:color="auto"/>
              <w:bottom w:val="double" w:sz="4" w:space="0" w:color="auto"/>
            </w:tcBorders>
            <w:shd w:val="clear" w:color="auto" w:fill="auto"/>
            <w:tcMar>
              <w:left w:w="58" w:type="dxa"/>
              <w:right w:w="58" w:type="dxa"/>
            </w:tcMar>
            <w:vAlign w:val="bottom"/>
          </w:tcPr>
          <w:p w14:paraId="45DC56F8" w14:textId="3BD3A688" w:rsidR="005D76E4" w:rsidRPr="001E6526" w:rsidRDefault="005D76E4" w:rsidP="005D76E4">
            <w:pPr>
              <w:spacing w:after="0"/>
              <w:jc w:val="right"/>
              <w:rPr>
                <w:rFonts w:ascii="Arial" w:hAnsi="Arial" w:cs="Arial"/>
                <w:b/>
                <w:bCs/>
                <w:color w:val="000000"/>
                <w:lang w:val="mk-MK"/>
              </w:rPr>
            </w:pPr>
            <w:r w:rsidRPr="001E6526">
              <w:rPr>
                <w:rFonts w:ascii="Arial" w:hAnsi="Arial" w:cs="Arial"/>
                <w:b/>
                <w:bCs/>
                <w:color w:val="000000"/>
                <w:lang w:val="mk-MK"/>
              </w:rPr>
              <w:t>10,602</w:t>
            </w:r>
          </w:p>
        </w:tc>
      </w:tr>
    </w:tbl>
    <w:p w14:paraId="15967EAB" w14:textId="77777777" w:rsidR="00F93B95" w:rsidRPr="00CE3053" w:rsidRDefault="00F93B95" w:rsidP="00F93B95">
      <w:pPr>
        <w:rPr>
          <w:rFonts w:ascii="Arial" w:hAnsi="Arial" w:cs="Arial"/>
          <w:lang w:val="mk-MK"/>
        </w:rPr>
      </w:pPr>
    </w:p>
    <w:p w14:paraId="498614E0" w14:textId="5B9E483A" w:rsidR="00F93B95" w:rsidRPr="00390025" w:rsidRDefault="00390025" w:rsidP="00F93B95">
      <w:pPr>
        <w:pStyle w:val="BodyText"/>
        <w:jc w:val="both"/>
        <w:rPr>
          <w:rFonts w:ascii="Arial" w:hAnsi="Arial" w:cs="Arial"/>
          <w:lang w:val="en-US"/>
        </w:rPr>
      </w:pPr>
      <w:r>
        <w:rPr>
          <w:rFonts w:ascii="Arial" w:hAnsi="Arial" w:cs="Arial"/>
          <w:lang w:val="en-US"/>
        </w:rPr>
        <w:t>D</w:t>
      </w:r>
      <w:proofErr w:type="spellStart"/>
      <w:r w:rsidRPr="00390025">
        <w:rPr>
          <w:rFonts w:ascii="Arial" w:hAnsi="Arial" w:cs="Arial"/>
          <w:lang w:val="mk-MK"/>
        </w:rPr>
        <w:t>uring</w:t>
      </w:r>
      <w:proofErr w:type="spellEnd"/>
      <w:r w:rsidRPr="00390025">
        <w:rPr>
          <w:rFonts w:ascii="Arial" w:hAnsi="Arial" w:cs="Arial"/>
          <w:lang w:val="mk-MK"/>
        </w:rPr>
        <w:t xml:space="preserve"> 202</w:t>
      </w:r>
      <w:r>
        <w:rPr>
          <w:rFonts w:ascii="Arial" w:hAnsi="Arial" w:cs="Arial"/>
          <w:lang w:val="en-US"/>
        </w:rPr>
        <w:t>1</w:t>
      </w:r>
      <w:r w:rsidRPr="00390025">
        <w:rPr>
          <w:rFonts w:ascii="Arial" w:hAnsi="Arial" w:cs="Arial"/>
          <w:lang w:val="mk-MK"/>
        </w:rPr>
        <w:t xml:space="preserve">, </w:t>
      </w:r>
      <w:proofErr w:type="spellStart"/>
      <w:r w:rsidRPr="00390025">
        <w:rPr>
          <w:rFonts w:ascii="Arial" w:hAnsi="Arial" w:cs="Arial"/>
          <w:lang w:val="mk-MK"/>
        </w:rPr>
        <w:t>in</w:t>
      </w:r>
      <w:proofErr w:type="spellEnd"/>
      <w:r w:rsidRPr="00390025">
        <w:rPr>
          <w:rFonts w:ascii="Arial" w:hAnsi="Arial" w:cs="Arial"/>
          <w:lang w:val="mk-MK"/>
        </w:rPr>
        <w:t xml:space="preserve"> </w:t>
      </w:r>
      <w:proofErr w:type="spellStart"/>
      <w:r w:rsidRPr="00390025">
        <w:rPr>
          <w:rFonts w:ascii="Arial" w:hAnsi="Arial" w:cs="Arial"/>
          <w:lang w:val="mk-MK"/>
        </w:rPr>
        <w:t>accordance</w:t>
      </w:r>
      <w:proofErr w:type="spellEnd"/>
      <w:r w:rsidRPr="00390025">
        <w:rPr>
          <w:rFonts w:ascii="Arial" w:hAnsi="Arial" w:cs="Arial"/>
          <w:lang w:val="mk-MK"/>
        </w:rPr>
        <w:t xml:space="preserve"> </w:t>
      </w:r>
      <w:proofErr w:type="spellStart"/>
      <w:r w:rsidRPr="00390025">
        <w:rPr>
          <w:rFonts w:ascii="Arial" w:hAnsi="Arial" w:cs="Arial"/>
          <w:lang w:val="mk-MK"/>
        </w:rPr>
        <w:t>with</w:t>
      </w:r>
      <w:proofErr w:type="spellEnd"/>
      <w:r w:rsidRPr="00390025">
        <w:rPr>
          <w:rFonts w:ascii="Arial" w:hAnsi="Arial" w:cs="Arial"/>
          <w:lang w:val="mk-MK"/>
        </w:rPr>
        <w:t xml:space="preserve"> </w:t>
      </w:r>
      <w:proofErr w:type="spellStart"/>
      <w:r w:rsidRPr="00390025">
        <w:rPr>
          <w:rFonts w:ascii="Arial" w:hAnsi="Arial" w:cs="Arial"/>
          <w:lang w:val="mk-MK"/>
        </w:rPr>
        <w:t>the</w:t>
      </w:r>
      <w:proofErr w:type="spellEnd"/>
      <w:r w:rsidRPr="00390025">
        <w:rPr>
          <w:rFonts w:ascii="Arial" w:hAnsi="Arial" w:cs="Arial"/>
          <w:lang w:val="mk-MK"/>
        </w:rPr>
        <w:t xml:space="preserve"> </w:t>
      </w:r>
      <w:proofErr w:type="spellStart"/>
      <w:r w:rsidRPr="00390025">
        <w:rPr>
          <w:rFonts w:ascii="Arial" w:hAnsi="Arial" w:cs="Arial"/>
          <w:lang w:val="mk-MK"/>
        </w:rPr>
        <w:t>collective</w:t>
      </w:r>
      <w:proofErr w:type="spellEnd"/>
      <w:r w:rsidRPr="00390025">
        <w:rPr>
          <w:rFonts w:ascii="Arial" w:hAnsi="Arial" w:cs="Arial"/>
          <w:lang w:val="mk-MK"/>
        </w:rPr>
        <w:t xml:space="preserve"> </w:t>
      </w:r>
      <w:proofErr w:type="spellStart"/>
      <w:r w:rsidRPr="00390025">
        <w:rPr>
          <w:rFonts w:ascii="Arial" w:hAnsi="Arial" w:cs="Arial"/>
          <w:lang w:val="mk-MK"/>
        </w:rPr>
        <w:t>agreement</w:t>
      </w:r>
      <w:proofErr w:type="spellEnd"/>
      <w:r w:rsidRPr="00390025">
        <w:rPr>
          <w:rFonts w:ascii="Arial" w:hAnsi="Arial" w:cs="Arial"/>
          <w:lang w:val="mk-MK"/>
        </w:rPr>
        <w:t xml:space="preserve">, </w:t>
      </w:r>
      <w:proofErr w:type="spellStart"/>
      <w:r w:rsidRPr="00390025">
        <w:rPr>
          <w:rFonts w:ascii="Arial" w:hAnsi="Arial" w:cs="Arial"/>
          <w:lang w:val="mk-MK"/>
        </w:rPr>
        <w:t>the</w:t>
      </w:r>
      <w:proofErr w:type="spellEnd"/>
      <w:r w:rsidRPr="00390025">
        <w:rPr>
          <w:rFonts w:ascii="Arial" w:hAnsi="Arial" w:cs="Arial"/>
          <w:lang w:val="mk-MK"/>
        </w:rPr>
        <w:t xml:space="preserve"> </w:t>
      </w:r>
      <w:proofErr w:type="spellStart"/>
      <w:r w:rsidRPr="00390025">
        <w:rPr>
          <w:rFonts w:ascii="Arial" w:hAnsi="Arial" w:cs="Arial"/>
          <w:lang w:val="mk-MK"/>
        </w:rPr>
        <w:t>employees</w:t>
      </w:r>
      <w:proofErr w:type="spellEnd"/>
      <w:r w:rsidRPr="00390025">
        <w:rPr>
          <w:rFonts w:ascii="Arial" w:hAnsi="Arial" w:cs="Arial"/>
          <w:lang w:val="mk-MK"/>
        </w:rPr>
        <w:t xml:space="preserve"> </w:t>
      </w:r>
      <w:proofErr w:type="spellStart"/>
      <w:r w:rsidRPr="00390025">
        <w:rPr>
          <w:rFonts w:ascii="Arial" w:hAnsi="Arial" w:cs="Arial"/>
          <w:lang w:val="mk-MK"/>
        </w:rPr>
        <w:t>of</w:t>
      </w:r>
      <w:proofErr w:type="spellEnd"/>
      <w:r w:rsidRPr="00390025">
        <w:rPr>
          <w:rFonts w:ascii="Arial" w:hAnsi="Arial" w:cs="Arial"/>
          <w:lang w:val="mk-MK"/>
        </w:rPr>
        <w:t xml:space="preserve"> </w:t>
      </w:r>
      <w:proofErr w:type="spellStart"/>
      <w:r w:rsidRPr="00390025">
        <w:rPr>
          <w:rFonts w:ascii="Arial" w:hAnsi="Arial" w:cs="Arial"/>
          <w:lang w:val="mk-MK"/>
        </w:rPr>
        <w:t>the</w:t>
      </w:r>
      <w:proofErr w:type="spellEnd"/>
      <w:r w:rsidRPr="00390025">
        <w:rPr>
          <w:rFonts w:ascii="Arial" w:hAnsi="Arial" w:cs="Arial"/>
          <w:lang w:val="mk-MK"/>
        </w:rPr>
        <w:t xml:space="preserve"> </w:t>
      </w:r>
      <w:proofErr w:type="spellStart"/>
      <w:r w:rsidRPr="00390025">
        <w:rPr>
          <w:rFonts w:ascii="Arial" w:hAnsi="Arial" w:cs="Arial"/>
          <w:lang w:val="mk-MK"/>
        </w:rPr>
        <w:t>Deposit</w:t>
      </w:r>
      <w:proofErr w:type="spellEnd"/>
      <w:r w:rsidRPr="00390025">
        <w:rPr>
          <w:rFonts w:ascii="Arial" w:hAnsi="Arial" w:cs="Arial"/>
          <w:lang w:val="mk-MK"/>
        </w:rPr>
        <w:t xml:space="preserve"> </w:t>
      </w:r>
      <w:proofErr w:type="spellStart"/>
      <w:r w:rsidRPr="00390025">
        <w:rPr>
          <w:rFonts w:ascii="Arial" w:hAnsi="Arial" w:cs="Arial"/>
          <w:lang w:val="mk-MK"/>
        </w:rPr>
        <w:t>Insurance</w:t>
      </w:r>
      <w:proofErr w:type="spellEnd"/>
      <w:r w:rsidRPr="00390025">
        <w:rPr>
          <w:rFonts w:ascii="Arial" w:hAnsi="Arial" w:cs="Arial"/>
          <w:lang w:val="mk-MK"/>
        </w:rPr>
        <w:t xml:space="preserve"> </w:t>
      </w:r>
      <w:proofErr w:type="spellStart"/>
      <w:r w:rsidRPr="00390025">
        <w:rPr>
          <w:rFonts w:ascii="Arial" w:hAnsi="Arial" w:cs="Arial"/>
          <w:lang w:val="mk-MK"/>
        </w:rPr>
        <w:t>Fund</w:t>
      </w:r>
      <w:proofErr w:type="spellEnd"/>
      <w:r w:rsidRPr="00390025">
        <w:rPr>
          <w:rFonts w:ascii="Arial" w:hAnsi="Arial" w:cs="Arial"/>
          <w:lang w:val="mk-MK"/>
        </w:rPr>
        <w:t xml:space="preserve"> </w:t>
      </w:r>
      <w:proofErr w:type="spellStart"/>
      <w:r w:rsidRPr="00390025">
        <w:rPr>
          <w:rFonts w:ascii="Arial" w:hAnsi="Arial" w:cs="Arial"/>
          <w:lang w:val="mk-MK"/>
        </w:rPr>
        <w:t>were</w:t>
      </w:r>
      <w:proofErr w:type="spellEnd"/>
      <w:r w:rsidRPr="00390025">
        <w:rPr>
          <w:rFonts w:ascii="Arial" w:hAnsi="Arial" w:cs="Arial"/>
          <w:lang w:val="mk-MK"/>
        </w:rPr>
        <w:t xml:space="preserve"> </w:t>
      </w:r>
      <w:proofErr w:type="spellStart"/>
      <w:r w:rsidRPr="00390025">
        <w:rPr>
          <w:rFonts w:ascii="Arial" w:hAnsi="Arial" w:cs="Arial"/>
          <w:lang w:val="mk-MK"/>
        </w:rPr>
        <w:t>paid</w:t>
      </w:r>
      <w:proofErr w:type="spellEnd"/>
      <w:r w:rsidRPr="00390025">
        <w:rPr>
          <w:rFonts w:ascii="Arial" w:hAnsi="Arial" w:cs="Arial"/>
          <w:lang w:val="mk-MK"/>
        </w:rPr>
        <w:t xml:space="preserve"> a </w:t>
      </w:r>
      <w:proofErr w:type="spellStart"/>
      <w:r w:rsidRPr="00390025">
        <w:rPr>
          <w:rFonts w:ascii="Arial" w:hAnsi="Arial" w:cs="Arial"/>
          <w:lang w:val="mk-MK"/>
        </w:rPr>
        <w:t>salary</w:t>
      </w:r>
      <w:proofErr w:type="spellEnd"/>
      <w:r w:rsidRPr="00390025">
        <w:rPr>
          <w:rFonts w:ascii="Arial" w:hAnsi="Arial" w:cs="Arial"/>
          <w:lang w:val="mk-MK"/>
        </w:rPr>
        <w:t xml:space="preserve"> </w:t>
      </w:r>
      <w:proofErr w:type="spellStart"/>
      <w:r w:rsidRPr="00390025">
        <w:rPr>
          <w:rFonts w:ascii="Arial" w:hAnsi="Arial" w:cs="Arial"/>
          <w:lang w:val="mk-MK"/>
        </w:rPr>
        <w:t>for</w:t>
      </w:r>
      <w:proofErr w:type="spellEnd"/>
      <w:r w:rsidRPr="00390025">
        <w:rPr>
          <w:rFonts w:ascii="Arial" w:hAnsi="Arial" w:cs="Arial"/>
          <w:lang w:val="mk-MK"/>
        </w:rPr>
        <w:t xml:space="preserve"> </w:t>
      </w:r>
      <w:proofErr w:type="spellStart"/>
      <w:r w:rsidRPr="00390025">
        <w:rPr>
          <w:rFonts w:ascii="Arial" w:hAnsi="Arial" w:cs="Arial"/>
          <w:lang w:val="mk-MK"/>
        </w:rPr>
        <w:t>business</w:t>
      </w:r>
      <w:proofErr w:type="spellEnd"/>
      <w:r w:rsidRPr="00390025">
        <w:rPr>
          <w:rFonts w:ascii="Arial" w:hAnsi="Arial" w:cs="Arial"/>
          <w:lang w:val="mk-MK"/>
        </w:rPr>
        <w:t xml:space="preserve"> </w:t>
      </w:r>
      <w:proofErr w:type="spellStart"/>
      <w:r w:rsidRPr="00390025">
        <w:rPr>
          <w:rFonts w:ascii="Arial" w:hAnsi="Arial" w:cs="Arial"/>
          <w:lang w:val="mk-MK"/>
        </w:rPr>
        <w:t>success</w:t>
      </w:r>
      <w:proofErr w:type="spellEnd"/>
      <w:r>
        <w:rPr>
          <w:rFonts w:ascii="Arial" w:hAnsi="Arial" w:cs="Arial"/>
          <w:lang w:val="en-US"/>
        </w:rPr>
        <w:t>.</w:t>
      </w:r>
    </w:p>
    <w:p w14:paraId="37DBBC67" w14:textId="77777777" w:rsidR="00F93B95" w:rsidRPr="00CE3053" w:rsidRDefault="00F93B95" w:rsidP="00F93B95">
      <w:pPr>
        <w:pStyle w:val="BodyText"/>
        <w:rPr>
          <w:rFonts w:ascii="Arial" w:hAnsi="Arial" w:cs="Arial"/>
          <w:lang w:val="mk-MK"/>
        </w:rPr>
      </w:pPr>
    </w:p>
    <w:p w14:paraId="03D78BE5" w14:textId="744EDCF1" w:rsidR="00F93B95" w:rsidRPr="00CE3053" w:rsidRDefault="00A416A3" w:rsidP="0061511C">
      <w:pPr>
        <w:pStyle w:val="NumberedHeading1"/>
        <w:numPr>
          <w:ilvl w:val="0"/>
          <w:numId w:val="22"/>
        </w:numPr>
        <w:spacing w:before="0" w:after="0" w:line="260" w:lineRule="atLeast"/>
        <w:rPr>
          <w:rFonts w:ascii="Arial" w:hAnsi="Arial" w:cs="Arial"/>
          <w:b/>
          <w:color w:val="4F2D7F"/>
          <w:sz w:val="18"/>
          <w:lang w:val="mk-MK"/>
        </w:rPr>
      </w:pPr>
      <w:r>
        <w:rPr>
          <w:rFonts w:ascii="Arial" w:hAnsi="Arial" w:cs="Arial"/>
          <w:b/>
          <w:color w:val="4F2D7F"/>
          <w:sz w:val="18"/>
          <w:lang w:val="en-US"/>
        </w:rPr>
        <w:t>Other operating expenses</w:t>
      </w:r>
    </w:p>
    <w:tbl>
      <w:tblPr>
        <w:tblW w:w="8640" w:type="dxa"/>
        <w:tblInd w:w="86" w:type="dxa"/>
        <w:tblLook w:val="01E0" w:firstRow="1" w:lastRow="1" w:firstColumn="1" w:lastColumn="1" w:noHBand="0" w:noVBand="0"/>
      </w:tblPr>
      <w:tblGrid>
        <w:gridCol w:w="5760"/>
        <w:gridCol w:w="1440"/>
        <w:gridCol w:w="1440"/>
      </w:tblGrid>
      <w:tr w:rsidR="00F30EF8" w:rsidRPr="001E6526" w14:paraId="2D84581E" w14:textId="77777777" w:rsidTr="00591FF7">
        <w:trPr>
          <w:trHeight w:val="216"/>
        </w:trPr>
        <w:tc>
          <w:tcPr>
            <w:tcW w:w="5760" w:type="dxa"/>
            <w:shd w:val="clear" w:color="auto" w:fill="auto"/>
            <w:tcMar>
              <w:left w:w="58" w:type="dxa"/>
              <w:right w:w="58" w:type="dxa"/>
            </w:tcMar>
          </w:tcPr>
          <w:p w14:paraId="01E71DF0" w14:textId="6F9B3432" w:rsidR="00F30EF8" w:rsidRPr="001E6526" w:rsidRDefault="00F30EF8" w:rsidP="00F30EF8">
            <w:pPr>
              <w:pStyle w:val="TableText"/>
              <w:spacing w:after="0"/>
              <w:rPr>
                <w:rFonts w:ascii="Arial" w:hAnsi="Arial"/>
                <w:color w:val="FF0000"/>
                <w:sz w:val="18"/>
                <w:lang w:val="mk-MK"/>
              </w:rPr>
            </w:pPr>
          </w:p>
        </w:tc>
        <w:tc>
          <w:tcPr>
            <w:tcW w:w="2880" w:type="dxa"/>
            <w:gridSpan w:val="2"/>
            <w:shd w:val="clear" w:color="auto" w:fill="auto"/>
            <w:tcMar>
              <w:left w:w="58" w:type="dxa"/>
              <w:right w:w="58" w:type="dxa"/>
            </w:tcMar>
          </w:tcPr>
          <w:p w14:paraId="7622BB9C" w14:textId="1A02D8CA" w:rsidR="00F30EF8" w:rsidRPr="00CE3053" w:rsidRDefault="00F30EF8" w:rsidP="00F30EF8">
            <w:pPr>
              <w:pStyle w:val="TableText"/>
              <w:spacing w:after="0"/>
              <w:jc w:val="right"/>
              <w:rPr>
                <w:rFonts w:ascii="Arial" w:hAnsi="Arial"/>
                <w:sz w:val="18"/>
                <w:lang w:val="mk-MK"/>
              </w:rPr>
            </w:pPr>
            <w:r w:rsidRPr="00CE3053">
              <w:rPr>
                <w:lang w:val="mk-MK"/>
              </w:rPr>
              <w:t xml:space="preserve">(000 </w:t>
            </w:r>
            <w:proofErr w:type="spellStart"/>
            <w:r w:rsidR="00A416A3">
              <w:rPr>
                <w:lang w:val="en-US"/>
              </w:rPr>
              <w:t>mkd</w:t>
            </w:r>
            <w:proofErr w:type="spellEnd"/>
            <w:r w:rsidRPr="00CE3053">
              <w:rPr>
                <w:lang w:val="mk-MK"/>
              </w:rPr>
              <w:t>)</w:t>
            </w:r>
          </w:p>
        </w:tc>
      </w:tr>
      <w:tr w:rsidR="004B0113" w:rsidRPr="001E6526" w14:paraId="3D198E75" w14:textId="77777777" w:rsidTr="0025712C">
        <w:trPr>
          <w:trHeight w:val="216"/>
        </w:trPr>
        <w:tc>
          <w:tcPr>
            <w:tcW w:w="5760" w:type="dxa"/>
            <w:shd w:val="clear" w:color="auto" w:fill="auto"/>
            <w:tcMar>
              <w:left w:w="58" w:type="dxa"/>
              <w:right w:w="58" w:type="dxa"/>
            </w:tcMar>
            <w:vAlign w:val="bottom"/>
          </w:tcPr>
          <w:p w14:paraId="7F1E86D0" w14:textId="77777777" w:rsidR="004B0113" w:rsidRPr="001E6526" w:rsidRDefault="004B0113" w:rsidP="004B0113">
            <w:pPr>
              <w:pStyle w:val="TableText"/>
              <w:spacing w:after="0"/>
              <w:rPr>
                <w:rFonts w:ascii="Arial" w:hAnsi="Arial"/>
                <w:color w:val="FF0000"/>
                <w:sz w:val="18"/>
                <w:lang w:val="mk-MK"/>
              </w:rPr>
            </w:pPr>
          </w:p>
        </w:tc>
        <w:tc>
          <w:tcPr>
            <w:tcW w:w="1440" w:type="dxa"/>
            <w:shd w:val="clear" w:color="auto" w:fill="auto"/>
            <w:tcMar>
              <w:left w:w="58" w:type="dxa"/>
              <w:right w:w="58" w:type="dxa"/>
            </w:tcMar>
            <w:vAlign w:val="bottom"/>
          </w:tcPr>
          <w:p w14:paraId="5126C35C" w14:textId="01196DC5" w:rsidR="004B0113" w:rsidRPr="00CE3053" w:rsidRDefault="004B0113" w:rsidP="004B0113">
            <w:pPr>
              <w:pStyle w:val="TableText"/>
              <w:spacing w:after="0"/>
              <w:jc w:val="right"/>
              <w:rPr>
                <w:rFonts w:ascii="Arial" w:hAnsi="Arial"/>
                <w:sz w:val="18"/>
                <w:lang w:val="mk-MK"/>
              </w:rPr>
            </w:pPr>
            <w:r w:rsidRPr="00CE3053">
              <w:rPr>
                <w:rFonts w:ascii="Arial" w:hAnsi="Arial"/>
                <w:sz w:val="18"/>
                <w:lang w:val="mk-MK"/>
              </w:rPr>
              <w:t>2021</w:t>
            </w:r>
          </w:p>
        </w:tc>
        <w:tc>
          <w:tcPr>
            <w:tcW w:w="1440" w:type="dxa"/>
            <w:shd w:val="clear" w:color="auto" w:fill="auto"/>
            <w:tcMar>
              <w:left w:w="58" w:type="dxa"/>
              <w:right w:w="58" w:type="dxa"/>
            </w:tcMar>
            <w:vAlign w:val="bottom"/>
          </w:tcPr>
          <w:p w14:paraId="57218C8B" w14:textId="553AB717" w:rsidR="004B0113" w:rsidRPr="00CE3053" w:rsidRDefault="004B0113" w:rsidP="004B0113">
            <w:pPr>
              <w:pStyle w:val="TableText"/>
              <w:spacing w:after="0"/>
              <w:jc w:val="right"/>
              <w:rPr>
                <w:rFonts w:ascii="Arial" w:hAnsi="Arial"/>
                <w:sz w:val="18"/>
                <w:lang w:val="mk-MK"/>
              </w:rPr>
            </w:pPr>
            <w:r w:rsidRPr="00CE3053">
              <w:rPr>
                <w:rFonts w:ascii="Arial" w:hAnsi="Arial"/>
                <w:sz w:val="18"/>
                <w:lang w:val="mk-MK"/>
              </w:rPr>
              <w:t>2020</w:t>
            </w:r>
          </w:p>
        </w:tc>
      </w:tr>
      <w:tr w:rsidR="004B0113" w:rsidRPr="001E6526" w14:paraId="3B251E34" w14:textId="77777777" w:rsidTr="0025712C">
        <w:trPr>
          <w:trHeight w:val="234"/>
        </w:trPr>
        <w:tc>
          <w:tcPr>
            <w:tcW w:w="5760" w:type="dxa"/>
            <w:shd w:val="clear" w:color="auto" w:fill="auto"/>
            <w:tcMar>
              <w:left w:w="58" w:type="dxa"/>
              <w:right w:w="58" w:type="dxa"/>
            </w:tcMar>
            <w:vAlign w:val="bottom"/>
          </w:tcPr>
          <w:p w14:paraId="187AEFCE" w14:textId="77777777" w:rsidR="004B0113" w:rsidRPr="001E6526" w:rsidRDefault="004B0113" w:rsidP="004B0113">
            <w:pPr>
              <w:pStyle w:val="TableText"/>
              <w:spacing w:after="0"/>
              <w:rPr>
                <w:rFonts w:ascii="Arial" w:hAnsi="Arial"/>
                <w:color w:val="FF0000"/>
                <w:sz w:val="18"/>
                <w:lang w:val="mk-MK"/>
              </w:rPr>
            </w:pPr>
          </w:p>
        </w:tc>
        <w:tc>
          <w:tcPr>
            <w:tcW w:w="1440" w:type="dxa"/>
            <w:shd w:val="clear" w:color="auto" w:fill="auto"/>
            <w:tcMar>
              <w:left w:w="58" w:type="dxa"/>
              <w:right w:w="58" w:type="dxa"/>
            </w:tcMar>
            <w:vAlign w:val="bottom"/>
          </w:tcPr>
          <w:p w14:paraId="3F4E6862" w14:textId="77777777" w:rsidR="004B0113" w:rsidRPr="00CE3053" w:rsidRDefault="004B0113" w:rsidP="004B0113">
            <w:pPr>
              <w:pStyle w:val="TableText"/>
              <w:spacing w:after="0"/>
              <w:jc w:val="right"/>
              <w:rPr>
                <w:rFonts w:ascii="Arial" w:hAnsi="Arial"/>
                <w:sz w:val="18"/>
                <w:lang w:val="mk-MK"/>
              </w:rPr>
            </w:pPr>
          </w:p>
        </w:tc>
        <w:tc>
          <w:tcPr>
            <w:tcW w:w="1440" w:type="dxa"/>
            <w:shd w:val="clear" w:color="auto" w:fill="auto"/>
            <w:tcMar>
              <w:left w:w="58" w:type="dxa"/>
              <w:right w:w="58" w:type="dxa"/>
            </w:tcMar>
            <w:vAlign w:val="bottom"/>
          </w:tcPr>
          <w:p w14:paraId="3E075A6F" w14:textId="77777777" w:rsidR="004B0113" w:rsidRPr="00CE3053" w:rsidRDefault="004B0113" w:rsidP="004B0113">
            <w:pPr>
              <w:pStyle w:val="TableText"/>
              <w:spacing w:after="0"/>
              <w:jc w:val="right"/>
              <w:rPr>
                <w:rFonts w:ascii="Arial" w:hAnsi="Arial"/>
                <w:sz w:val="18"/>
                <w:lang w:val="mk-MK"/>
              </w:rPr>
            </w:pPr>
          </w:p>
        </w:tc>
      </w:tr>
      <w:tr w:rsidR="00417ABD" w:rsidRPr="001E6526" w14:paraId="25AEB365" w14:textId="77777777" w:rsidTr="0025712C">
        <w:trPr>
          <w:trHeight w:val="216"/>
        </w:trPr>
        <w:tc>
          <w:tcPr>
            <w:tcW w:w="5760" w:type="dxa"/>
            <w:shd w:val="clear" w:color="auto" w:fill="auto"/>
            <w:tcMar>
              <w:left w:w="58" w:type="dxa"/>
              <w:right w:w="58" w:type="dxa"/>
            </w:tcMar>
            <w:vAlign w:val="bottom"/>
          </w:tcPr>
          <w:p w14:paraId="1A048E7B" w14:textId="4D048CBD" w:rsidR="00417ABD" w:rsidRPr="001E6526" w:rsidRDefault="00A416A3" w:rsidP="00417ABD">
            <w:pPr>
              <w:spacing w:after="0"/>
              <w:rPr>
                <w:rFonts w:ascii="Arial" w:hAnsi="Arial" w:cs="Arial"/>
                <w:color w:val="000000"/>
                <w:lang w:val="mk-MK"/>
              </w:rPr>
            </w:pPr>
            <w:proofErr w:type="spellStart"/>
            <w:r w:rsidRPr="00A416A3">
              <w:rPr>
                <w:rFonts w:ascii="Arial" w:hAnsi="Arial"/>
                <w:lang w:val="mk-MK"/>
              </w:rPr>
              <w:t>Fees</w:t>
            </w:r>
            <w:proofErr w:type="spellEnd"/>
            <w:r w:rsidRPr="00A416A3">
              <w:rPr>
                <w:rFonts w:ascii="Arial" w:hAnsi="Arial"/>
                <w:lang w:val="mk-MK"/>
              </w:rPr>
              <w:t xml:space="preserve"> </w:t>
            </w:r>
            <w:proofErr w:type="spellStart"/>
            <w:r w:rsidRPr="00A416A3">
              <w:rPr>
                <w:rFonts w:ascii="Arial" w:hAnsi="Arial"/>
                <w:lang w:val="mk-MK"/>
              </w:rPr>
              <w:t>and</w:t>
            </w:r>
            <w:proofErr w:type="spellEnd"/>
            <w:r w:rsidRPr="00A416A3">
              <w:rPr>
                <w:rFonts w:ascii="Arial" w:hAnsi="Arial"/>
                <w:lang w:val="mk-MK"/>
              </w:rPr>
              <w:t xml:space="preserve"> </w:t>
            </w:r>
            <w:proofErr w:type="spellStart"/>
            <w:r w:rsidRPr="00A416A3">
              <w:rPr>
                <w:rFonts w:ascii="Arial" w:hAnsi="Arial"/>
                <w:lang w:val="mk-MK"/>
              </w:rPr>
              <w:t>commission</w:t>
            </w:r>
            <w:proofErr w:type="spellEnd"/>
          </w:p>
        </w:tc>
        <w:tc>
          <w:tcPr>
            <w:tcW w:w="1440" w:type="dxa"/>
            <w:shd w:val="clear" w:color="auto" w:fill="auto"/>
            <w:tcMar>
              <w:left w:w="58" w:type="dxa"/>
              <w:right w:w="58" w:type="dxa"/>
            </w:tcMar>
            <w:vAlign w:val="bottom"/>
          </w:tcPr>
          <w:p w14:paraId="3BDAB324" w14:textId="63D1E4FC" w:rsidR="00417ABD" w:rsidRPr="001E6526" w:rsidRDefault="00C368E6" w:rsidP="00417ABD">
            <w:pPr>
              <w:spacing w:after="0"/>
              <w:jc w:val="right"/>
              <w:rPr>
                <w:rFonts w:ascii="Arial" w:hAnsi="Arial" w:cs="Arial"/>
                <w:color w:val="000000"/>
                <w:lang w:val="mk-MK"/>
              </w:rPr>
            </w:pPr>
            <w:r w:rsidRPr="001E6526">
              <w:rPr>
                <w:rFonts w:ascii="Arial" w:hAnsi="Arial"/>
                <w:lang w:val="mk-MK"/>
              </w:rPr>
              <w:t>7</w:t>
            </w:r>
            <w:r w:rsidR="0082414E" w:rsidRPr="001E6526">
              <w:rPr>
                <w:rFonts w:ascii="Arial" w:hAnsi="Arial"/>
                <w:lang w:val="mk-MK"/>
              </w:rPr>
              <w:t>1</w:t>
            </w:r>
          </w:p>
        </w:tc>
        <w:tc>
          <w:tcPr>
            <w:tcW w:w="1440" w:type="dxa"/>
            <w:shd w:val="clear" w:color="auto" w:fill="auto"/>
            <w:tcMar>
              <w:left w:w="58" w:type="dxa"/>
              <w:right w:w="58" w:type="dxa"/>
            </w:tcMar>
            <w:vAlign w:val="bottom"/>
          </w:tcPr>
          <w:p w14:paraId="5017373B" w14:textId="569EB269" w:rsidR="00417ABD" w:rsidRPr="001E6526" w:rsidRDefault="00417ABD" w:rsidP="00417ABD">
            <w:pPr>
              <w:spacing w:after="0"/>
              <w:jc w:val="right"/>
              <w:rPr>
                <w:rFonts w:ascii="Arial" w:hAnsi="Arial" w:cs="Arial"/>
                <w:color w:val="000000"/>
                <w:lang w:val="mk-MK"/>
              </w:rPr>
            </w:pPr>
            <w:r w:rsidRPr="001E6526">
              <w:rPr>
                <w:rFonts w:ascii="Arial" w:hAnsi="Arial"/>
                <w:lang w:val="mk-MK"/>
              </w:rPr>
              <w:t>64</w:t>
            </w:r>
          </w:p>
        </w:tc>
      </w:tr>
      <w:tr w:rsidR="00417ABD" w:rsidRPr="001E6526" w14:paraId="5CAF09E6" w14:textId="77777777" w:rsidTr="0025712C">
        <w:trPr>
          <w:trHeight w:val="234"/>
        </w:trPr>
        <w:tc>
          <w:tcPr>
            <w:tcW w:w="5760" w:type="dxa"/>
            <w:shd w:val="clear" w:color="auto" w:fill="auto"/>
            <w:tcMar>
              <w:left w:w="58" w:type="dxa"/>
              <w:right w:w="58" w:type="dxa"/>
            </w:tcMar>
            <w:vAlign w:val="bottom"/>
          </w:tcPr>
          <w:p w14:paraId="3A24DED1" w14:textId="732CAC48" w:rsidR="00417ABD" w:rsidRPr="00CE3053" w:rsidRDefault="00A416A3" w:rsidP="00417ABD">
            <w:pPr>
              <w:pStyle w:val="TableText"/>
              <w:spacing w:after="0"/>
              <w:rPr>
                <w:rFonts w:ascii="Arial" w:hAnsi="Arial"/>
                <w:sz w:val="18"/>
                <w:lang w:val="mk-MK"/>
              </w:rPr>
            </w:pPr>
            <w:proofErr w:type="spellStart"/>
            <w:r w:rsidRPr="00A416A3">
              <w:rPr>
                <w:rFonts w:ascii="Arial" w:hAnsi="Arial"/>
                <w:sz w:val="18"/>
                <w:lang w:val="mk-MK"/>
              </w:rPr>
              <w:t>Remuneration</w:t>
            </w:r>
            <w:proofErr w:type="spellEnd"/>
            <w:r w:rsidRPr="00A416A3">
              <w:rPr>
                <w:rFonts w:ascii="Arial" w:hAnsi="Arial"/>
                <w:sz w:val="18"/>
                <w:lang w:val="mk-MK"/>
              </w:rPr>
              <w:t xml:space="preserve"> </w:t>
            </w:r>
            <w:proofErr w:type="spellStart"/>
            <w:r w:rsidRPr="00A416A3">
              <w:rPr>
                <w:rFonts w:ascii="Arial" w:hAnsi="Arial"/>
                <w:sz w:val="18"/>
                <w:lang w:val="mk-MK"/>
              </w:rPr>
              <w:t>for</w:t>
            </w:r>
            <w:proofErr w:type="spellEnd"/>
            <w:r w:rsidRPr="00A416A3">
              <w:rPr>
                <w:rFonts w:ascii="Arial" w:hAnsi="Arial"/>
                <w:sz w:val="18"/>
                <w:lang w:val="mk-MK"/>
              </w:rPr>
              <w:t xml:space="preserve"> </w:t>
            </w:r>
            <w:proofErr w:type="spellStart"/>
            <w:r w:rsidRPr="00A416A3">
              <w:rPr>
                <w:rFonts w:ascii="Arial" w:hAnsi="Arial"/>
                <w:sz w:val="18"/>
                <w:lang w:val="mk-MK"/>
              </w:rPr>
              <w:t>the</w:t>
            </w:r>
            <w:proofErr w:type="spellEnd"/>
            <w:r w:rsidRPr="00A416A3">
              <w:rPr>
                <w:rFonts w:ascii="Arial" w:hAnsi="Arial"/>
                <w:sz w:val="18"/>
                <w:lang w:val="mk-MK"/>
              </w:rPr>
              <w:t xml:space="preserve"> </w:t>
            </w:r>
            <w:proofErr w:type="spellStart"/>
            <w:r w:rsidRPr="00A416A3">
              <w:rPr>
                <w:rFonts w:ascii="Arial" w:hAnsi="Arial"/>
                <w:sz w:val="18"/>
                <w:lang w:val="mk-MK"/>
              </w:rPr>
              <w:t>members</w:t>
            </w:r>
            <w:proofErr w:type="spellEnd"/>
            <w:r w:rsidRPr="00A416A3">
              <w:rPr>
                <w:rFonts w:ascii="Arial" w:hAnsi="Arial"/>
                <w:sz w:val="18"/>
                <w:lang w:val="mk-MK"/>
              </w:rPr>
              <w:t xml:space="preserve"> </w:t>
            </w:r>
            <w:proofErr w:type="spellStart"/>
            <w:r w:rsidRPr="00A416A3">
              <w:rPr>
                <w:rFonts w:ascii="Arial" w:hAnsi="Arial"/>
                <w:sz w:val="18"/>
                <w:lang w:val="mk-MK"/>
              </w:rPr>
              <w:t>of</w:t>
            </w:r>
            <w:proofErr w:type="spellEnd"/>
            <w:r w:rsidRPr="00A416A3">
              <w:rPr>
                <w:rFonts w:ascii="Arial" w:hAnsi="Arial"/>
                <w:sz w:val="18"/>
                <w:lang w:val="mk-MK"/>
              </w:rPr>
              <w:t xml:space="preserve"> </w:t>
            </w:r>
            <w:proofErr w:type="spellStart"/>
            <w:r w:rsidRPr="00A416A3">
              <w:rPr>
                <w:rFonts w:ascii="Arial" w:hAnsi="Arial"/>
                <w:sz w:val="18"/>
                <w:lang w:val="mk-MK"/>
              </w:rPr>
              <w:t>the</w:t>
            </w:r>
            <w:proofErr w:type="spellEnd"/>
            <w:r w:rsidRPr="00A416A3">
              <w:rPr>
                <w:rFonts w:ascii="Arial" w:hAnsi="Arial"/>
                <w:sz w:val="18"/>
                <w:lang w:val="mk-MK"/>
              </w:rPr>
              <w:t xml:space="preserve"> </w:t>
            </w:r>
            <w:proofErr w:type="spellStart"/>
            <w:r w:rsidRPr="00A416A3">
              <w:rPr>
                <w:rFonts w:ascii="Arial" w:hAnsi="Arial"/>
                <w:sz w:val="18"/>
                <w:lang w:val="mk-MK"/>
              </w:rPr>
              <w:t>Board</w:t>
            </w:r>
            <w:proofErr w:type="spellEnd"/>
            <w:r w:rsidRPr="00A416A3">
              <w:rPr>
                <w:rFonts w:ascii="Arial" w:hAnsi="Arial"/>
                <w:sz w:val="18"/>
                <w:lang w:val="mk-MK"/>
              </w:rPr>
              <w:t xml:space="preserve"> </w:t>
            </w:r>
            <w:proofErr w:type="spellStart"/>
            <w:r w:rsidRPr="00A416A3">
              <w:rPr>
                <w:rFonts w:ascii="Arial" w:hAnsi="Arial"/>
                <w:sz w:val="18"/>
                <w:lang w:val="mk-MK"/>
              </w:rPr>
              <w:t>of</w:t>
            </w:r>
            <w:proofErr w:type="spellEnd"/>
            <w:r w:rsidRPr="00A416A3">
              <w:rPr>
                <w:rFonts w:ascii="Arial" w:hAnsi="Arial"/>
                <w:sz w:val="18"/>
                <w:lang w:val="mk-MK"/>
              </w:rPr>
              <w:t xml:space="preserve"> </w:t>
            </w:r>
            <w:proofErr w:type="spellStart"/>
            <w:r w:rsidRPr="00A416A3">
              <w:rPr>
                <w:rFonts w:ascii="Arial" w:hAnsi="Arial"/>
                <w:sz w:val="18"/>
                <w:lang w:val="mk-MK"/>
              </w:rPr>
              <w:t>Directors</w:t>
            </w:r>
            <w:proofErr w:type="spellEnd"/>
          </w:p>
        </w:tc>
        <w:tc>
          <w:tcPr>
            <w:tcW w:w="1440" w:type="dxa"/>
            <w:shd w:val="clear" w:color="auto" w:fill="auto"/>
            <w:tcMar>
              <w:left w:w="58" w:type="dxa"/>
              <w:right w:w="58" w:type="dxa"/>
            </w:tcMar>
            <w:vAlign w:val="bottom"/>
          </w:tcPr>
          <w:p w14:paraId="3384C973" w14:textId="092A02A4" w:rsidR="00417ABD" w:rsidRPr="001E6526" w:rsidRDefault="00C368E6" w:rsidP="00417ABD">
            <w:pPr>
              <w:pStyle w:val="TableText"/>
              <w:spacing w:after="0"/>
              <w:jc w:val="right"/>
              <w:rPr>
                <w:rFonts w:ascii="Arial" w:hAnsi="Arial"/>
                <w:sz w:val="18"/>
                <w:lang w:val="mk-MK"/>
              </w:rPr>
            </w:pPr>
            <w:r w:rsidRPr="001E6526">
              <w:rPr>
                <w:rFonts w:ascii="Arial" w:hAnsi="Arial"/>
                <w:sz w:val="18"/>
                <w:lang w:val="mk-MK"/>
              </w:rPr>
              <w:t>693</w:t>
            </w:r>
          </w:p>
        </w:tc>
        <w:tc>
          <w:tcPr>
            <w:tcW w:w="1440" w:type="dxa"/>
            <w:shd w:val="clear" w:color="auto" w:fill="auto"/>
            <w:tcMar>
              <w:left w:w="58" w:type="dxa"/>
              <w:right w:w="58" w:type="dxa"/>
            </w:tcMar>
            <w:vAlign w:val="bottom"/>
          </w:tcPr>
          <w:p w14:paraId="08310C3C" w14:textId="67AB47F2" w:rsidR="00417ABD" w:rsidRPr="001E6526" w:rsidRDefault="00417ABD" w:rsidP="00417ABD">
            <w:pPr>
              <w:pStyle w:val="TableText"/>
              <w:spacing w:after="0"/>
              <w:jc w:val="right"/>
              <w:rPr>
                <w:rFonts w:ascii="Arial" w:hAnsi="Arial"/>
                <w:sz w:val="18"/>
                <w:lang w:val="mk-MK"/>
              </w:rPr>
            </w:pPr>
            <w:r w:rsidRPr="001E6526">
              <w:rPr>
                <w:rFonts w:ascii="Arial" w:hAnsi="Arial"/>
                <w:sz w:val="18"/>
                <w:lang w:val="mk-MK"/>
              </w:rPr>
              <w:t>682</w:t>
            </w:r>
          </w:p>
        </w:tc>
      </w:tr>
      <w:tr w:rsidR="00097C0B" w:rsidRPr="001E6526" w14:paraId="5B881631" w14:textId="77777777" w:rsidTr="0025712C">
        <w:trPr>
          <w:trHeight w:val="234"/>
        </w:trPr>
        <w:tc>
          <w:tcPr>
            <w:tcW w:w="5760" w:type="dxa"/>
            <w:shd w:val="clear" w:color="auto" w:fill="auto"/>
            <w:tcMar>
              <w:left w:w="58" w:type="dxa"/>
              <w:right w:w="58" w:type="dxa"/>
            </w:tcMar>
            <w:vAlign w:val="bottom"/>
          </w:tcPr>
          <w:p w14:paraId="6F61F02B" w14:textId="75116C69" w:rsidR="00097C0B" w:rsidRPr="001E6526" w:rsidRDefault="00F25BB7" w:rsidP="00417ABD">
            <w:pPr>
              <w:pStyle w:val="TableText"/>
              <w:spacing w:after="0"/>
              <w:rPr>
                <w:rFonts w:ascii="Arial" w:hAnsi="Arial"/>
                <w:sz w:val="18"/>
                <w:lang w:val="mk-MK"/>
              </w:rPr>
            </w:pPr>
            <w:proofErr w:type="spellStart"/>
            <w:r w:rsidRPr="00F25BB7">
              <w:rPr>
                <w:rFonts w:ascii="Arial" w:hAnsi="Arial"/>
                <w:sz w:val="18"/>
                <w:lang w:val="mk-MK"/>
              </w:rPr>
              <w:t>Utilities</w:t>
            </w:r>
            <w:proofErr w:type="spellEnd"/>
            <w:r w:rsidRPr="00F25BB7">
              <w:rPr>
                <w:rFonts w:ascii="Arial" w:hAnsi="Arial"/>
                <w:sz w:val="18"/>
                <w:lang w:val="mk-MK"/>
              </w:rPr>
              <w:t xml:space="preserve"> </w:t>
            </w:r>
            <w:proofErr w:type="spellStart"/>
            <w:r w:rsidRPr="00F25BB7">
              <w:rPr>
                <w:rFonts w:ascii="Arial" w:hAnsi="Arial"/>
                <w:sz w:val="18"/>
                <w:lang w:val="mk-MK"/>
              </w:rPr>
              <w:t>expenses</w:t>
            </w:r>
            <w:proofErr w:type="spellEnd"/>
          </w:p>
        </w:tc>
        <w:tc>
          <w:tcPr>
            <w:tcW w:w="1440" w:type="dxa"/>
            <w:shd w:val="clear" w:color="auto" w:fill="auto"/>
            <w:tcMar>
              <w:left w:w="58" w:type="dxa"/>
              <w:right w:w="58" w:type="dxa"/>
            </w:tcMar>
            <w:vAlign w:val="bottom"/>
          </w:tcPr>
          <w:p w14:paraId="1B47A1FA" w14:textId="62F1B927" w:rsidR="00097C0B" w:rsidRPr="001E6526" w:rsidRDefault="00C368E6" w:rsidP="00417ABD">
            <w:pPr>
              <w:pStyle w:val="TableText"/>
              <w:spacing w:after="0"/>
              <w:jc w:val="right"/>
              <w:rPr>
                <w:rFonts w:ascii="Arial" w:hAnsi="Arial"/>
                <w:sz w:val="18"/>
                <w:lang w:val="mk-MK"/>
              </w:rPr>
            </w:pPr>
            <w:r w:rsidRPr="001E6526">
              <w:rPr>
                <w:rFonts w:ascii="Arial" w:hAnsi="Arial"/>
                <w:sz w:val="18"/>
                <w:lang w:val="mk-MK"/>
              </w:rPr>
              <w:t>372</w:t>
            </w:r>
          </w:p>
        </w:tc>
        <w:tc>
          <w:tcPr>
            <w:tcW w:w="1440" w:type="dxa"/>
            <w:shd w:val="clear" w:color="auto" w:fill="auto"/>
            <w:tcMar>
              <w:left w:w="58" w:type="dxa"/>
              <w:right w:w="58" w:type="dxa"/>
            </w:tcMar>
            <w:vAlign w:val="bottom"/>
          </w:tcPr>
          <w:p w14:paraId="261DAD24" w14:textId="49361270" w:rsidR="00097C0B" w:rsidRPr="001E6526" w:rsidRDefault="00A4254B" w:rsidP="00417ABD">
            <w:pPr>
              <w:pStyle w:val="TableText"/>
              <w:spacing w:after="0"/>
              <w:jc w:val="right"/>
              <w:rPr>
                <w:rFonts w:ascii="Arial" w:hAnsi="Arial"/>
                <w:sz w:val="18"/>
                <w:lang w:val="mk-MK"/>
              </w:rPr>
            </w:pPr>
            <w:r w:rsidRPr="001E6526">
              <w:rPr>
                <w:rFonts w:ascii="Arial" w:hAnsi="Arial"/>
                <w:sz w:val="18"/>
                <w:lang w:val="mk-MK"/>
              </w:rPr>
              <w:t>326</w:t>
            </w:r>
          </w:p>
        </w:tc>
      </w:tr>
      <w:tr w:rsidR="00097C0B" w:rsidRPr="001E6526" w14:paraId="39767BA1" w14:textId="77777777" w:rsidTr="0025712C">
        <w:trPr>
          <w:trHeight w:val="234"/>
        </w:trPr>
        <w:tc>
          <w:tcPr>
            <w:tcW w:w="5760" w:type="dxa"/>
            <w:shd w:val="clear" w:color="auto" w:fill="auto"/>
            <w:tcMar>
              <w:left w:w="58" w:type="dxa"/>
              <w:right w:w="58" w:type="dxa"/>
            </w:tcMar>
            <w:vAlign w:val="bottom"/>
          </w:tcPr>
          <w:p w14:paraId="6B109A2B" w14:textId="30BB8BA8" w:rsidR="00097C0B" w:rsidRPr="001E6526" w:rsidRDefault="00A416A3" w:rsidP="00417ABD">
            <w:pPr>
              <w:pStyle w:val="TableText"/>
              <w:spacing w:after="0"/>
              <w:rPr>
                <w:rFonts w:ascii="Arial" w:hAnsi="Arial"/>
                <w:sz w:val="18"/>
                <w:lang w:val="mk-MK"/>
              </w:rPr>
            </w:pPr>
            <w:proofErr w:type="spellStart"/>
            <w:r w:rsidRPr="00A416A3">
              <w:rPr>
                <w:rFonts w:ascii="Arial" w:hAnsi="Arial"/>
                <w:sz w:val="18"/>
                <w:lang w:val="mk-MK"/>
              </w:rPr>
              <w:t>Business</w:t>
            </w:r>
            <w:proofErr w:type="spellEnd"/>
            <w:r w:rsidRPr="00A416A3">
              <w:rPr>
                <w:rFonts w:ascii="Arial" w:hAnsi="Arial"/>
                <w:sz w:val="18"/>
                <w:lang w:val="mk-MK"/>
              </w:rPr>
              <w:t xml:space="preserve"> </w:t>
            </w:r>
            <w:proofErr w:type="spellStart"/>
            <w:r w:rsidRPr="00A416A3">
              <w:rPr>
                <w:rFonts w:ascii="Arial" w:hAnsi="Arial"/>
                <w:sz w:val="18"/>
                <w:lang w:val="mk-MK"/>
              </w:rPr>
              <w:t>trip</w:t>
            </w:r>
            <w:proofErr w:type="spellEnd"/>
            <w:r w:rsidRPr="00A416A3">
              <w:rPr>
                <w:rFonts w:ascii="Arial" w:hAnsi="Arial"/>
                <w:sz w:val="18"/>
                <w:lang w:val="mk-MK"/>
              </w:rPr>
              <w:t xml:space="preserve"> </w:t>
            </w:r>
            <w:proofErr w:type="spellStart"/>
            <w:r w:rsidRPr="00A416A3">
              <w:rPr>
                <w:rFonts w:ascii="Arial" w:hAnsi="Arial"/>
                <w:sz w:val="18"/>
                <w:lang w:val="mk-MK"/>
              </w:rPr>
              <w:t>expenses</w:t>
            </w:r>
            <w:proofErr w:type="spellEnd"/>
          </w:p>
        </w:tc>
        <w:tc>
          <w:tcPr>
            <w:tcW w:w="1440" w:type="dxa"/>
            <w:shd w:val="clear" w:color="auto" w:fill="auto"/>
            <w:tcMar>
              <w:left w:w="58" w:type="dxa"/>
              <w:right w:w="58" w:type="dxa"/>
            </w:tcMar>
            <w:vAlign w:val="bottom"/>
          </w:tcPr>
          <w:p w14:paraId="76F75AE7" w14:textId="6C12F539" w:rsidR="00097C0B" w:rsidRPr="001E6526" w:rsidRDefault="00874C1C" w:rsidP="00417ABD">
            <w:pPr>
              <w:pStyle w:val="TableText"/>
              <w:spacing w:after="0"/>
              <w:jc w:val="right"/>
              <w:rPr>
                <w:rFonts w:ascii="Arial" w:hAnsi="Arial"/>
                <w:sz w:val="18"/>
                <w:lang w:val="mk-MK"/>
              </w:rPr>
            </w:pPr>
            <w:r w:rsidRPr="001E6526">
              <w:rPr>
                <w:rFonts w:ascii="Arial" w:hAnsi="Arial"/>
                <w:sz w:val="18"/>
                <w:lang w:val="mk-MK"/>
              </w:rPr>
              <w:t>50</w:t>
            </w:r>
          </w:p>
        </w:tc>
        <w:tc>
          <w:tcPr>
            <w:tcW w:w="1440" w:type="dxa"/>
            <w:shd w:val="clear" w:color="auto" w:fill="auto"/>
            <w:tcMar>
              <w:left w:w="58" w:type="dxa"/>
              <w:right w:w="58" w:type="dxa"/>
            </w:tcMar>
            <w:vAlign w:val="bottom"/>
          </w:tcPr>
          <w:p w14:paraId="0A6756B8" w14:textId="2E30B9EB" w:rsidR="00097C0B" w:rsidRPr="001E6526" w:rsidRDefault="00A4254B" w:rsidP="00417ABD">
            <w:pPr>
              <w:pStyle w:val="TableText"/>
              <w:spacing w:after="0"/>
              <w:jc w:val="right"/>
              <w:rPr>
                <w:rFonts w:ascii="Arial" w:hAnsi="Arial"/>
                <w:sz w:val="18"/>
                <w:lang w:val="mk-MK"/>
              </w:rPr>
            </w:pPr>
            <w:r w:rsidRPr="001E6526">
              <w:rPr>
                <w:rFonts w:ascii="Arial" w:hAnsi="Arial"/>
                <w:sz w:val="18"/>
                <w:lang w:val="mk-MK"/>
              </w:rPr>
              <w:t>22</w:t>
            </w:r>
          </w:p>
        </w:tc>
      </w:tr>
      <w:tr w:rsidR="00097C0B" w:rsidRPr="001E6526" w14:paraId="289D3270" w14:textId="77777777" w:rsidTr="0025712C">
        <w:trPr>
          <w:trHeight w:val="234"/>
        </w:trPr>
        <w:tc>
          <w:tcPr>
            <w:tcW w:w="5760" w:type="dxa"/>
            <w:shd w:val="clear" w:color="auto" w:fill="auto"/>
            <w:tcMar>
              <w:left w:w="58" w:type="dxa"/>
              <w:right w:w="58" w:type="dxa"/>
            </w:tcMar>
            <w:vAlign w:val="bottom"/>
          </w:tcPr>
          <w:p w14:paraId="4AC4E405" w14:textId="53661037" w:rsidR="00097C0B" w:rsidRPr="00CE3053" w:rsidRDefault="00F25BB7" w:rsidP="00097C0B">
            <w:pPr>
              <w:pStyle w:val="TableText"/>
              <w:spacing w:after="0"/>
              <w:rPr>
                <w:rFonts w:ascii="Arial" w:hAnsi="Arial"/>
                <w:sz w:val="18"/>
                <w:lang w:val="mk-MK"/>
              </w:rPr>
            </w:pPr>
            <w:proofErr w:type="spellStart"/>
            <w:r w:rsidRPr="00F25BB7">
              <w:rPr>
                <w:rFonts w:ascii="Arial" w:hAnsi="Arial"/>
                <w:color w:val="000000"/>
                <w:sz w:val="18"/>
                <w:lang w:val="mk-MK"/>
              </w:rPr>
              <w:t>Costs</w:t>
            </w:r>
            <w:proofErr w:type="spellEnd"/>
            <w:r w:rsidRPr="00F25BB7">
              <w:rPr>
                <w:rFonts w:ascii="Arial" w:hAnsi="Arial"/>
                <w:color w:val="000000"/>
                <w:sz w:val="18"/>
                <w:lang w:val="mk-MK"/>
              </w:rPr>
              <w:t xml:space="preserve"> </w:t>
            </w:r>
            <w:proofErr w:type="spellStart"/>
            <w:r w:rsidRPr="00F25BB7">
              <w:rPr>
                <w:rFonts w:ascii="Arial" w:hAnsi="Arial"/>
                <w:color w:val="000000"/>
                <w:sz w:val="18"/>
                <w:lang w:val="mk-MK"/>
              </w:rPr>
              <w:t>for</w:t>
            </w:r>
            <w:proofErr w:type="spellEnd"/>
            <w:r w:rsidRPr="00F25BB7">
              <w:rPr>
                <w:rFonts w:ascii="Arial" w:hAnsi="Arial"/>
                <w:color w:val="000000"/>
                <w:sz w:val="18"/>
                <w:lang w:val="mk-MK"/>
              </w:rPr>
              <w:t xml:space="preserve"> </w:t>
            </w:r>
            <w:proofErr w:type="spellStart"/>
            <w:r w:rsidRPr="00F25BB7">
              <w:rPr>
                <w:rFonts w:ascii="Arial" w:hAnsi="Arial"/>
                <w:color w:val="000000"/>
                <w:sz w:val="18"/>
                <w:lang w:val="mk-MK"/>
              </w:rPr>
              <w:t>professional</w:t>
            </w:r>
            <w:proofErr w:type="spellEnd"/>
            <w:r w:rsidRPr="00F25BB7">
              <w:rPr>
                <w:rFonts w:ascii="Arial" w:hAnsi="Arial"/>
                <w:color w:val="000000"/>
                <w:sz w:val="18"/>
                <w:lang w:val="mk-MK"/>
              </w:rPr>
              <w:t xml:space="preserve"> </w:t>
            </w:r>
            <w:proofErr w:type="spellStart"/>
            <w:r w:rsidRPr="00F25BB7">
              <w:rPr>
                <w:rFonts w:ascii="Arial" w:hAnsi="Arial"/>
                <w:color w:val="000000"/>
                <w:sz w:val="18"/>
                <w:lang w:val="mk-MK"/>
              </w:rPr>
              <w:t>services</w:t>
            </w:r>
            <w:proofErr w:type="spellEnd"/>
            <w:r w:rsidRPr="00F25BB7">
              <w:rPr>
                <w:rFonts w:ascii="Arial" w:hAnsi="Arial"/>
                <w:color w:val="000000"/>
                <w:sz w:val="18"/>
                <w:lang w:val="mk-MK"/>
              </w:rPr>
              <w:t xml:space="preserve"> </w:t>
            </w:r>
            <w:proofErr w:type="spellStart"/>
            <w:r w:rsidRPr="00F25BB7">
              <w:rPr>
                <w:rFonts w:ascii="Arial" w:hAnsi="Arial"/>
                <w:color w:val="000000"/>
                <w:sz w:val="18"/>
                <w:lang w:val="mk-MK"/>
              </w:rPr>
              <w:t>and</w:t>
            </w:r>
            <w:proofErr w:type="spellEnd"/>
            <w:r w:rsidRPr="00F25BB7">
              <w:rPr>
                <w:rFonts w:ascii="Arial" w:hAnsi="Arial"/>
                <w:color w:val="000000"/>
                <w:sz w:val="18"/>
                <w:lang w:val="mk-MK"/>
              </w:rPr>
              <w:t xml:space="preserve"> </w:t>
            </w:r>
            <w:proofErr w:type="spellStart"/>
            <w:r w:rsidRPr="00F25BB7">
              <w:rPr>
                <w:rFonts w:ascii="Arial" w:hAnsi="Arial"/>
                <w:color w:val="000000"/>
                <w:sz w:val="18"/>
                <w:lang w:val="mk-MK"/>
              </w:rPr>
              <w:t>membership</w:t>
            </w:r>
            <w:proofErr w:type="spellEnd"/>
            <w:r w:rsidRPr="00F25BB7">
              <w:rPr>
                <w:rFonts w:ascii="Arial" w:hAnsi="Arial"/>
                <w:color w:val="000000"/>
                <w:sz w:val="18"/>
                <w:lang w:val="mk-MK"/>
              </w:rPr>
              <w:t xml:space="preserve"> </w:t>
            </w:r>
            <w:proofErr w:type="spellStart"/>
            <w:r w:rsidRPr="00F25BB7">
              <w:rPr>
                <w:rFonts w:ascii="Arial" w:hAnsi="Arial"/>
                <w:color w:val="000000"/>
                <w:sz w:val="18"/>
                <w:lang w:val="mk-MK"/>
              </w:rPr>
              <w:t>fees</w:t>
            </w:r>
            <w:proofErr w:type="spellEnd"/>
          </w:p>
        </w:tc>
        <w:tc>
          <w:tcPr>
            <w:tcW w:w="1440" w:type="dxa"/>
            <w:shd w:val="clear" w:color="auto" w:fill="auto"/>
            <w:tcMar>
              <w:left w:w="58" w:type="dxa"/>
              <w:right w:w="58" w:type="dxa"/>
            </w:tcMar>
            <w:vAlign w:val="bottom"/>
          </w:tcPr>
          <w:p w14:paraId="7E6C6D34" w14:textId="25CE7512" w:rsidR="00097C0B" w:rsidRPr="001E6526" w:rsidRDefault="00874C1C" w:rsidP="00097C0B">
            <w:pPr>
              <w:pStyle w:val="TableText"/>
              <w:spacing w:after="0"/>
              <w:jc w:val="right"/>
              <w:rPr>
                <w:rFonts w:ascii="Arial" w:hAnsi="Arial"/>
                <w:sz w:val="18"/>
                <w:lang w:val="mk-MK"/>
              </w:rPr>
            </w:pPr>
            <w:r w:rsidRPr="001E6526">
              <w:rPr>
                <w:rFonts w:ascii="Arial" w:hAnsi="Arial"/>
                <w:sz w:val="18"/>
                <w:lang w:val="mk-MK"/>
              </w:rPr>
              <w:t>617</w:t>
            </w:r>
          </w:p>
        </w:tc>
        <w:tc>
          <w:tcPr>
            <w:tcW w:w="1440" w:type="dxa"/>
            <w:shd w:val="clear" w:color="auto" w:fill="auto"/>
            <w:tcMar>
              <w:left w:w="58" w:type="dxa"/>
              <w:right w:w="58" w:type="dxa"/>
            </w:tcMar>
            <w:vAlign w:val="bottom"/>
          </w:tcPr>
          <w:p w14:paraId="20A6587B" w14:textId="759762A5" w:rsidR="00097C0B" w:rsidRPr="001E6526" w:rsidRDefault="00A4254B" w:rsidP="00097C0B">
            <w:pPr>
              <w:pStyle w:val="TableText"/>
              <w:spacing w:after="0"/>
              <w:jc w:val="right"/>
              <w:rPr>
                <w:rFonts w:ascii="Arial" w:hAnsi="Arial"/>
                <w:sz w:val="18"/>
                <w:lang w:val="mk-MK"/>
              </w:rPr>
            </w:pPr>
            <w:r w:rsidRPr="001E6526">
              <w:rPr>
                <w:rFonts w:ascii="Arial" w:hAnsi="Arial"/>
                <w:sz w:val="18"/>
                <w:lang w:val="mk-MK"/>
              </w:rPr>
              <w:t>661</w:t>
            </w:r>
          </w:p>
        </w:tc>
      </w:tr>
      <w:tr w:rsidR="00097C0B" w:rsidRPr="001E6526" w14:paraId="5AFEC7F3" w14:textId="77777777" w:rsidTr="0025712C">
        <w:trPr>
          <w:trHeight w:val="234"/>
        </w:trPr>
        <w:tc>
          <w:tcPr>
            <w:tcW w:w="5760" w:type="dxa"/>
            <w:shd w:val="clear" w:color="auto" w:fill="auto"/>
            <w:tcMar>
              <w:left w:w="58" w:type="dxa"/>
              <w:right w:w="58" w:type="dxa"/>
            </w:tcMar>
            <w:vAlign w:val="bottom"/>
          </w:tcPr>
          <w:p w14:paraId="0C0E3CBB" w14:textId="3BE631F0" w:rsidR="00097C0B" w:rsidRPr="00CE3053" w:rsidRDefault="00A416A3" w:rsidP="00097C0B">
            <w:pPr>
              <w:pStyle w:val="TableText"/>
              <w:spacing w:after="0"/>
              <w:rPr>
                <w:rFonts w:ascii="Arial" w:hAnsi="Arial"/>
                <w:sz w:val="18"/>
                <w:lang w:val="mk-MK"/>
              </w:rPr>
            </w:pPr>
            <w:proofErr w:type="spellStart"/>
            <w:r w:rsidRPr="00A416A3">
              <w:rPr>
                <w:rFonts w:ascii="Arial" w:hAnsi="Arial"/>
                <w:sz w:val="18"/>
                <w:lang w:val="mk-MK"/>
              </w:rPr>
              <w:t>Telecommunication</w:t>
            </w:r>
            <w:proofErr w:type="spellEnd"/>
            <w:r w:rsidRPr="00A416A3">
              <w:rPr>
                <w:rFonts w:ascii="Arial" w:hAnsi="Arial"/>
                <w:sz w:val="18"/>
                <w:lang w:val="mk-MK"/>
              </w:rPr>
              <w:t xml:space="preserve"> </w:t>
            </w:r>
            <w:proofErr w:type="spellStart"/>
            <w:r w:rsidRPr="00A416A3">
              <w:rPr>
                <w:rFonts w:ascii="Arial" w:hAnsi="Arial"/>
                <w:sz w:val="18"/>
                <w:lang w:val="mk-MK"/>
              </w:rPr>
              <w:t>services</w:t>
            </w:r>
            <w:proofErr w:type="spellEnd"/>
          </w:p>
        </w:tc>
        <w:tc>
          <w:tcPr>
            <w:tcW w:w="1440" w:type="dxa"/>
            <w:shd w:val="clear" w:color="auto" w:fill="auto"/>
            <w:tcMar>
              <w:left w:w="58" w:type="dxa"/>
              <w:right w:w="58" w:type="dxa"/>
            </w:tcMar>
            <w:vAlign w:val="bottom"/>
          </w:tcPr>
          <w:p w14:paraId="193C96CC" w14:textId="77777777" w:rsidR="00097C0B" w:rsidRPr="001E6526" w:rsidRDefault="00097C0B" w:rsidP="00097C0B">
            <w:pPr>
              <w:pStyle w:val="TableText"/>
              <w:spacing w:after="0"/>
              <w:jc w:val="right"/>
              <w:rPr>
                <w:rFonts w:ascii="Arial" w:hAnsi="Arial"/>
                <w:sz w:val="18"/>
                <w:lang w:val="mk-MK"/>
              </w:rPr>
            </w:pPr>
            <w:r w:rsidRPr="001E6526">
              <w:rPr>
                <w:rFonts w:ascii="Arial" w:hAnsi="Arial"/>
                <w:sz w:val="18"/>
                <w:lang w:val="mk-MK"/>
              </w:rPr>
              <w:t>162</w:t>
            </w:r>
          </w:p>
        </w:tc>
        <w:tc>
          <w:tcPr>
            <w:tcW w:w="1440" w:type="dxa"/>
            <w:shd w:val="clear" w:color="auto" w:fill="auto"/>
            <w:tcMar>
              <w:left w:w="58" w:type="dxa"/>
              <w:right w:w="58" w:type="dxa"/>
            </w:tcMar>
            <w:vAlign w:val="bottom"/>
          </w:tcPr>
          <w:p w14:paraId="4471C0D0" w14:textId="17E1BDDC" w:rsidR="00097C0B" w:rsidRPr="00CE3053" w:rsidRDefault="00097C0B" w:rsidP="00097C0B">
            <w:pPr>
              <w:pStyle w:val="TableText"/>
              <w:spacing w:after="0"/>
              <w:jc w:val="right"/>
              <w:rPr>
                <w:rFonts w:ascii="Arial" w:hAnsi="Arial"/>
                <w:sz w:val="18"/>
                <w:lang w:val="mk-MK"/>
              </w:rPr>
            </w:pPr>
            <w:r w:rsidRPr="001E6526">
              <w:rPr>
                <w:rFonts w:ascii="Arial" w:hAnsi="Arial"/>
                <w:sz w:val="18"/>
                <w:lang w:val="mk-MK"/>
              </w:rPr>
              <w:t>162</w:t>
            </w:r>
          </w:p>
        </w:tc>
      </w:tr>
      <w:tr w:rsidR="00A4254B" w:rsidRPr="001E6526" w14:paraId="37D5630E" w14:textId="77777777" w:rsidTr="0025712C">
        <w:trPr>
          <w:trHeight w:val="234"/>
        </w:trPr>
        <w:tc>
          <w:tcPr>
            <w:tcW w:w="5760" w:type="dxa"/>
            <w:shd w:val="clear" w:color="auto" w:fill="auto"/>
            <w:tcMar>
              <w:left w:w="58" w:type="dxa"/>
              <w:right w:w="58" w:type="dxa"/>
            </w:tcMar>
            <w:vAlign w:val="bottom"/>
          </w:tcPr>
          <w:p w14:paraId="7BBF93B0" w14:textId="555E8A10" w:rsidR="00A4254B" w:rsidRPr="001E6526" w:rsidRDefault="00A416A3" w:rsidP="00097C0B">
            <w:pPr>
              <w:pStyle w:val="TableText"/>
              <w:spacing w:after="0"/>
              <w:rPr>
                <w:rFonts w:ascii="Arial" w:hAnsi="Arial"/>
                <w:sz w:val="18"/>
                <w:lang w:val="mk-MK"/>
              </w:rPr>
            </w:pPr>
            <w:proofErr w:type="spellStart"/>
            <w:r w:rsidRPr="00A416A3">
              <w:rPr>
                <w:rFonts w:ascii="Arial" w:hAnsi="Arial"/>
                <w:sz w:val="18"/>
                <w:lang w:val="mk-MK"/>
              </w:rPr>
              <w:t>Administrative</w:t>
            </w:r>
            <w:proofErr w:type="spellEnd"/>
            <w:r w:rsidRPr="00A416A3">
              <w:rPr>
                <w:rFonts w:ascii="Arial" w:hAnsi="Arial"/>
                <w:sz w:val="18"/>
                <w:lang w:val="mk-MK"/>
              </w:rPr>
              <w:t xml:space="preserve"> </w:t>
            </w:r>
            <w:proofErr w:type="spellStart"/>
            <w:r w:rsidRPr="00A416A3">
              <w:rPr>
                <w:rFonts w:ascii="Arial" w:hAnsi="Arial"/>
                <w:sz w:val="18"/>
                <w:lang w:val="mk-MK"/>
              </w:rPr>
              <w:t>and</w:t>
            </w:r>
            <w:proofErr w:type="spellEnd"/>
            <w:r w:rsidRPr="00A416A3">
              <w:rPr>
                <w:rFonts w:ascii="Arial" w:hAnsi="Arial"/>
                <w:sz w:val="18"/>
                <w:lang w:val="mk-MK"/>
              </w:rPr>
              <w:t xml:space="preserve"> </w:t>
            </w:r>
            <w:proofErr w:type="spellStart"/>
            <w:r w:rsidRPr="00A416A3">
              <w:rPr>
                <w:rFonts w:ascii="Arial" w:hAnsi="Arial"/>
                <w:sz w:val="18"/>
                <w:lang w:val="mk-MK"/>
              </w:rPr>
              <w:t>marketing</w:t>
            </w:r>
            <w:proofErr w:type="spellEnd"/>
            <w:r w:rsidRPr="00A416A3">
              <w:rPr>
                <w:rFonts w:ascii="Arial" w:hAnsi="Arial"/>
                <w:sz w:val="18"/>
                <w:lang w:val="mk-MK"/>
              </w:rPr>
              <w:t xml:space="preserve"> </w:t>
            </w:r>
            <w:proofErr w:type="spellStart"/>
            <w:r w:rsidRPr="00A416A3">
              <w:rPr>
                <w:rFonts w:ascii="Arial" w:hAnsi="Arial"/>
                <w:sz w:val="18"/>
                <w:lang w:val="mk-MK"/>
              </w:rPr>
              <w:t>expenses</w:t>
            </w:r>
            <w:proofErr w:type="spellEnd"/>
          </w:p>
        </w:tc>
        <w:tc>
          <w:tcPr>
            <w:tcW w:w="1440" w:type="dxa"/>
            <w:shd w:val="clear" w:color="auto" w:fill="auto"/>
            <w:tcMar>
              <w:left w:w="58" w:type="dxa"/>
              <w:right w:w="58" w:type="dxa"/>
            </w:tcMar>
            <w:vAlign w:val="bottom"/>
          </w:tcPr>
          <w:p w14:paraId="7F91CA95" w14:textId="3EDDD52B" w:rsidR="00A4254B" w:rsidRPr="001E6526" w:rsidRDefault="00874C1C" w:rsidP="00097C0B">
            <w:pPr>
              <w:pStyle w:val="TableText"/>
              <w:spacing w:after="0"/>
              <w:jc w:val="right"/>
              <w:rPr>
                <w:rFonts w:ascii="Arial" w:hAnsi="Arial"/>
                <w:sz w:val="18"/>
                <w:lang w:val="mk-MK"/>
              </w:rPr>
            </w:pPr>
            <w:r w:rsidRPr="001E6526">
              <w:rPr>
                <w:rFonts w:ascii="Arial" w:hAnsi="Arial"/>
                <w:sz w:val="18"/>
                <w:lang w:val="mk-MK"/>
              </w:rPr>
              <w:t>179</w:t>
            </w:r>
          </w:p>
        </w:tc>
        <w:tc>
          <w:tcPr>
            <w:tcW w:w="1440" w:type="dxa"/>
            <w:shd w:val="clear" w:color="auto" w:fill="auto"/>
            <w:tcMar>
              <w:left w:w="58" w:type="dxa"/>
              <w:right w:w="58" w:type="dxa"/>
            </w:tcMar>
            <w:vAlign w:val="bottom"/>
          </w:tcPr>
          <w:p w14:paraId="1715BBE1" w14:textId="019566C3" w:rsidR="00A4254B" w:rsidRPr="001E6526" w:rsidRDefault="00A4254B" w:rsidP="00097C0B">
            <w:pPr>
              <w:pStyle w:val="TableText"/>
              <w:spacing w:after="0"/>
              <w:jc w:val="right"/>
              <w:rPr>
                <w:rFonts w:ascii="Arial" w:hAnsi="Arial"/>
                <w:sz w:val="18"/>
                <w:lang w:val="mk-MK"/>
              </w:rPr>
            </w:pPr>
            <w:r w:rsidRPr="001E6526">
              <w:rPr>
                <w:rFonts w:ascii="Arial" w:hAnsi="Arial"/>
                <w:sz w:val="18"/>
                <w:lang w:val="mk-MK"/>
              </w:rPr>
              <w:t>117</w:t>
            </w:r>
          </w:p>
        </w:tc>
      </w:tr>
      <w:tr w:rsidR="00A4254B" w:rsidRPr="001E6526" w14:paraId="757D1E28" w14:textId="77777777" w:rsidTr="0025712C">
        <w:trPr>
          <w:trHeight w:val="234"/>
        </w:trPr>
        <w:tc>
          <w:tcPr>
            <w:tcW w:w="5760" w:type="dxa"/>
            <w:shd w:val="clear" w:color="auto" w:fill="auto"/>
            <w:tcMar>
              <w:left w:w="58" w:type="dxa"/>
              <w:right w:w="58" w:type="dxa"/>
            </w:tcMar>
            <w:vAlign w:val="bottom"/>
          </w:tcPr>
          <w:p w14:paraId="69F8442A" w14:textId="7F8F039A" w:rsidR="00A4254B" w:rsidRPr="001E6526" w:rsidRDefault="00A416A3" w:rsidP="00097C0B">
            <w:pPr>
              <w:pStyle w:val="TableText"/>
              <w:spacing w:after="0"/>
              <w:rPr>
                <w:rFonts w:ascii="Arial" w:hAnsi="Arial"/>
                <w:sz w:val="18"/>
                <w:lang w:val="mk-MK"/>
              </w:rPr>
            </w:pPr>
            <w:proofErr w:type="spellStart"/>
            <w:r w:rsidRPr="00A416A3">
              <w:rPr>
                <w:rFonts w:ascii="Arial" w:hAnsi="Arial"/>
                <w:sz w:val="18"/>
                <w:lang w:val="mk-MK"/>
              </w:rPr>
              <w:t>Vehicle</w:t>
            </w:r>
            <w:proofErr w:type="spellEnd"/>
            <w:r w:rsidRPr="00A416A3">
              <w:rPr>
                <w:rFonts w:ascii="Arial" w:hAnsi="Arial"/>
                <w:sz w:val="18"/>
                <w:lang w:val="mk-MK"/>
              </w:rPr>
              <w:t xml:space="preserve"> </w:t>
            </w:r>
            <w:proofErr w:type="spellStart"/>
            <w:r w:rsidRPr="00A416A3">
              <w:rPr>
                <w:rFonts w:ascii="Arial" w:hAnsi="Arial"/>
                <w:sz w:val="18"/>
                <w:lang w:val="mk-MK"/>
              </w:rPr>
              <w:t>expenses</w:t>
            </w:r>
            <w:proofErr w:type="spellEnd"/>
          </w:p>
        </w:tc>
        <w:tc>
          <w:tcPr>
            <w:tcW w:w="1440" w:type="dxa"/>
            <w:shd w:val="clear" w:color="auto" w:fill="auto"/>
            <w:tcMar>
              <w:left w:w="58" w:type="dxa"/>
              <w:right w:w="58" w:type="dxa"/>
            </w:tcMar>
            <w:vAlign w:val="bottom"/>
          </w:tcPr>
          <w:p w14:paraId="745BE9E1" w14:textId="0733D824" w:rsidR="00A4254B" w:rsidRPr="001E6526" w:rsidRDefault="00874C1C" w:rsidP="00097C0B">
            <w:pPr>
              <w:pStyle w:val="TableText"/>
              <w:spacing w:after="0"/>
              <w:jc w:val="right"/>
              <w:rPr>
                <w:rFonts w:ascii="Arial" w:hAnsi="Arial"/>
                <w:sz w:val="18"/>
                <w:lang w:val="mk-MK"/>
              </w:rPr>
            </w:pPr>
            <w:r w:rsidRPr="001E6526">
              <w:rPr>
                <w:rFonts w:ascii="Arial" w:hAnsi="Arial"/>
                <w:sz w:val="18"/>
                <w:lang w:val="mk-MK"/>
              </w:rPr>
              <w:t>117</w:t>
            </w:r>
          </w:p>
        </w:tc>
        <w:tc>
          <w:tcPr>
            <w:tcW w:w="1440" w:type="dxa"/>
            <w:shd w:val="clear" w:color="auto" w:fill="auto"/>
            <w:tcMar>
              <w:left w:w="58" w:type="dxa"/>
              <w:right w:w="58" w:type="dxa"/>
            </w:tcMar>
            <w:vAlign w:val="bottom"/>
          </w:tcPr>
          <w:p w14:paraId="052848CA" w14:textId="50B16105" w:rsidR="00A4254B" w:rsidRPr="001E6526" w:rsidRDefault="00A4254B" w:rsidP="00097C0B">
            <w:pPr>
              <w:pStyle w:val="TableText"/>
              <w:spacing w:after="0"/>
              <w:jc w:val="right"/>
              <w:rPr>
                <w:rFonts w:ascii="Arial" w:hAnsi="Arial"/>
                <w:sz w:val="18"/>
                <w:lang w:val="mk-MK"/>
              </w:rPr>
            </w:pPr>
            <w:r w:rsidRPr="001E6526">
              <w:rPr>
                <w:rFonts w:ascii="Arial" w:hAnsi="Arial"/>
                <w:sz w:val="18"/>
                <w:lang w:val="mk-MK"/>
              </w:rPr>
              <w:t>177</w:t>
            </w:r>
          </w:p>
        </w:tc>
      </w:tr>
      <w:tr w:rsidR="00097C0B" w:rsidRPr="001E6526" w14:paraId="42BBDC29" w14:textId="77777777" w:rsidTr="0025712C">
        <w:trPr>
          <w:trHeight w:val="216"/>
        </w:trPr>
        <w:tc>
          <w:tcPr>
            <w:tcW w:w="5760" w:type="dxa"/>
            <w:shd w:val="clear" w:color="auto" w:fill="auto"/>
            <w:tcMar>
              <w:left w:w="58" w:type="dxa"/>
              <w:right w:w="58" w:type="dxa"/>
            </w:tcMar>
            <w:vAlign w:val="bottom"/>
          </w:tcPr>
          <w:p w14:paraId="50165D21" w14:textId="3990FFAF" w:rsidR="00097C0B" w:rsidRPr="00CE3053" w:rsidRDefault="00A416A3" w:rsidP="00097C0B">
            <w:pPr>
              <w:spacing w:after="0"/>
              <w:rPr>
                <w:rFonts w:ascii="Arial" w:hAnsi="Arial" w:cs="Arial"/>
                <w:color w:val="000000"/>
                <w:lang w:val="mk-MK"/>
              </w:rPr>
            </w:pPr>
            <w:proofErr w:type="spellStart"/>
            <w:r w:rsidRPr="00A416A3">
              <w:rPr>
                <w:rFonts w:ascii="Arial" w:hAnsi="Arial" w:cs="Arial"/>
                <w:color w:val="000000"/>
                <w:lang w:val="mk-MK"/>
              </w:rPr>
              <w:t>Insurance</w:t>
            </w:r>
            <w:proofErr w:type="spellEnd"/>
            <w:r w:rsidRPr="00A416A3">
              <w:rPr>
                <w:rFonts w:ascii="Arial" w:hAnsi="Arial" w:cs="Arial"/>
                <w:color w:val="000000"/>
                <w:lang w:val="mk-MK"/>
              </w:rPr>
              <w:t xml:space="preserve"> </w:t>
            </w:r>
            <w:proofErr w:type="spellStart"/>
            <w:r w:rsidRPr="00A416A3">
              <w:rPr>
                <w:rFonts w:ascii="Arial" w:hAnsi="Arial" w:cs="Arial"/>
                <w:color w:val="000000"/>
                <w:lang w:val="mk-MK"/>
              </w:rPr>
              <w:t>premiums</w:t>
            </w:r>
            <w:proofErr w:type="spellEnd"/>
          </w:p>
        </w:tc>
        <w:tc>
          <w:tcPr>
            <w:tcW w:w="1440" w:type="dxa"/>
            <w:shd w:val="clear" w:color="auto" w:fill="auto"/>
            <w:tcMar>
              <w:left w:w="58" w:type="dxa"/>
              <w:right w:w="58" w:type="dxa"/>
            </w:tcMar>
            <w:vAlign w:val="bottom"/>
          </w:tcPr>
          <w:p w14:paraId="04FFA098" w14:textId="4929D812" w:rsidR="00097C0B" w:rsidRPr="001E6526" w:rsidRDefault="00874C1C" w:rsidP="00097C0B">
            <w:pPr>
              <w:spacing w:after="0"/>
              <w:jc w:val="right"/>
              <w:rPr>
                <w:rFonts w:ascii="Arial" w:hAnsi="Arial" w:cs="Arial"/>
                <w:color w:val="000000"/>
                <w:lang w:val="mk-MK"/>
              </w:rPr>
            </w:pPr>
            <w:r w:rsidRPr="001E6526">
              <w:rPr>
                <w:rFonts w:ascii="Arial" w:hAnsi="Arial" w:cs="Arial"/>
                <w:color w:val="000000"/>
                <w:lang w:val="mk-MK"/>
              </w:rPr>
              <w:t>45</w:t>
            </w:r>
          </w:p>
        </w:tc>
        <w:tc>
          <w:tcPr>
            <w:tcW w:w="1440" w:type="dxa"/>
            <w:shd w:val="clear" w:color="auto" w:fill="auto"/>
            <w:tcMar>
              <w:left w:w="58" w:type="dxa"/>
              <w:right w:w="58" w:type="dxa"/>
            </w:tcMar>
            <w:vAlign w:val="bottom"/>
          </w:tcPr>
          <w:p w14:paraId="5DC0A662" w14:textId="25578A8D" w:rsidR="00097C0B" w:rsidRPr="00CE3053" w:rsidRDefault="00097C0B" w:rsidP="00097C0B">
            <w:pPr>
              <w:spacing w:after="0"/>
              <w:jc w:val="right"/>
              <w:rPr>
                <w:rFonts w:ascii="Arial" w:hAnsi="Arial" w:cs="Arial"/>
                <w:color w:val="000000"/>
                <w:lang w:val="mk-MK"/>
              </w:rPr>
            </w:pPr>
            <w:r w:rsidRPr="001E6526">
              <w:rPr>
                <w:rFonts w:ascii="Arial" w:hAnsi="Arial" w:cs="Arial"/>
                <w:color w:val="000000"/>
                <w:lang w:val="mk-MK"/>
              </w:rPr>
              <w:t>48</w:t>
            </w:r>
          </w:p>
        </w:tc>
      </w:tr>
      <w:tr w:rsidR="00097C0B" w:rsidRPr="001E6526" w14:paraId="0F92A947" w14:textId="77777777" w:rsidTr="0025712C">
        <w:trPr>
          <w:trHeight w:val="234"/>
        </w:trPr>
        <w:tc>
          <w:tcPr>
            <w:tcW w:w="5760" w:type="dxa"/>
            <w:shd w:val="clear" w:color="auto" w:fill="auto"/>
            <w:tcMar>
              <w:left w:w="58" w:type="dxa"/>
              <w:right w:w="58" w:type="dxa"/>
            </w:tcMar>
            <w:vAlign w:val="bottom"/>
          </w:tcPr>
          <w:p w14:paraId="3BF9F393" w14:textId="4B3DA2CA" w:rsidR="00097C0B" w:rsidRPr="001E6526" w:rsidRDefault="00A416A3" w:rsidP="00097C0B">
            <w:pPr>
              <w:pStyle w:val="TableText"/>
              <w:spacing w:after="0"/>
              <w:rPr>
                <w:rFonts w:ascii="Arial" w:hAnsi="Arial"/>
                <w:sz w:val="18"/>
                <w:lang w:val="mk-MK"/>
              </w:rPr>
            </w:pPr>
            <w:proofErr w:type="spellStart"/>
            <w:r w:rsidRPr="00A416A3">
              <w:rPr>
                <w:rFonts w:ascii="Arial" w:hAnsi="Arial"/>
                <w:sz w:val="18"/>
                <w:lang w:val="mk-MK"/>
              </w:rPr>
              <w:t>Maintenance</w:t>
            </w:r>
            <w:proofErr w:type="spellEnd"/>
            <w:r w:rsidRPr="00A416A3">
              <w:rPr>
                <w:rFonts w:ascii="Arial" w:hAnsi="Arial"/>
                <w:sz w:val="18"/>
                <w:lang w:val="mk-MK"/>
              </w:rPr>
              <w:t xml:space="preserve"> </w:t>
            </w:r>
            <w:proofErr w:type="spellStart"/>
            <w:r w:rsidRPr="00A416A3">
              <w:rPr>
                <w:rFonts w:ascii="Arial" w:hAnsi="Arial"/>
                <w:sz w:val="18"/>
                <w:lang w:val="mk-MK"/>
              </w:rPr>
              <w:t>services</w:t>
            </w:r>
            <w:proofErr w:type="spellEnd"/>
          </w:p>
        </w:tc>
        <w:tc>
          <w:tcPr>
            <w:tcW w:w="1440" w:type="dxa"/>
            <w:shd w:val="clear" w:color="auto" w:fill="auto"/>
            <w:tcMar>
              <w:left w:w="58" w:type="dxa"/>
              <w:right w:w="58" w:type="dxa"/>
            </w:tcMar>
            <w:vAlign w:val="bottom"/>
          </w:tcPr>
          <w:p w14:paraId="7F0230B4" w14:textId="2DAEE429" w:rsidR="00097C0B" w:rsidRPr="001E6526" w:rsidRDefault="00874C1C" w:rsidP="00097C0B">
            <w:pPr>
              <w:pStyle w:val="TableText"/>
              <w:spacing w:after="0"/>
              <w:jc w:val="right"/>
              <w:rPr>
                <w:rFonts w:ascii="Arial" w:hAnsi="Arial"/>
                <w:sz w:val="18"/>
                <w:lang w:val="mk-MK"/>
              </w:rPr>
            </w:pPr>
            <w:r w:rsidRPr="001E6526">
              <w:rPr>
                <w:rFonts w:ascii="Arial" w:hAnsi="Arial"/>
                <w:sz w:val="18"/>
                <w:lang w:val="mk-MK"/>
              </w:rPr>
              <w:t>201</w:t>
            </w:r>
          </w:p>
        </w:tc>
        <w:tc>
          <w:tcPr>
            <w:tcW w:w="1440" w:type="dxa"/>
            <w:shd w:val="clear" w:color="auto" w:fill="auto"/>
            <w:tcMar>
              <w:left w:w="58" w:type="dxa"/>
              <w:right w:w="58" w:type="dxa"/>
            </w:tcMar>
            <w:vAlign w:val="bottom"/>
          </w:tcPr>
          <w:p w14:paraId="12137596" w14:textId="33923F45" w:rsidR="00097C0B" w:rsidRPr="001E6526" w:rsidRDefault="00A4254B" w:rsidP="00097C0B">
            <w:pPr>
              <w:pStyle w:val="TableText"/>
              <w:spacing w:after="0"/>
              <w:jc w:val="right"/>
              <w:rPr>
                <w:rFonts w:ascii="Arial" w:hAnsi="Arial"/>
                <w:sz w:val="18"/>
                <w:lang w:val="mk-MK"/>
              </w:rPr>
            </w:pPr>
            <w:r w:rsidRPr="001E6526">
              <w:rPr>
                <w:rFonts w:ascii="Arial" w:hAnsi="Arial"/>
                <w:sz w:val="18"/>
                <w:lang w:val="mk-MK"/>
              </w:rPr>
              <w:t>181</w:t>
            </w:r>
          </w:p>
        </w:tc>
      </w:tr>
      <w:tr w:rsidR="00F25BB7" w:rsidRPr="001E6526" w14:paraId="7EBAFF1F" w14:textId="77777777" w:rsidTr="001C1C4F">
        <w:trPr>
          <w:trHeight w:val="216"/>
        </w:trPr>
        <w:tc>
          <w:tcPr>
            <w:tcW w:w="5760" w:type="dxa"/>
            <w:shd w:val="clear" w:color="auto" w:fill="auto"/>
            <w:tcMar>
              <w:left w:w="58" w:type="dxa"/>
              <w:right w:w="58" w:type="dxa"/>
            </w:tcMar>
          </w:tcPr>
          <w:p w14:paraId="0874BB99" w14:textId="1F1338B8" w:rsidR="00F25BB7" w:rsidRPr="00CE3053" w:rsidRDefault="00F25BB7" w:rsidP="00F25BB7">
            <w:pPr>
              <w:spacing w:after="0"/>
              <w:rPr>
                <w:rFonts w:ascii="Arial" w:hAnsi="Arial" w:cs="Arial"/>
                <w:color w:val="000000"/>
                <w:lang w:val="mk-MK"/>
              </w:rPr>
            </w:pPr>
            <w:r w:rsidRPr="00073FBC">
              <w:t>Impairment of investments</w:t>
            </w:r>
          </w:p>
        </w:tc>
        <w:tc>
          <w:tcPr>
            <w:tcW w:w="1440" w:type="dxa"/>
            <w:shd w:val="clear" w:color="auto" w:fill="auto"/>
            <w:tcMar>
              <w:left w:w="58" w:type="dxa"/>
              <w:right w:w="58" w:type="dxa"/>
            </w:tcMar>
            <w:vAlign w:val="bottom"/>
          </w:tcPr>
          <w:p w14:paraId="014D95E8" w14:textId="34364738" w:rsidR="00F25BB7" w:rsidRPr="001E6526" w:rsidRDefault="00F25BB7" w:rsidP="00F25BB7">
            <w:pPr>
              <w:spacing w:after="0"/>
              <w:jc w:val="right"/>
              <w:rPr>
                <w:rFonts w:ascii="Arial" w:hAnsi="Arial" w:cs="Arial"/>
                <w:color w:val="000000"/>
                <w:lang w:val="mk-MK"/>
              </w:rPr>
            </w:pPr>
            <w:r w:rsidRPr="001E6526">
              <w:rPr>
                <w:rFonts w:ascii="Arial" w:hAnsi="Arial" w:cs="Arial"/>
                <w:color w:val="000000"/>
                <w:lang w:val="mk-MK"/>
              </w:rPr>
              <w:t>529</w:t>
            </w:r>
          </w:p>
        </w:tc>
        <w:tc>
          <w:tcPr>
            <w:tcW w:w="1440" w:type="dxa"/>
            <w:shd w:val="clear" w:color="auto" w:fill="auto"/>
            <w:tcMar>
              <w:left w:w="58" w:type="dxa"/>
              <w:right w:w="58" w:type="dxa"/>
            </w:tcMar>
            <w:vAlign w:val="bottom"/>
          </w:tcPr>
          <w:p w14:paraId="187C9709" w14:textId="41B4C237" w:rsidR="00F25BB7" w:rsidRPr="001E6526" w:rsidRDefault="00F25BB7" w:rsidP="00F25BB7">
            <w:pPr>
              <w:spacing w:after="0"/>
              <w:jc w:val="right"/>
              <w:rPr>
                <w:rFonts w:ascii="Arial" w:hAnsi="Arial" w:cs="Arial"/>
                <w:color w:val="000000"/>
                <w:lang w:val="mk-MK"/>
              </w:rPr>
            </w:pPr>
            <w:r w:rsidRPr="001E6526">
              <w:rPr>
                <w:rFonts w:ascii="Arial" w:hAnsi="Arial" w:cs="Arial"/>
                <w:color w:val="000000"/>
                <w:lang w:val="mk-MK"/>
              </w:rPr>
              <w:t>236</w:t>
            </w:r>
          </w:p>
        </w:tc>
      </w:tr>
      <w:tr w:rsidR="00F25BB7" w:rsidRPr="001E6526" w14:paraId="253D7ABF" w14:textId="77777777" w:rsidTr="001C1C4F">
        <w:trPr>
          <w:trHeight w:val="216"/>
        </w:trPr>
        <w:tc>
          <w:tcPr>
            <w:tcW w:w="5760" w:type="dxa"/>
            <w:shd w:val="clear" w:color="auto" w:fill="auto"/>
            <w:tcMar>
              <w:left w:w="58" w:type="dxa"/>
              <w:right w:w="58" w:type="dxa"/>
            </w:tcMar>
          </w:tcPr>
          <w:p w14:paraId="6ED62235" w14:textId="556D34D8" w:rsidR="00F25BB7" w:rsidRPr="001E6526" w:rsidRDefault="00F25BB7" w:rsidP="00F25BB7">
            <w:pPr>
              <w:spacing w:after="0"/>
              <w:rPr>
                <w:rFonts w:ascii="Arial" w:hAnsi="Arial" w:cs="Arial"/>
                <w:color w:val="000000"/>
                <w:lang w:val="mk-MK"/>
              </w:rPr>
            </w:pPr>
            <w:r w:rsidRPr="00073FBC">
              <w:t>Loss from the sale of financial assets</w:t>
            </w:r>
          </w:p>
        </w:tc>
        <w:tc>
          <w:tcPr>
            <w:tcW w:w="1440" w:type="dxa"/>
            <w:shd w:val="clear" w:color="auto" w:fill="auto"/>
            <w:tcMar>
              <w:left w:w="58" w:type="dxa"/>
              <w:right w:w="58" w:type="dxa"/>
            </w:tcMar>
            <w:vAlign w:val="bottom"/>
          </w:tcPr>
          <w:p w14:paraId="27EB3DBF" w14:textId="21570E94" w:rsidR="00F25BB7" w:rsidRPr="001E6526" w:rsidRDefault="00F25BB7" w:rsidP="00F25BB7">
            <w:pPr>
              <w:spacing w:after="0"/>
              <w:jc w:val="right"/>
              <w:rPr>
                <w:rFonts w:ascii="Arial" w:hAnsi="Arial" w:cs="Arial"/>
                <w:color w:val="000000"/>
                <w:lang w:val="mk-MK"/>
              </w:rPr>
            </w:pPr>
            <w:r w:rsidRPr="001E6526">
              <w:rPr>
                <w:rFonts w:ascii="Arial" w:hAnsi="Arial" w:cs="Arial"/>
                <w:color w:val="000000"/>
                <w:lang w:val="mk-MK"/>
              </w:rPr>
              <w:t>-</w:t>
            </w:r>
          </w:p>
        </w:tc>
        <w:tc>
          <w:tcPr>
            <w:tcW w:w="1440" w:type="dxa"/>
            <w:shd w:val="clear" w:color="auto" w:fill="auto"/>
            <w:tcMar>
              <w:left w:w="58" w:type="dxa"/>
              <w:right w:w="58" w:type="dxa"/>
            </w:tcMar>
            <w:vAlign w:val="bottom"/>
          </w:tcPr>
          <w:p w14:paraId="06AC90D9" w14:textId="43FDA078" w:rsidR="00F25BB7" w:rsidRPr="001E6526" w:rsidRDefault="00F25BB7" w:rsidP="00F25BB7">
            <w:pPr>
              <w:spacing w:after="0"/>
              <w:jc w:val="right"/>
              <w:rPr>
                <w:rFonts w:ascii="Arial" w:hAnsi="Arial" w:cs="Arial"/>
                <w:color w:val="000000"/>
                <w:lang w:val="mk-MK"/>
              </w:rPr>
            </w:pPr>
            <w:r w:rsidRPr="001E6526">
              <w:rPr>
                <w:rFonts w:ascii="Arial" w:hAnsi="Arial" w:cs="Arial"/>
                <w:color w:val="000000"/>
                <w:lang w:val="mk-MK"/>
              </w:rPr>
              <w:t>2,809</w:t>
            </w:r>
          </w:p>
        </w:tc>
      </w:tr>
      <w:tr w:rsidR="00F25BB7" w:rsidRPr="001E6526" w14:paraId="5B23E4FC" w14:textId="77777777" w:rsidTr="001C1C4F">
        <w:trPr>
          <w:trHeight w:val="216"/>
        </w:trPr>
        <w:tc>
          <w:tcPr>
            <w:tcW w:w="5760" w:type="dxa"/>
            <w:shd w:val="clear" w:color="auto" w:fill="auto"/>
            <w:tcMar>
              <w:left w:w="58" w:type="dxa"/>
              <w:right w:w="58" w:type="dxa"/>
            </w:tcMar>
          </w:tcPr>
          <w:p w14:paraId="3B0D894B" w14:textId="2E8D7928" w:rsidR="00F25BB7" w:rsidRPr="001E6526" w:rsidRDefault="00F25BB7" w:rsidP="00F25BB7">
            <w:pPr>
              <w:spacing w:after="0"/>
              <w:rPr>
                <w:rFonts w:ascii="Arial" w:hAnsi="Arial" w:cs="Arial"/>
                <w:color w:val="000000"/>
                <w:lang w:val="mk-MK"/>
              </w:rPr>
            </w:pPr>
            <w:r w:rsidRPr="00073FBC">
              <w:t>Services from individuals</w:t>
            </w:r>
          </w:p>
        </w:tc>
        <w:tc>
          <w:tcPr>
            <w:tcW w:w="1440" w:type="dxa"/>
            <w:shd w:val="clear" w:color="auto" w:fill="auto"/>
            <w:tcMar>
              <w:left w:w="58" w:type="dxa"/>
              <w:right w:w="58" w:type="dxa"/>
            </w:tcMar>
            <w:vAlign w:val="bottom"/>
          </w:tcPr>
          <w:p w14:paraId="1158D08D" w14:textId="53FD5FCD" w:rsidR="00F25BB7" w:rsidRPr="001E6526" w:rsidRDefault="00F25BB7" w:rsidP="00F25BB7">
            <w:pPr>
              <w:spacing w:after="0"/>
              <w:jc w:val="right"/>
              <w:rPr>
                <w:rFonts w:ascii="Arial" w:hAnsi="Arial" w:cs="Arial"/>
                <w:color w:val="000000"/>
                <w:lang w:val="mk-MK"/>
              </w:rPr>
            </w:pPr>
            <w:r w:rsidRPr="001E6526">
              <w:rPr>
                <w:rFonts w:ascii="Arial" w:hAnsi="Arial" w:cs="Arial"/>
                <w:color w:val="000000"/>
                <w:lang w:val="mk-MK"/>
              </w:rPr>
              <w:t>109</w:t>
            </w:r>
          </w:p>
        </w:tc>
        <w:tc>
          <w:tcPr>
            <w:tcW w:w="1440" w:type="dxa"/>
            <w:shd w:val="clear" w:color="auto" w:fill="auto"/>
            <w:tcMar>
              <w:left w:w="58" w:type="dxa"/>
              <w:right w:w="58" w:type="dxa"/>
            </w:tcMar>
            <w:vAlign w:val="bottom"/>
          </w:tcPr>
          <w:p w14:paraId="17455D95" w14:textId="3A5121E6" w:rsidR="00F25BB7" w:rsidRPr="001E6526" w:rsidRDefault="00F25BB7" w:rsidP="00F25BB7">
            <w:pPr>
              <w:spacing w:after="0"/>
              <w:jc w:val="right"/>
              <w:rPr>
                <w:rFonts w:ascii="Arial" w:hAnsi="Arial" w:cs="Arial"/>
                <w:color w:val="000000"/>
                <w:lang w:val="mk-MK"/>
              </w:rPr>
            </w:pPr>
            <w:r w:rsidRPr="001E6526">
              <w:rPr>
                <w:rFonts w:ascii="Arial" w:hAnsi="Arial" w:cs="Arial"/>
                <w:color w:val="000000"/>
                <w:lang w:val="mk-MK"/>
              </w:rPr>
              <w:t>4</w:t>
            </w:r>
          </w:p>
        </w:tc>
      </w:tr>
      <w:tr w:rsidR="00097C0B" w:rsidRPr="001E6526" w14:paraId="0EF521D5" w14:textId="77777777" w:rsidTr="004B0113">
        <w:trPr>
          <w:trHeight w:val="216"/>
        </w:trPr>
        <w:tc>
          <w:tcPr>
            <w:tcW w:w="5760" w:type="dxa"/>
            <w:shd w:val="clear" w:color="auto" w:fill="auto"/>
            <w:tcMar>
              <w:left w:w="58" w:type="dxa"/>
              <w:right w:w="58" w:type="dxa"/>
            </w:tcMar>
            <w:vAlign w:val="bottom"/>
          </w:tcPr>
          <w:p w14:paraId="66DA3F35" w14:textId="7AE3EFB7" w:rsidR="00097C0B" w:rsidRPr="00CE3053" w:rsidRDefault="000943E7" w:rsidP="00097C0B">
            <w:pPr>
              <w:spacing w:after="0"/>
              <w:rPr>
                <w:rFonts w:ascii="Arial" w:hAnsi="Arial" w:cs="Arial"/>
                <w:color w:val="000000"/>
                <w:lang w:val="mk-MK"/>
              </w:rPr>
            </w:pPr>
            <w:bookmarkStart w:id="8" w:name="_Hlk95732721"/>
            <w:proofErr w:type="spellStart"/>
            <w:r w:rsidRPr="000943E7">
              <w:rPr>
                <w:rFonts w:ascii="Arial" w:hAnsi="Arial" w:cs="Arial"/>
                <w:color w:val="000000"/>
                <w:lang w:val="mk-MK"/>
              </w:rPr>
              <w:t>Other</w:t>
            </w:r>
            <w:proofErr w:type="spellEnd"/>
          </w:p>
        </w:tc>
        <w:tc>
          <w:tcPr>
            <w:tcW w:w="1440" w:type="dxa"/>
            <w:shd w:val="clear" w:color="auto" w:fill="auto"/>
            <w:tcMar>
              <w:left w:w="58" w:type="dxa"/>
              <w:right w:w="58" w:type="dxa"/>
            </w:tcMar>
            <w:vAlign w:val="bottom"/>
          </w:tcPr>
          <w:p w14:paraId="5DB7CEE9" w14:textId="0B0B6C9C" w:rsidR="00097C0B" w:rsidRPr="001E6526" w:rsidRDefault="0082414E" w:rsidP="00097C0B">
            <w:pPr>
              <w:spacing w:after="0"/>
              <w:jc w:val="right"/>
              <w:rPr>
                <w:rFonts w:ascii="Arial" w:hAnsi="Arial" w:cs="Arial"/>
                <w:color w:val="000000"/>
                <w:lang w:val="mk-MK"/>
              </w:rPr>
            </w:pPr>
            <w:r w:rsidRPr="001E6526">
              <w:rPr>
                <w:rFonts w:ascii="Arial" w:hAnsi="Arial" w:cs="Arial"/>
                <w:color w:val="000000"/>
                <w:lang w:val="mk-MK"/>
              </w:rPr>
              <w:t>220</w:t>
            </w:r>
          </w:p>
        </w:tc>
        <w:tc>
          <w:tcPr>
            <w:tcW w:w="1440" w:type="dxa"/>
            <w:shd w:val="clear" w:color="auto" w:fill="auto"/>
            <w:tcMar>
              <w:left w:w="58" w:type="dxa"/>
              <w:right w:w="58" w:type="dxa"/>
            </w:tcMar>
            <w:vAlign w:val="bottom"/>
          </w:tcPr>
          <w:p w14:paraId="6F89A7BE" w14:textId="07A73B01" w:rsidR="00097C0B" w:rsidRPr="001E6526" w:rsidRDefault="00097C0B" w:rsidP="00097C0B">
            <w:pPr>
              <w:spacing w:after="0"/>
              <w:jc w:val="right"/>
              <w:rPr>
                <w:rFonts w:ascii="Arial" w:hAnsi="Arial" w:cs="Arial"/>
                <w:color w:val="000000"/>
                <w:lang w:val="mk-MK"/>
              </w:rPr>
            </w:pPr>
            <w:r w:rsidRPr="001E6526">
              <w:rPr>
                <w:rFonts w:ascii="Arial" w:hAnsi="Arial" w:cs="Arial"/>
                <w:color w:val="000000"/>
                <w:lang w:val="mk-MK"/>
              </w:rPr>
              <w:t>1</w:t>
            </w:r>
            <w:r w:rsidR="0082414E" w:rsidRPr="001E6526">
              <w:rPr>
                <w:rFonts w:ascii="Arial" w:hAnsi="Arial" w:cs="Arial"/>
                <w:color w:val="000000"/>
                <w:lang w:val="mk-MK"/>
              </w:rPr>
              <w:t>27</w:t>
            </w:r>
          </w:p>
        </w:tc>
      </w:tr>
      <w:bookmarkEnd w:id="8"/>
      <w:tr w:rsidR="00097C0B" w:rsidRPr="001E6526" w14:paraId="3B815C43" w14:textId="77777777" w:rsidTr="0025712C">
        <w:trPr>
          <w:trHeight w:val="216"/>
        </w:trPr>
        <w:tc>
          <w:tcPr>
            <w:tcW w:w="5760" w:type="dxa"/>
            <w:tcBorders>
              <w:top w:val="single" w:sz="4" w:space="0" w:color="auto"/>
              <w:bottom w:val="double" w:sz="4" w:space="0" w:color="auto"/>
            </w:tcBorders>
            <w:shd w:val="clear" w:color="auto" w:fill="auto"/>
            <w:tcMar>
              <w:left w:w="58" w:type="dxa"/>
              <w:right w:w="58" w:type="dxa"/>
            </w:tcMar>
            <w:vAlign w:val="center"/>
          </w:tcPr>
          <w:p w14:paraId="6D1F9AF4" w14:textId="77777777" w:rsidR="00097C0B" w:rsidRPr="00CE3053" w:rsidRDefault="00097C0B" w:rsidP="00097C0B">
            <w:pPr>
              <w:spacing w:after="0"/>
              <w:rPr>
                <w:rFonts w:ascii="Arial" w:hAnsi="Arial" w:cs="Arial"/>
                <w:b/>
                <w:bCs/>
                <w:color w:val="000000"/>
                <w:lang w:val="mk-MK"/>
              </w:rPr>
            </w:pPr>
            <w:r w:rsidRPr="00CE3053">
              <w:rPr>
                <w:rFonts w:ascii="Arial" w:hAnsi="Arial" w:cs="Arial"/>
                <w:b/>
                <w:bCs/>
                <w:color w:val="000000"/>
                <w:lang w:val="mk-MK"/>
              </w:rPr>
              <w:t xml:space="preserve"> </w:t>
            </w:r>
          </w:p>
        </w:tc>
        <w:tc>
          <w:tcPr>
            <w:tcW w:w="1440" w:type="dxa"/>
            <w:tcBorders>
              <w:top w:val="single" w:sz="4" w:space="0" w:color="auto"/>
              <w:bottom w:val="double" w:sz="4" w:space="0" w:color="auto"/>
            </w:tcBorders>
            <w:shd w:val="clear" w:color="auto" w:fill="auto"/>
            <w:tcMar>
              <w:left w:w="58" w:type="dxa"/>
              <w:right w:w="58" w:type="dxa"/>
            </w:tcMar>
            <w:vAlign w:val="bottom"/>
          </w:tcPr>
          <w:p w14:paraId="708873C8" w14:textId="79B94F4B" w:rsidR="00097C0B" w:rsidRPr="001E6526" w:rsidRDefault="00874C1C" w:rsidP="00097C0B">
            <w:pPr>
              <w:spacing w:after="0"/>
              <w:jc w:val="right"/>
              <w:rPr>
                <w:rFonts w:ascii="Arial" w:hAnsi="Arial" w:cs="Arial"/>
                <w:b/>
                <w:bCs/>
                <w:color w:val="000000"/>
                <w:lang w:val="mk-MK"/>
              </w:rPr>
            </w:pPr>
            <w:r w:rsidRPr="001E6526">
              <w:rPr>
                <w:rFonts w:ascii="Arial" w:hAnsi="Arial" w:cs="Arial"/>
                <w:b/>
                <w:bCs/>
                <w:color w:val="000000"/>
                <w:lang w:val="mk-MK"/>
              </w:rPr>
              <w:t>3,</w:t>
            </w:r>
            <w:r w:rsidR="0082414E" w:rsidRPr="001E6526">
              <w:rPr>
                <w:rFonts w:ascii="Arial" w:hAnsi="Arial" w:cs="Arial"/>
                <w:b/>
                <w:bCs/>
                <w:color w:val="000000"/>
                <w:lang w:val="mk-MK"/>
              </w:rPr>
              <w:t>365</w:t>
            </w:r>
          </w:p>
        </w:tc>
        <w:tc>
          <w:tcPr>
            <w:tcW w:w="1440" w:type="dxa"/>
            <w:tcBorders>
              <w:top w:val="single" w:sz="4" w:space="0" w:color="auto"/>
              <w:bottom w:val="double" w:sz="4" w:space="0" w:color="auto"/>
            </w:tcBorders>
            <w:shd w:val="clear" w:color="auto" w:fill="auto"/>
            <w:tcMar>
              <w:left w:w="58" w:type="dxa"/>
              <w:right w:w="58" w:type="dxa"/>
            </w:tcMar>
            <w:vAlign w:val="bottom"/>
          </w:tcPr>
          <w:p w14:paraId="3DCEA449" w14:textId="085CF18E" w:rsidR="00097C0B" w:rsidRPr="00CE3053" w:rsidRDefault="00097C0B" w:rsidP="00097C0B">
            <w:pPr>
              <w:spacing w:after="0"/>
              <w:jc w:val="right"/>
              <w:rPr>
                <w:rFonts w:ascii="Arial" w:hAnsi="Arial" w:cs="Arial"/>
                <w:b/>
                <w:bCs/>
                <w:color w:val="000000"/>
                <w:lang w:val="mk-MK"/>
              </w:rPr>
            </w:pPr>
            <w:r w:rsidRPr="001E6526">
              <w:rPr>
                <w:rFonts w:ascii="Arial" w:hAnsi="Arial" w:cs="Arial"/>
                <w:b/>
                <w:bCs/>
                <w:color w:val="000000"/>
                <w:lang w:val="mk-MK"/>
              </w:rPr>
              <w:t>5,616</w:t>
            </w:r>
          </w:p>
        </w:tc>
      </w:tr>
    </w:tbl>
    <w:p w14:paraId="6CBD44B6" w14:textId="643D2610" w:rsidR="00F93B95" w:rsidRPr="001E6526" w:rsidRDefault="00F93B95" w:rsidP="00F93B95">
      <w:pPr>
        <w:pStyle w:val="BodyText"/>
        <w:rPr>
          <w:rFonts w:ascii="Arial" w:hAnsi="Arial" w:cs="Arial"/>
          <w:lang w:val="mk-MK"/>
        </w:rPr>
      </w:pPr>
    </w:p>
    <w:p w14:paraId="18EA300C" w14:textId="481B9281" w:rsidR="00FB340D" w:rsidRPr="001E6526" w:rsidRDefault="00FB340D" w:rsidP="00F93B95">
      <w:pPr>
        <w:pStyle w:val="BodyText"/>
        <w:rPr>
          <w:rFonts w:ascii="Arial" w:hAnsi="Arial" w:cs="Arial"/>
          <w:lang w:val="mk-MK"/>
        </w:rPr>
      </w:pPr>
    </w:p>
    <w:p w14:paraId="64D03434" w14:textId="226FAAD3" w:rsidR="00851133" w:rsidRPr="001E6526" w:rsidRDefault="00851133" w:rsidP="00F93B95">
      <w:pPr>
        <w:pStyle w:val="BodyText"/>
        <w:rPr>
          <w:rFonts w:ascii="Arial" w:hAnsi="Arial" w:cs="Arial"/>
          <w:lang w:val="mk-MK"/>
        </w:rPr>
      </w:pPr>
    </w:p>
    <w:p w14:paraId="30F924C3" w14:textId="046DCBF3" w:rsidR="00851133" w:rsidRDefault="00851133" w:rsidP="00F93B95">
      <w:pPr>
        <w:pStyle w:val="BodyText"/>
        <w:rPr>
          <w:rFonts w:ascii="Arial" w:hAnsi="Arial" w:cs="Arial"/>
          <w:lang w:val="mk-MK"/>
        </w:rPr>
      </w:pPr>
    </w:p>
    <w:p w14:paraId="0335E9A5" w14:textId="77777777" w:rsidR="00F25BB7" w:rsidRPr="001E6526" w:rsidRDefault="00F25BB7" w:rsidP="00F93B95">
      <w:pPr>
        <w:pStyle w:val="BodyText"/>
        <w:rPr>
          <w:rFonts w:ascii="Arial" w:hAnsi="Arial" w:cs="Arial"/>
          <w:lang w:val="mk-MK"/>
        </w:rPr>
      </w:pPr>
    </w:p>
    <w:p w14:paraId="5C866BCF" w14:textId="2BE2C4EF" w:rsidR="00FB340D" w:rsidRPr="001E6526" w:rsidRDefault="00FB340D" w:rsidP="00F93B95">
      <w:pPr>
        <w:pStyle w:val="BodyText"/>
        <w:rPr>
          <w:rFonts w:ascii="Arial" w:hAnsi="Arial" w:cs="Arial"/>
          <w:lang w:val="mk-MK"/>
        </w:rPr>
      </w:pPr>
    </w:p>
    <w:p w14:paraId="770AF8AF" w14:textId="179EA6C0" w:rsidR="00F93B95" w:rsidRPr="00CE3053" w:rsidRDefault="00F25BB7" w:rsidP="0061511C">
      <w:pPr>
        <w:pStyle w:val="NumberedHeading1"/>
        <w:numPr>
          <w:ilvl w:val="0"/>
          <w:numId w:val="22"/>
        </w:numPr>
        <w:spacing w:before="0" w:after="0" w:line="260" w:lineRule="atLeast"/>
        <w:rPr>
          <w:rFonts w:ascii="Arial" w:hAnsi="Arial" w:cs="Arial"/>
          <w:b/>
          <w:color w:val="4F2D7F"/>
          <w:sz w:val="18"/>
          <w:lang w:val="mk-MK"/>
        </w:rPr>
      </w:pPr>
      <w:r>
        <w:rPr>
          <w:rFonts w:ascii="Arial" w:hAnsi="Arial" w:cs="Arial"/>
          <w:b/>
          <w:color w:val="4F2D7F"/>
          <w:sz w:val="18"/>
          <w:lang w:val="en-US"/>
        </w:rPr>
        <w:lastRenderedPageBreak/>
        <w:t>Income tax</w:t>
      </w:r>
    </w:p>
    <w:p w14:paraId="7AF34B1B" w14:textId="0D766922" w:rsidR="00F93B95" w:rsidRPr="00CE3053" w:rsidRDefault="00F25BB7" w:rsidP="00F93B95">
      <w:pPr>
        <w:pStyle w:val="BodyText"/>
        <w:rPr>
          <w:rFonts w:ascii="Arial" w:hAnsi="Arial" w:cs="Arial"/>
          <w:lang w:val="mk-MK"/>
        </w:rPr>
      </w:pPr>
      <w:proofErr w:type="spellStart"/>
      <w:r w:rsidRPr="00F25BB7">
        <w:rPr>
          <w:rFonts w:ascii="Arial" w:hAnsi="Arial" w:cs="Arial"/>
          <w:lang w:val="mk-MK"/>
        </w:rPr>
        <w:t>The</w:t>
      </w:r>
      <w:proofErr w:type="spellEnd"/>
      <w:r w:rsidRPr="00F25BB7">
        <w:rPr>
          <w:rFonts w:ascii="Arial" w:hAnsi="Arial" w:cs="Arial"/>
          <w:lang w:val="mk-MK"/>
        </w:rPr>
        <w:t xml:space="preserve"> </w:t>
      </w:r>
      <w:proofErr w:type="spellStart"/>
      <w:r w:rsidRPr="00F25BB7">
        <w:rPr>
          <w:rFonts w:ascii="Arial" w:hAnsi="Arial" w:cs="Arial"/>
          <w:lang w:val="mk-MK"/>
        </w:rPr>
        <w:t>reconciliation</w:t>
      </w:r>
      <w:proofErr w:type="spellEnd"/>
      <w:r w:rsidRPr="00F25BB7">
        <w:rPr>
          <w:rFonts w:ascii="Arial" w:hAnsi="Arial" w:cs="Arial"/>
          <w:lang w:val="mk-MK"/>
        </w:rPr>
        <w:t xml:space="preserve"> </w:t>
      </w:r>
      <w:proofErr w:type="spellStart"/>
      <w:r w:rsidRPr="00F25BB7">
        <w:rPr>
          <w:rFonts w:ascii="Arial" w:hAnsi="Arial" w:cs="Arial"/>
          <w:lang w:val="mk-MK"/>
        </w:rPr>
        <w:t>of</w:t>
      </w:r>
      <w:proofErr w:type="spellEnd"/>
      <w:r w:rsidRPr="00F25BB7">
        <w:rPr>
          <w:rFonts w:ascii="Arial" w:hAnsi="Arial" w:cs="Arial"/>
          <w:lang w:val="mk-MK"/>
        </w:rPr>
        <w:t xml:space="preserve"> </w:t>
      </w:r>
      <w:proofErr w:type="spellStart"/>
      <w:r w:rsidRPr="00F25BB7">
        <w:rPr>
          <w:rFonts w:ascii="Arial" w:hAnsi="Arial" w:cs="Arial"/>
          <w:lang w:val="mk-MK"/>
        </w:rPr>
        <w:t>the</w:t>
      </w:r>
      <w:proofErr w:type="spellEnd"/>
      <w:r w:rsidRPr="00F25BB7">
        <w:rPr>
          <w:rFonts w:ascii="Arial" w:hAnsi="Arial" w:cs="Arial"/>
          <w:lang w:val="mk-MK"/>
        </w:rPr>
        <w:t xml:space="preserve"> </w:t>
      </w:r>
      <w:proofErr w:type="spellStart"/>
      <w:r w:rsidRPr="00F25BB7">
        <w:rPr>
          <w:rFonts w:ascii="Arial" w:hAnsi="Arial" w:cs="Arial"/>
          <w:lang w:val="mk-MK"/>
        </w:rPr>
        <w:t>income</w:t>
      </w:r>
      <w:proofErr w:type="spellEnd"/>
      <w:r w:rsidRPr="00F25BB7">
        <w:rPr>
          <w:rFonts w:ascii="Arial" w:hAnsi="Arial" w:cs="Arial"/>
          <w:lang w:val="mk-MK"/>
        </w:rPr>
        <w:t xml:space="preserve"> </w:t>
      </w:r>
      <w:proofErr w:type="spellStart"/>
      <w:r w:rsidRPr="00F25BB7">
        <w:rPr>
          <w:rFonts w:ascii="Arial" w:hAnsi="Arial" w:cs="Arial"/>
          <w:lang w:val="mk-MK"/>
        </w:rPr>
        <w:t>tax</w:t>
      </w:r>
      <w:proofErr w:type="spellEnd"/>
      <w:r w:rsidRPr="00F25BB7">
        <w:rPr>
          <w:rFonts w:ascii="Arial" w:hAnsi="Arial" w:cs="Arial"/>
          <w:lang w:val="mk-MK"/>
        </w:rPr>
        <w:t xml:space="preserve"> </w:t>
      </w:r>
      <w:proofErr w:type="spellStart"/>
      <w:r w:rsidRPr="00F25BB7">
        <w:rPr>
          <w:rFonts w:ascii="Arial" w:hAnsi="Arial" w:cs="Arial"/>
          <w:lang w:val="mk-MK"/>
        </w:rPr>
        <w:t>with</w:t>
      </w:r>
      <w:proofErr w:type="spellEnd"/>
      <w:r w:rsidRPr="00F25BB7">
        <w:rPr>
          <w:rFonts w:ascii="Arial" w:hAnsi="Arial" w:cs="Arial"/>
          <w:lang w:val="mk-MK"/>
        </w:rPr>
        <w:t xml:space="preserve"> </w:t>
      </w:r>
      <w:proofErr w:type="spellStart"/>
      <w:r w:rsidRPr="00F25BB7">
        <w:rPr>
          <w:rFonts w:ascii="Arial" w:hAnsi="Arial" w:cs="Arial"/>
          <w:lang w:val="mk-MK"/>
        </w:rPr>
        <w:t>the</w:t>
      </w:r>
      <w:proofErr w:type="spellEnd"/>
      <w:r w:rsidRPr="00F25BB7">
        <w:rPr>
          <w:rFonts w:ascii="Arial" w:hAnsi="Arial" w:cs="Arial"/>
          <w:lang w:val="mk-MK"/>
        </w:rPr>
        <w:t xml:space="preserve"> </w:t>
      </w:r>
      <w:proofErr w:type="spellStart"/>
      <w:r w:rsidRPr="00F25BB7">
        <w:rPr>
          <w:rFonts w:ascii="Arial" w:hAnsi="Arial" w:cs="Arial"/>
          <w:lang w:val="mk-MK"/>
        </w:rPr>
        <w:t>tax</w:t>
      </w:r>
      <w:proofErr w:type="spellEnd"/>
      <w:r w:rsidRPr="00F25BB7">
        <w:rPr>
          <w:rFonts w:ascii="Arial" w:hAnsi="Arial" w:cs="Arial"/>
          <w:lang w:val="mk-MK"/>
        </w:rPr>
        <w:t xml:space="preserve"> </w:t>
      </w:r>
      <w:proofErr w:type="spellStart"/>
      <w:r w:rsidRPr="00F25BB7">
        <w:rPr>
          <w:rFonts w:ascii="Arial" w:hAnsi="Arial" w:cs="Arial"/>
          <w:lang w:val="mk-MK"/>
        </w:rPr>
        <w:t>balance</w:t>
      </w:r>
      <w:proofErr w:type="spellEnd"/>
      <w:r w:rsidRPr="00F25BB7">
        <w:rPr>
          <w:rFonts w:ascii="Arial" w:hAnsi="Arial" w:cs="Arial"/>
          <w:lang w:val="mk-MK"/>
        </w:rPr>
        <w:t xml:space="preserve"> </w:t>
      </w:r>
      <w:proofErr w:type="spellStart"/>
      <w:r w:rsidRPr="00F25BB7">
        <w:rPr>
          <w:rFonts w:ascii="Arial" w:hAnsi="Arial" w:cs="Arial"/>
          <w:lang w:val="mk-MK"/>
        </w:rPr>
        <w:t>for</w:t>
      </w:r>
      <w:proofErr w:type="spellEnd"/>
      <w:r w:rsidRPr="00F25BB7">
        <w:rPr>
          <w:rFonts w:ascii="Arial" w:hAnsi="Arial" w:cs="Arial"/>
          <w:lang w:val="mk-MK"/>
        </w:rPr>
        <w:t xml:space="preserve"> </w:t>
      </w:r>
      <w:proofErr w:type="spellStart"/>
      <w:r w:rsidRPr="00F25BB7">
        <w:rPr>
          <w:rFonts w:ascii="Arial" w:hAnsi="Arial" w:cs="Arial"/>
          <w:lang w:val="mk-MK"/>
        </w:rPr>
        <w:t>the</w:t>
      </w:r>
      <w:proofErr w:type="spellEnd"/>
      <w:r w:rsidRPr="00F25BB7">
        <w:rPr>
          <w:rFonts w:ascii="Arial" w:hAnsi="Arial" w:cs="Arial"/>
          <w:lang w:val="mk-MK"/>
        </w:rPr>
        <w:t xml:space="preserve"> </w:t>
      </w:r>
      <w:proofErr w:type="spellStart"/>
      <w:r w:rsidRPr="00F25BB7">
        <w:rPr>
          <w:rFonts w:ascii="Arial" w:hAnsi="Arial" w:cs="Arial"/>
          <w:lang w:val="mk-MK"/>
        </w:rPr>
        <w:t>years</w:t>
      </w:r>
      <w:proofErr w:type="spellEnd"/>
      <w:r w:rsidRPr="00F25BB7">
        <w:rPr>
          <w:rFonts w:ascii="Arial" w:hAnsi="Arial" w:cs="Arial"/>
          <w:lang w:val="mk-MK"/>
        </w:rPr>
        <w:t xml:space="preserve"> </w:t>
      </w:r>
      <w:proofErr w:type="spellStart"/>
      <w:r w:rsidRPr="00F25BB7">
        <w:rPr>
          <w:rFonts w:ascii="Arial" w:hAnsi="Arial" w:cs="Arial"/>
          <w:lang w:val="mk-MK"/>
        </w:rPr>
        <w:t>ended</w:t>
      </w:r>
      <w:proofErr w:type="spellEnd"/>
      <w:r w:rsidRPr="00F25BB7">
        <w:rPr>
          <w:rFonts w:ascii="Arial" w:hAnsi="Arial" w:cs="Arial"/>
          <w:lang w:val="mk-MK"/>
        </w:rPr>
        <w:t xml:space="preserve"> </w:t>
      </w:r>
      <w:proofErr w:type="spellStart"/>
      <w:r w:rsidRPr="00F25BB7">
        <w:rPr>
          <w:rFonts w:ascii="Arial" w:hAnsi="Arial" w:cs="Arial"/>
          <w:lang w:val="mk-MK"/>
        </w:rPr>
        <w:t>as</w:t>
      </w:r>
      <w:proofErr w:type="spellEnd"/>
      <w:r w:rsidRPr="00F25BB7">
        <w:rPr>
          <w:rFonts w:ascii="Arial" w:hAnsi="Arial" w:cs="Arial"/>
          <w:lang w:val="mk-MK"/>
        </w:rPr>
        <w:t xml:space="preserve"> </w:t>
      </w:r>
      <w:proofErr w:type="spellStart"/>
      <w:r w:rsidRPr="00F25BB7">
        <w:rPr>
          <w:rFonts w:ascii="Arial" w:hAnsi="Arial" w:cs="Arial"/>
          <w:lang w:val="mk-MK"/>
        </w:rPr>
        <w:t>of</w:t>
      </w:r>
      <w:proofErr w:type="spellEnd"/>
      <w:r w:rsidRPr="00F25BB7">
        <w:rPr>
          <w:rFonts w:ascii="Arial" w:hAnsi="Arial" w:cs="Arial"/>
          <w:lang w:val="mk-MK"/>
        </w:rPr>
        <w:t xml:space="preserve"> </w:t>
      </w:r>
      <w:r>
        <w:rPr>
          <w:rFonts w:ascii="Arial" w:hAnsi="Arial" w:cs="Arial"/>
          <w:lang w:val="en-US"/>
        </w:rPr>
        <w:t xml:space="preserve">31 December </w:t>
      </w:r>
      <w:r w:rsidR="00F93B95" w:rsidRPr="00CE3053">
        <w:rPr>
          <w:rFonts w:ascii="Arial" w:hAnsi="Arial" w:cs="Arial"/>
          <w:lang w:val="mk-MK"/>
        </w:rPr>
        <w:t>202</w:t>
      </w:r>
      <w:r w:rsidR="00332709" w:rsidRPr="001E6526">
        <w:rPr>
          <w:rFonts w:ascii="Arial" w:hAnsi="Arial" w:cs="Arial"/>
          <w:lang w:val="mk-MK"/>
        </w:rPr>
        <w:t>1</w:t>
      </w:r>
      <w:r w:rsidR="00F93B95" w:rsidRPr="00CE3053">
        <w:rPr>
          <w:rFonts w:ascii="Arial" w:hAnsi="Arial" w:cs="Arial"/>
          <w:lang w:val="mk-MK"/>
        </w:rPr>
        <w:t xml:space="preserve"> </w:t>
      </w:r>
      <w:r>
        <w:rPr>
          <w:rFonts w:ascii="Arial" w:hAnsi="Arial" w:cs="Arial"/>
          <w:lang w:val="en-US"/>
        </w:rPr>
        <w:t>and</w:t>
      </w:r>
      <w:r w:rsidR="00F93B95" w:rsidRPr="00CE3053">
        <w:rPr>
          <w:rFonts w:ascii="Arial" w:hAnsi="Arial" w:cs="Arial"/>
          <w:lang w:val="mk-MK"/>
        </w:rPr>
        <w:t xml:space="preserve"> 20</w:t>
      </w:r>
      <w:r w:rsidR="00332709" w:rsidRPr="001E6526">
        <w:rPr>
          <w:rFonts w:ascii="Arial" w:hAnsi="Arial" w:cs="Arial"/>
          <w:lang w:val="mk-MK"/>
        </w:rPr>
        <w:t>20</w:t>
      </w:r>
      <w:r w:rsidR="00F93B95" w:rsidRPr="00CE3053">
        <w:rPr>
          <w:rFonts w:ascii="Arial" w:hAnsi="Arial" w:cs="Arial"/>
          <w:lang w:val="mk-MK"/>
        </w:rPr>
        <w:t xml:space="preserve"> </w:t>
      </w:r>
      <w:r>
        <w:rPr>
          <w:rFonts w:ascii="Arial" w:hAnsi="Arial" w:cs="Arial"/>
          <w:lang w:val="en-US"/>
        </w:rPr>
        <w:t>is as follows</w:t>
      </w:r>
      <w:r w:rsidR="00F93B95" w:rsidRPr="00CE3053">
        <w:rPr>
          <w:rFonts w:ascii="Arial" w:hAnsi="Arial" w:cs="Arial"/>
          <w:lang w:val="mk-MK"/>
        </w:rPr>
        <w:t>:</w:t>
      </w:r>
    </w:p>
    <w:tbl>
      <w:tblPr>
        <w:tblW w:w="8640" w:type="dxa"/>
        <w:tblInd w:w="86" w:type="dxa"/>
        <w:tblLook w:val="0000" w:firstRow="0" w:lastRow="0" w:firstColumn="0" w:lastColumn="0" w:noHBand="0" w:noVBand="0"/>
      </w:tblPr>
      <w:tblGrid>
        <w:gridCol w:w="5760"/>
        <w:gridCol w:w="1440"/>
        <w:gridCol w:w="1440"/>
      </w:tblGrid>
      <w:tr w:rsidR="00F30EF8" w:rsidRPr="001E6526" w14:paraId="6AE1D634" w14:textId="77777777" w:rsidTr="00EB18F6">
        <w:trPr>
          <w:trHeight w:val="216"/>
        </w:trPr>
        <w:tc>
          <w:tcPr>
            <w:tcW w:w="5760" w:type="dxa"/>
            <w:tcMar>
              <w:left w:w="58" w:type="dxa"/>
              <w:right w:w="58" w:type="dxa"/>
            </w:tcMar>
            <w:vAlign w:val="bottom"/>
          </w:tcPr>
          <w:p w14:paraId="2809CF6B" w14:textId="77777777" w:rsidR="00F30EF8" w:rsidRPr="001E6526" w:rsidRDefault="00F30EF8" w:rsidP="00F93B95">
            <w:pPr>
              <w:pStyle w:val="TableText"/>
              <w:spacing w:after="0"/>
              <w:rPr>
                <w:rFonts w:ascii="Arial" w:hAnsi="Arial"/>
                <w:sz w:val="18"/>
                <w:lang w:val="mk-MK"/>
              </w:rPr>
            </w:pPr>
          </w:p>
        </w:tc>
        <w:tc>
          <w:tcPr>
            <w:tcW w:w="2880" w:type="dxa"/>
            <w:gridSpan w:val="2"/>
            <w:tcMar>
              <w:left w:w="58" w:type="dxa"/>
              <w:right w:w="58" w:type="dxa"/>
            </w:tcMar>
            <w:vAlign w:val="bottom"/>
          </w:tcPr>
          <w:p w14:paraId="5BF54195" w14:textId="107BB9C9" w:rsidR="00F30EF8" w:rsidRPr="001E6526" w:rsidRDefault="00F30EF8" w:rsidP="00F93B95">
            <w:pPr>
              <w:pStyle w:val="TableText"/>
              <w:spacing w:after="0"/>
              <w:jc w:val="right"/>
              <w:rPr>
                <w:rFonts w:ascii="Arial" w:hAnsi="Arial"/>
                <w:color w:val="000000"/>
                <w:sz w:val="18"/>
                <w:lang w:val="mk-MK"/>
              </w:rPr>
            </w:pPr>
            <w:r w:rsidRPr="001E6526">
              <w:rPr>
                <w:rFonts w:ascii="Arial" w:hAnsi="Arial"/>
                <w:color w:val="000000"/>
                <w:sz w:val="18"/>
                <w:lang w:val="mk-MK"/>
              </w:rPr>
              <w:t xml:space="preserve">(000 </w:t>
            </w:r>
            <w:proofErr w:type="spellStart"/>
            <w:r w:rsidR="00F25BB7">
              <w:rPr>
                <w:rFonts w:ascii="Arial" w:hAnsi="Arial"/>
                <w:color w:val="000000"/>
                <w:sz w:val="18"/>
                <w:lang w:val="en-US"/>
              </w:rPr>
              <w:t>mkd</w:t>
            </w:r>
            <w:proofErr w:type="spellEnd"/>
            <w:r w:rsidRPr="001E6526">
              <w:rPr>
                <w:rFonts w:ascii="Arial" w:hAnsi="Arial"/>
                <w:color w:val="000000"/>
                <w:sz w:val="18"/>
                <w:lang w:val="mk-MK"/>
              </w:rPr>
              <w:t>)</w:t>
            </w:r>
          </w:p>
        </w:tc>
      </w:tr>
      <w:tr w:rsidR="00F93B95" w:rsidRPr="001E6526" w14:paraId="52354D9E" w14:textId="77777777" w:rsidTr="0025712C">
        <w:trPr>
          <w:trHeight w:val="216"/>
        </w:trPr>
        <w:tc>
          <w:tcPr>
            <w:tcW w:w="5760" w:type="dxa"/>
            <w:tcMar>
              <w:left w:w="58" w:type="dxa"/>
              <w:right w:w="58" w:type="dxa"/>
            </w:tcMar>
            <w:vAlign w:val="bottom"/>
          </w:tcPr>
          <w:p w14:paraId="62953C9F" w14:textId="77777777" w:rsidR="00F93B95" w:rsidRPr="001E6526" w:rsidRDefault="00F93B95" w:rsidP="00F93B95">
            <w:pPr>
              <w:pStyle w:val="TableText"/>
              <w:spacing w:after="0"/>
              <w:rPr>
                <w:rFonts w:ascii="Arial" w:hAnsi="Arial"/>
                <w:sz w:val="18"/>
                <w:lang w:val="mk-MK"/>
              </w:rPr>
            </w:pPr>
          </w:p>
        </w:tc>
        <w:tc>
          <w:tcPr>
            <w:tcW w:w="1440" w:type="dxa"/>
            <w:tcMar>
              <w:left w:w="58" w:type="dxa"/>
              <w:right w:w="58" w:type="dxa"/>
            </w:tcMar>
            <w:vAlign w:val="bottom"/>
          </w:tcPr>
          <w:p w14:paraId="12439CAC" w14:textId="3C413894" w:rsidR="00F93B95" w:rsidRPr="00CE3053" w:rsidRDefault="00F93B95" w:rsidP="00F93B95">
            <w:pPr>
              <w:pStyle w:val="TableText"/>
              <w:spacing w:after="0"/>
              <w:jc w:val="right"/>
              <w:rPr>
                <w:rFonts w:ascii="Arial" w:hAnsi="Arial"/>
                <w:color w:val="000000"/>
                <w:sz w:val="18"/>
                <w:lang w:val="mk-MK"/>
              </w:rPr>
            </w:pPr>
            <w:r w:rsidRPr="001E6526">
              <w:rPr>
                <w:rFonts w:ascii="Arial" w:hAnsi="Arial"/>
                <w:color w:val="000000"/>
                <w:sz w:val="18"/>
                <w:lang w:val="mk-MK"/>
              </w:rPr>
              <w:t>20</w:t>
            </w:r>
            <w:r w:rsidRPr="00CE3053">
              <w:rPr>
                <w:rFonts w:ascii="Arial" w:hAnsi="Arial"/>
                <w:color w:val="000000"/>
                <w:sz w:val="18"/>
                <w:lang w:val="mk-MK"/>
              </w:rPr>
              <w:t>2</w:t>
            </w:r>
            <w:r w:rsidR="00332709" w:rsidRPr="001E6526">
              <w:rPr>
                <w:rFonts w:ascii="Arial" w:hAnsi="Arial"/>
                <w:color w:val="000000"/>
                <w:sz w:val="18"/>
                <w:lang w:val="mk-MK"/>
              </w:rPr>
              <w:t>1</w:t>
            </w:r>
          </w:p>
        </w:tc>
        <w:tc>
          <w:tcPr>
            <w:tcW w:w="1440" w:type="dxa"/>
            <w:tcMar>
              <w:left w:w="58" w:type="dxa"/>
              <w:right w:w="58" w:type="dxa"/>
            </w:tcMar>
            <w:vAlign w:val="bottom"/>
          </w:tcPr>
          <w:p w14:paraId="46DE1E18" w14:textId="368BB3AD" w:rsidR="00F93B95" w:rsidRPr="00CE3053" w:rsidRDefault="00F93B95" w:rsidP="00F93B95">
            <w:pPr>
              <w:pStyle w:val="TableText"/>
              <w:spacing w:after="0"/>
              <w:jc w:val="right"/>
              <w:rPr>
                <w:rFonts w:ascii="Arial" w:hAnsi="Arial"/>
                <w:color w:val="000000"/>
                <w:sz w:val="18"/>
                <w:lang w:val="mk-MK"/>
              </w:rPr>
            </w:pPr>
            <w:r w:rsidRPr="001E6526">
              <w:rPr>
                <w:rFonts w:ascii="Arial" w:hAnsi="Arial"/>
                <w:color w:val="000000"/>
                <w:sz w:val="18"/>
                <w:lang w:val="mk-MK"/>
              </w:rPr>
              <w:t>20</w:t>
            </w:r>
            <w:r w:rsidR="00332709" w:rsidRPr="001E6526">
              <w:rPr>
                <w:rFonts w:ascii="Arial" w:hAnsi="Arial"/>
                <w:color w:val="000000"/>
                <w:sz w:val="18"/>
                <w:lang w:val="mk-MK"/>
              </w:rPr>
              <w:t>20</w:t>
            </w:r>
          </w:p>
        </w:tc>
      </w:tr>
      <w:tr w:rsidR="00F93B95" w:rsidRPr="001E6526" w14:paraId="2E285092" w14:textId="77777777" w:rsidTr="0025712C">
        <w:trPr>
          <w:trHeight w:val="216"/>
        </w:trPr>
        <w:tc>
          <w:tcPr>
            <w:tcW w:w="5760" w:type="dxa"/>
            <w:tcMar>
              <w:left w:w="58" w:type="dxa"/>
              <w:right w:w="58" w:type="dxa"/>
            </w:tcMar>
            <w:vAlign w:val="bottom"/>
          </w:tcPr>
          <w:p w14:paraId="61EF8A80" w14:textId="77777777" w:rsidR="00F93B95" w:rsidRPr="001E6526" w:rsidRDefault="00F93B95" w:rsidP="00F93B95">
            <w:pPr>
              <w:pStyle w:val="TableText"/>
              <w:spacing w:after="0"/>
              <w:rPr>
                <w:rFonts w:ascii="Arial" w:hAnsi="Arial"/>
                <w:sz w:val="18"/>
                <w:lang w:val="mk-MK"/>
              </w:rPr>
            </w:pPr>
          </w:p>
        </w:tc>
        <w:tc>
          <w:tcPr>
            <w:tcW w:w="1440" w:type="dxa"/>
            <w:tcMar>
              <w:left w:w="58" w:type="dxa"/>
              <w:right w:w="58" w:type="dxa"/>
            </w:tcMar>
            <w:vAlign w:val="bottom"/>
          </w:tcPr>
          <w:p w14:paraId="3DA1441D" w14:textId="77777777" w:rsidR="00F93B95" w:rsidRPr="001E6526" w:rsidRDefault="00F93B95" w:rsidP="00F93B95">
            <w:pPr>
              <w:pStyle w:val="TableText"/>
              <w:spacing w:after="0"/>
              <w:jc w:val="right"/>
              <w:rPr>
                <w:rFonts w:ascii="Arial" w:hAnsi="Arial"/>
                <w:color w:val="000000"/>
                <w:sz w:val="18"/>
                <w:lang w:val="mk-MK"/>
              </w:rPr>
            </w:pPr>
          </w:p>
        </w:tc>
        <w:tc>
          <w:tcPr>
            <w:tcW w:w="1440" w:type="dxa"/>
            <w:tcMar>
              <w:left w:w="58" w:type="dxa"/>
              <w:right w:w="58" w:type="dxa"/>
            </w:tcMar>
            <w:vAlign w:val="bottom"/>
          </w:tcPr>
          <w:p w14:paraId="6EBEF0C9" w14:textId="77777777" w:rsidR="00F93B95" w:rsidRPr="001E6526" w:rsidRDefault="00F93B95" w:rsidP="00F93B95">
            <w:pPr>
              <w:pStyle w:val="TableText"/>
              <w:spacing w:after="0"/>
              <w:jc w:val="right"/>
              <w:rPr>
                <w:rFonts w:ascii="Arial" w:hAnsi="Arial"/>
                <w:color w:val="000000"/>
                <w:sz w:val="18"/>
                <w:lang w:val="mk-MK"/>
              </w:rPr>
            </w:pPr>
          </w:p>
        </w:tc>
      </w:tr>
      <w:tr w:rsidR="00F25BB7" w:rsidRPr="001E6526" w14:paraId="5D586014" w14:textId="77777777" w:rsidTr="00FC60F5">
        <w:trPr>
          <w:trHeight w:val="216"/>
        </w:trPr>
        <w:tc>
          <w:tcPr>
            <w:tcW w:w="5760" w:type="dxa"/>
            <w:tcMar>
              <w:left w:w="58" w:type="dxa"/>
              <w:right w:w="58" w:type="dxa"/>
            </w:tcMar>
          </w:tcPr>
          <w:p w14:paraId="5BA7CD20" w14:textId="2FB639A2" w:rsidR="00F25BB7" w:rsidRPr="00CE3053" w:rsidRDefault="00F25BB7" w:rsidP="00F25BB7">
            <w:pPr>
              <w:spacing w:after="0"/>
              <w:rPr>
                <w:rFonts w:ascii="Arial" w:hAnsi="Arial" w:cs="Arial"/>
                <w:color w:val="000000"/>
                <w:lang w:val="mk-MK"/>
              </w:rPr>
            </w:pPr>
            <w:r w:rsidRPr="00925A62">
              <w:t>Profit before tax</w:t>
            </w:r>
          </w:p>
        </w:tc>
        <w:tc>
          <w:tcPr>
            <w:tcW w:w="1440" w:type="dxa"/>
            <w:tcMar>
              <w:left w:w="58" w:type="dxa"/>
              <w:right w:w="58" w:type="dxa"/>
            </w:tcMar>
            <w:vAlign w:val="bottom"/>
          </w:tcPr>
          <w:p w14:paraId="4F752788" w14:textId="59EF9ED5" w:rsidR="00F25BB7" w:rsidRPr="001E6526" w:rsidRDefault="00F25BB7" w:rsidP="00F25BB7">
            <w:pPr>
              <w:spacing w:after="0"/>
              <w:jc w:val="right"/>
              <w:rPr>
                <w:rFonts w:ascii="Arial" w:hAnsi="Arial" w:cs="Arial"/>
                <w:color w:val="000000"/>
                <w:lang w:val="mk-MK"/>
              </w:rPr>
            </w:pPr>
            <w:r w:rsidRPr="001E6526">
              <w:rPr>
                <w:rFonts w:ascii="Arial" w:hAnsi="Arial" w:cs="Arial"/>
                <w:color w:val="000000"/>
                <w:lang w:val="mk-MK"/>
              </w:rPr>
              <w:t>46,971</w:t>
            </w:r>
          </w:p>
        </w:tc>
        <w:tc>
          <w:tcPr>
            <w:tcW w:w="1440" w:type="dxa"/>
            <w:tcMar>
              <w:left w:w="58" w:type="dxa"/>
              <w:right w:w="58" w:type="dxa"/>
            </w:tcMar>
            <w:vAlign w:val="bottom"/>
          </w:tcPr>
          <w:p w14:paraId="5C7A5D41" w14:textId="635DDD81" w:rsidR="00F25BB7" w:rsidRPr="00CE3053" w:rsidRDefault="00F25BB7" w:rsidP="00F25BB7">
            <w:pPr>
              <w:spacing w:after="0"/>
              <w:jc w:val="right"/>
              <w:rPr>
                <w:rFonts w:ascii="Arial" w:hAnsi="Arial" w:cs="Arial"/>
                <w:color w:val="000000"/>
                <w:lang w:val="mk-MK"/>
              </w:rPr>
            </w:pPr>
            <w:r w:rsidRPr="001E6526">
              <w:rPr>
                <w:rFonts w:ascii="Arial" w:hAnsi="Arial" w:cs="Arial"/>
                <w:color w:val="000000"/>
                <w:lang w:val="mk-MK"/>
              </w:rPr>
              <w:t>78,015</w:t>
            </w:r>
          </w:p>
        </w:tc>
      </w:tr>
      <w:tr w:rsidR="00F25BB7" w:rsidRPr="001E6526" w14:paraId="6BA584A1" w14:textId="77777777" w:rsidTr="00FC60F5">
        <w:trPr>
          <w:trHeight w:val="216"/>
        </w:trPr>
        <w:tc>
          <w:tcPr>
            <w:tcW w:w="5760" w:type="dxa"/>
            <w:tcMar>
              <w:left w:w="58" w:type="dxa"/>
              <w:right w:w="58" w:type="dxa"/>
            </w:tcMar>
          </w:tcPr>
          <w:p w14:paraId="226AB476" w14:textId="7E49C774" w:rsidR="00F25BB7" w:rsidRPr="00CE3053" w:rsidRDefault="00F25BB7" w:rsidP="00F25BB7">
            <w:pPr>
              <w:spacing w:after="0"/>
              <w:rPr>
                <w:rFonts w:ascii="Arial" w:hAnsi="Arial" w:cs="Arial"/>
                <w:color w:val="000000"/>
                <w:lang w:val="mk-MK"/>
              </w:rPr>
            </w:pPr>
            <w:r w:rsidRPr="00925A62">
              <w:t xml:space="preserve">Non-deductible expenses for tax purposes from the current year </w:t>
            </w:r>
          </w:p>
        </w:tc>
        <w:tc>
          <w:tcPr>
            <w:tcW w:w="1440" w:type="dxa"/>
            <w:tcMar>
              <w:left w:w="58" w:type="dxa"/>
              <w:right w:w="58" w:type="dxa"/>
            </w:tcMar>
            <w:vAlign w:val="bottom"/>
          </w:tcPr>
          <w:p w14:paraId="7299DA7F" w14:textId="717B68C7" w:rsidR="00F25BB7" w:rsidRPr="001E6526" w:rsidRDefault="00F25BB7" w:rsidP="00F25BB7">
            <w:pPr>
              <w:spacing w:after="0"/>
              <w:jc w:val="right"/>
              <w:rPr>
                <w:rFonts w:ascii="Arial" w:hAnsi="Arial" w:cs="Arial"/>
                <w:color w:val="000000"/>
                <w:lang w:val="mk-MK"/>
              </w:rPr>
            </w:pPr>
            <w:r w:rsidRPr="001E6526">
              <w:rPr>
                <w:rFonts w:ascii="Arial" w:hAnsi="Arial" w:cs="Arial"/>
                <w:color w:val="000000"/>
                <w:lang w:val="mk-MK"/>
              </w:rPr>
              <w:t>241</w:t>
            </w:r>
          </w:p>
        </w:tc>
        <w:tc>
          <w:tcPr>
            <w:tcW w:w="1440" w:type="dxa"/>
            <w:tcMar>
              <w:left w:w="58" w:type="dxa"/>
              <w:right w:w="58" w:type="dxa"/>
            </w:tcMar>
            <w:vAlign w:val="bottom"/>
          </w:tcPr>
          <w:p w14:paraId="13602CDB" w14:textId="75678DEF" w:rsidR="00F25BB7" w:rsidRPr="00CE3053" w:rsidRDefault="00F25BB7" w:rsidP="00F25BB7">
            <w:pPr>
              <w:spacing w:after="0"/>
              <w:jc w:val="right"/>
              <w:rPr>
                <w:rFonts w:ascii="Arial" w:hAnsi="Arial" w:cs="Arial"/>
                <w:color w:val="000000"/>
                <w:lang w:val="mk-MK"/>
              </w:rPr>
            </w:pPr>
            <w:r w:rsidRPr="001E6526">
              <w:rPr>
                <w:rFonts w:ascii="Arial" w:hAnsi="Arial" w:cs="Arial"/>
                <w:color w:val="000000"/>
                <w:lang w:val="mk-MK"/>
              </w:rPr>
              <w:t>194</w:t>
            </w:r>
          </w:p>
        </w:tc>
      </w:tr>
      <w:tr w:rsidR="00332709" w:rsidRPr="001E6526" w14:paraId="31B27B8A" w14:textId="77777777" w:rsidTr="0025712C">
        <w:trPr>
          <w:trHeight w:val="216"/>
        </w:trPr>
        <w:tc>
          <w:tcPr>
            <w:tcW w:w="5760" w:type="dxa"/>
            <w:tcBorders>
              <w:top w:val="single" w:sz="4" w:space="0" w:color="auto"/>
              <w:bottom w:val="single" w:sz="4" w:space="0" w:color="auto"/>
            </w:tcBorders>
            <w:tcMar>
              <w:left w:w="58" w:type="dxa"/>
              <w:right w:w="58" w:type="dxa"/>
            </w:tcMar>
            <w:vAlign w:val="bottom"/>
          </w:tcPr>
          <w:p w14:paraId="47DE01BC" w14:textId="34A7EA29" w:rsidR="00332709" w:rsidRPr="00F25BB7" w:rsidRDefault="00F25BB7" w:rsidP="00332709">
            <w:pPr>
              <w:spacing w:after="0"/>
              <w:rPr>
                <w:rFonts w:ascii="Arial" w:hAnsi="Arial" w:cs="Arial"/>
                <w:b/>
                <w:bCs/>
                <w:color w:val="000000"/>
              </w:rPr>
            </w:pPr>
            <w:r>
              <w:rPr>
                <w:rFonts w:ascii="Arial" w:hAnsi="Arial" w:cs="Arial"/>
                <w:b/>
                <w:bCs/>
                <w:color w:val="000000"/>
              </w:rPr>
              <w:t>Tax base</w:t>
            </w:r>
          </w:p>
        </w:tc>
        <w:tc>
          <w:tcPr>
            <w:tcW w:w="1440" w:type="dxa"/>
            <w:tcBorders>
              <w:top w:val="single" w:sz="4" w:space="0" w:color="auto"/>
              <w:bottom w:val="single" w:sz="4" w:space="0" w:color="auto"/>
            </w:tcBorders>
            <w:tcMar>
              <w:left w:w="58" w:type="dxa"/>
              <w:right w:w="58" w:type="dxa"/>
            </w:tcMar>
            <w:vAlign w:val="bottom"/>
          </w:tcPr>
          <w:p w14:paraId="2AF55CD8" w14:textId="0232985B" w:rsidR="00332709" w:rsidRPr="001E6526" w:rsidRDefault="00332709" w:rsidP="00332709">
            <w:pPr>
              <w:spacing w:after="0"/>
              <w:jc w:val="right"/>
              <w:rPr>
                <w:rFonts w:ascii="Arial" w:hAnsi="Arial" w:cs="Arial"/>
                <w:b/>
                <w:bCs/>
                <w:color w:val="000000"/>
                <w:lang w:val="mk-MK"/>
              </w:rPr>
            </w:pPr>
            <w:r w:rsidRPr="001E6526">
              <w:rPr>
                <w:rFonts w:ascii="Arial" w:hAnsi="Arial" w:cs="Arial"/>
                <w:b/>
                <w:bCs/>
                <w:color w:val="000000"/>
                <w:lang w:val="mk-MK"/>
              </w:rPr>
              <w:t>47,212</w:t>
            </w:r>
          </w:p>
        </w:tc>
        <w:tc>
          <w:tcPr>
            <w:tcW w:w="1440" w:type="dxa"/>
            <w:tcBorders>
              <w:top w:val="single" w:sz="4" w:space="0" w:color="auto"/>
              <w:bottom w:val="single" w:sz="4" w:space="0" w:color="auto"/>
            </w:tcBorders>
            <w:tcMar>
              <w:left w:w="58" w:type="dxa"/>
              <w:right w:w="58" w:type="dxa"/>
            </w:tcMar>
            <w:vAlign w:val="bottom"/>
          </w:tcPr>
          <w:p w14:paraId="21F79241" w14:textId="0B932A32" w:rsidR="00332709" w:rsidRPr="00CE3053" w:rsidRDefault="00332709" w:rsidP="00332709">
            <w:pPr>
              <w:spacing w:after="0"/>
              <w:jc w:val="right"/>
              <w:rPr>
                <w:rFonts w:ascii="Arial" w:hAnsi="Arial" w:cs="Arial"/>
                <w:b/>
                <w:bCs/>
                <w:color w:val="000000"/>
                <w:lang w:val="mk-MK"/>
              </w:rPr>
            </w:pPr>
            <w:r w:rsidRPr="001E6526">
              <w:rPr>
                <w:rFonts w:ascii="Arial" w:hAnsi="Arial" w:cs="Arial"/>
                <w:b/>
                <w:bCs/>
                <w:color w:val="000000"/>
                <w:lang w:val="mk-MK"/>
              </w:rPr>
              <w:t>78,209</w:t>
            </w:r>
          </w:p>
        </w:tc>
      </w:tr>
      <w:tr w:rsidR="00332709" w:rsidRPr="001E6526" w14:paraId="40B619D7" w14:textId="77777777" w:rsidTr="0025712C">
        <w:trPr>
          <w:trHeight w:val="216"/>
        </w:trPr>
        <w:tc>
          <w:tcPr>
            <w:tcW w:w="5760" w:type="dxa"/>
            <w:tcBorders>
              <w:top w:val="single" w:sz="4" w:space="0" w:color="auto"/>
              <w:bottom w:val="single" w:sz="4" w:space="0" w:color="auto"/>
            </w:tcBorders>
            <w:tcMar>
              <w:left w:w="58" w:type="dxa"/>
              <w:right w:w="58" w:type="dxa"/>
            </w:tcMar>
            <w:vAlign w:val="bottom"/>
          </w:tcPr>
          <w:p w14:paraId="273A3241" w14:textId="3755DA61" w:rsidR="00332709" w:rsidRPr="00CE3053" w:rsidRDefault="00F25BB7" w:rsidP="00332709">
            <w:pPr>
              <w:spacing w:after="0"/>
              <w:rPr>
                <w:rFonts w:ascii="Arial" w:hAnsi="Arial" w:cs="Arial"/>
                <w:color w:val="000000"/>
                <w:lang w:val="mk-MK"/>
              </w:rPr>
            </w:pPr>
            <w:proofErr w:type="spellStart"/>
            <w:r w:rsidRPr="00F25BB7">
              <w:rPr>
                <w:rFonts w:ascii="Arial" w:hAnsi="Arial" w:cs="Arial"/>
                <w:color w:val="000000"/>
                <w:lang w:val="mk-MK"/>
              </w:rPr>
              <w:t>Tax</w:t>
            </w:r>
            <w:proofErr w:type="spellEnd"/>
            <w:r w:rsidRPr="00F25BB7">
              <w:rPr>
                <w:rFonts w:ascii="Arial" w:hAnsi="Arial" w:cs="Arial"/>
                <w:color w:val="000000"/>
                <w:lang w:val="mk-MK"/>
              </w:rPr>
              <w:t xml:space="preserve"> </w:t>
            </w:r>
            <w:proofErr w:type="spellStart"/>
            <w:r w:rsidRPr="00F25BB7">
              <w:rPr>
                <w:rFonts w:ascii="Arial" w:hAnsi="Arial" w:cs="Arial"/>
                <w:color w:val="000000"/>
                <w:lang w:val="mk-MK"/>
              </w:rPr>
              <w:t>deduction</w:t>
            </w:r>
            <w:proofErr w:type="spellEnd"/>
          </w:p>
        </w:tc>
        <w:tc>
          <w:tcPr>
            <w:tcW w:w="1440" w:type="dxa"/>
            <w:tcBorders>
              <w:top w:val="single" w:sz="4" w:space="0" w:color="auto"/>
              <w:bottom w:val="single" w:sz="4" w:space="0" w:color="auto"/>
            </w:tcBorders>
            <w:tcMar>
              <w:left w:w="58" w:type="dxa"/>
              <w:right w:w="58" w:type="dxa"/>
            </w:tcMar>
            <w:vAlign w:val="bottom"/>
          </w:tcPr>
          <w:p w14:paraId="7EA6A846" w14:textId="77777777" w:rsidR="00332709" w:rsidRPr="001E6526" w:rsidRDefault="00332709" w:rsidP="00332709">
            <w:pPr>
              <w:spacing w:after="0"/>
              <w:jc w:val="right"/>
              <w:rPr>
                <w:rFonts w:ascii="Arial" w:hAnsi="Arial" w:cs="Arial"/>
                <w:color w:val="000000"/>
                <w:lang w:val="mk-MK"/>
              </w:rPr>
            </w:pPr>
            <w:r w:rsidRPr="001E6526">
              <w:rPr>
                <w:rFonts w:ascii="Arial" w:hAnsi="Arial" w:cs="Arial"/>
                <w:color w:val="000000"/>
                <w:lang w:val="mk-MK"/>
              </w:rPr>
              <w:t>-</w:t>
            </w:r>
          </w:p>
        </w:tc>
        <w:tc>
          <w:tcPr>
            <w:tcW w:w="1440" w:type="dxa"/>
            <w:tcBorders>
              <w:top w:val="single" w:sz="4" w:space="0" w:color="auto"/>
              <w:bottom w:val="single" w:sz="4" w:space="0" w:color="auto"/>
            </w:tcBorders>
            <w:tcMar>
              <w:left w:w="58" w:type="dxa"/>
              <w:right w:w="58" w:type="dxa"/>
            </w:tcMar>
            <w:vAlign w:val="bottom"/>
          </w:tcPr>
          <w:p w14:paraId="5A927C44" w14:textId="0329CDEF" w:rsidR="00332709" w:rsidRPr="00CE3053" w:rsidRDefault="00332709" w:rsidP="00332709">
            <w:pPr>
              <w:spacing w:after="0"/>
              <w:jc w:val="right"/>
              <w:rPr>
                <w:rFonts w:ascii="Arial" w:hAnsi="Arial" w:cs="Arial"/>
                <w:color w:val="000000"/>
                <w:lang w:val="mk-MK"/>
              </w:rPr>
            </w:pPr>
            <w:r w:rsidRPr="001E6526">
              <w:rPr>
                <w:rFonts w:ascii="Arial" w:hAnsi="Arial" w:cs="Arial"/>
                <w:color w:val="000000"/>
                <w:lang w:val="mk-MK"/>
              </w:rPr>
              <w:t>-</w:t>
            </w:r>
          </w:p>
        </w:tc>
      </w:tr>
      <w:tr w:rsidR="00332709" w:rsidRPr="001E6526" w14:paraId="7A93A769" w14:textId="77777777" w:rsidTr="0025712C">
        <w:trPr>
          <w:trHeight w:val="216"/>
        </w:trPr>
        <w:tc>
          <w:tcPr>
            <w:tcW w:w="5760" w:type="dxa"/>
            <w:tcBorders>
              <w:top w:val="single" w:sz="4" w:space="0" w:color="auto"/>
              <w:bottom w:val="single" w:sz="4" w:space="0" w:color="auto"/>
            </w:tcBorders>
            <w:tcMar>
              <w:left w:w="58" w:type="dxa"/>
              <w:right w:w="58" w:type="dxa"/>
            </w:tcMar>
            <w:vAlign w:val="bottom"/>
          </w:tcPr>
          <w:p w14:paraId="250A1E7B" w14:textId="466D6E5F" w:rsidR="00332709" w:rsidRPr="00CE3053" w:rsidRDefault="00F25BB7" w:rsidP="00332709">
            <w:pPr>
              <w:spacing w:after="0"/>
              <w:rPr>
                <w:rFonts w:ascii="Arial" w:hAnsi="Arial" w:cs="Arial"/>
                <w:b/>
                <w:bCs/>
                <w:color w:val="000000"/>
                <w:lang w:val="mk-MK"/>
              </w:rPr>
            </w:pPr>
            <w:proofErr w:type="spellStart"/>
            <w:r w:rsidRPr="00F25BB7">
              <w:rPr>
                <w:rFonts w:ascii="Arial" w:hAnsi="Arial" w:cs="Arial"/>
                <w:b/>
                <w:bCs/>
                <w:color w:val="000000"/>
                <w:lang w:val="mk-MK"/>
              </w:rPr>
              <w:t>Tax</w:t>
            </w:r>
            <w:proofErr w:type="spellEnd"/>
            <w:r w:rsidRPr="00F25BB7">
              <w:rPr>
                <w:rFonts w:ascii="Arial" w:hAnsi="Arial" w:cs="Arial"/>
                <w:b/>
                <w:bCs/>
                <w:color w:val="000000"/>
                <w:lang w:val="mk-MK"/>
              </w:rPr>
              <w:t xml:space="preserve"> </w:t>
            </w:r>
            <w:proofErr w:type="spellStart"/>
            <w:r w:rsidRPr="00F25BB7">
              <w:rPr>
                <w:rFonts w:ascii="Arial" w:hAnsi="Arial" w:cs="Arial"/>
                <w:b/>
                <w:bCs/>
                <w:color w:val="000000"/>
                <w:lang w:val="mk-MK"/>
              </w:rPr>
              <w:t>base</w:t>
            </w:r>
            <w:proofErr w:type="spellEnd"/>
            <w:r w:rsidRPr="00F25BB7">
              <w:rPr>
                <w:rFonts w:ascii="Arial" w:hAnsi="Arial" w:cs="Arial"/>
                <w:b/>
                <w:bCs/>
                <w:color w:val="000000"/>
                <w:lang w:val="mk-MK"/>
              </w:rPr>
              <w:t xml:space="preserve"> </w:t>
            </w:r>
            <w:proofErr w:type="spellStart"/>
            <w:r w:rsidRPr="00F25BB7">
              <w:rPr>
                <w:rFonts w:ascii="Arial" w:hAnsi="Arial" w:cs="Arial"/>
                <w:b/>
                <w:bCs/>
                <w:color w:val="000000"/>
                <w:lang w:val="mk-MK"/>
              </w:rPr>
              <w:t>after</w:t>
            </w:r>
            <w:proofErr w:type="spellEnd"/>
            <w:r w:rsidRPr="00F25BB7">
              <w:rPr>
                <w:rFonts w:ascii="Arial" w:hAnsi="Arial" w:cs="Arial"/>
                <w:b/>
                <w:bCs/>
                <w:color w:val="000000"/>
                <w:lang w:val="mk-MK"/>
              </w:rPr>
              <w:t xml:space="preserve"> </w:t>
            </w:r>
            <w:proofErr w:type="spellStart"/>
            <w:r w:rsidRPr="00F25BB7">
              <w:rPr>
                <w:rFonts w:ascii="Arial" w:hAnsi="Arial" w:cs="Arial"/>
                <w:b/>
                <w:bCs/>
                <w:color w:val="000000"/>
                <w:lang w:val="mk-MK"/>
              </w:rPr>
              <w:t>the</w:t>
            </w:r>
            <w:proofErr w:type="spellEnd"/>
            <w:r w:rsidRPr="00F25BB7">
              <w:rPr>
                <w:rFonts w:ascii="Arial" w:hAnsi="Arial" w:cs="Arial"/>
                <w:b/>
                <w:bCs/>
                <w:color w:val="000000"/>
                <w:lang w:val="mk-MK"/>
              </w:rPr>
              <w:t xml:space="preserve"> </w:t>
            </w:r>
            <w:proofErr w:type="spellStart"/>
            <w:r w:rsidRPr="00F25BB7">
              <w:rPr>
                <w:rFonts w:ascii="Arial" w:hAnsi="Arial" w:cs="Arial"/>
                <w:b/>
                <w:bCs/>
                <w:color w:val="000000"/>
                <w:lang w:val="mk-MK"/>
              </w:rPr>
              <w:t>deduction</w:t>
            </w:r>
            <w:proofErr w:type="spellEnd"/>
          </w:p>
        </w:tc>
        <w:tc>
          <w:tcPr>
            <w:tcW w:w="1440" w:type="dxa"/>
            <w:tcBorders>
              <w:top w:val="single" w:sz="4" w:space="0" w:color="auto"/>
              <w:bottom w:val="single" w:sz="4" w:space="0" w:color="auto"/>
            </w:tcBorders>
            <w:tcMar>
              <w:left w:w="58" w:type="dxa"/>
              <w:right w:w="58" w:type="dxa"/>
            </w:tcMar>
            <w:vAlign w:val="bottom"/>
          </w:tcPr>
          <w:p w14:paraId="10401234" w14:textId="314D5DC8" w:rsidR="00332709" w:rsidRPr="001E6526" w:rsidRDefault="00332709" w:rsidP="00332709">
            <w:pPr>
              <w:spacing w:after="0"/>
              <w:jc w:val="right"/>
              <w:rPr>
                <w:rFonts w:ascii="Arial" w:hAnsi="Arial" w:cs="Arial"/>
                <w:b/>
                <w:bCs/>
                <w:color w:val="000000"/>
                <w:lang w:val="mk-MK"/>
              </w:rPr>
            </w:pPr>
            <w:r w:rsidRPr="001E6526">
              <w:rPr>
                <w:rFonts w:ascii="Arial" w:hAnsi="Arial" w:cs="Arial"/>
                <w:b/>
                <w:bCs/>
                <w:color w:val="000000"/>
                <w:lang w:val="mk-MK"/>
              </w:rPr>
              <w:t>47,212</w:t>
            </w:r>
          </w:p>
        </w:tc>
        <w:tc>
          <w:tcPr>
            <w:tcW w:w="1440" w:type="dxa"/>
            <w:tcBorders>
              <w:top w:val="single" w:sz="4" w:space="0" w:color="auto"/>
              <w:bottom w:val="single" w:sz="4" w:space="0" w:color="auto"/>
            </w:tcBorders>
            <w:tcMar>
              <w:left w:w="58" w:type="dxa"/>
              <w:right w:w="58" w:type="dxa"/>
            </w:tcMar>
            <w:vAlign w:val="bottom"/>
          </w:tcPr>
          <w:p w14:paraId="05070D3E" w14:textId="7CB18B2B" w:rsidR="00332709" w:rsidRPr="00CE3053" w:rsidRDefault="00332709" w:rsidP="00332709">
            <w:pPr>
              <w:spacing w:after="0"/>
              <w:jc w:val="right"/>
              <w:rPr>
                <w:rFonts w:ascii="Arial" w:hAnsi="Arial" w:cs="Arial"/>
                <w:b/>
                <w:bCs/>
                <w:color w:val="000000"/>
                <w:lang w:val="mk-MK"/>
              </w:rPr>
            </w:pPr>
            <w:r w:rsidRPr="001E6526">
              <w:rPr>
                <w:rFonts w:ascii="Arial" w:hAnsi="Arial" w:cs="Arial"/>
                <w:b/>
                <w:bCs/>
                <w:color w:val="000000"/>
                <w:lang w:val="mk-MK"/>
              </w:rPr>
              <w:t>78,209</w:t>
            </w:r>
          </w:p>
        </w:tc>
      </w:tr>
      <w:tr w:rsidR="00332709" w:rsidRPr="001E6526" w14:paraId="7B6B8CBA" w14:textId="77777777" w:rsidTr="0025712C">
        <w:trPr>
          <w:trHeight w:val="216"/>
        </w:trPr>
        <w:tc>
          <w:tcPr>
            <w:tcW w:w="5760" w:type="dxa"/>
            <w:tcBorders>
              <w:top w:val="single" w:sz="4" w:space="0" w:color="auto"/>
              <w:bottom w:val="single" w:sz="4" w:space="0" w:color="auto"/>
            </w:tcBorders>
            <w:tcMar>
              <w:left w:w="58" w:type="dxa"/>
              <w:right w:w="58" w:type="dxa"/>
            </w:tcMar>
            <w:vAlign w:val="bottom"/>
          </w:tcPr>
          <w:p w14:paraId="0D8A6793" w14:textId="659208AE" w:rsidR="00332709" w:rsidRPr="00CE3053" w:rsidRDefault="00F25BB7" w:rsidP="00332709">
            <w:pPr>
              <w:spacing w:after="0"/>
              <w:rPr>
                <w:rFonts w:ascii="Arial" w:hAnsi="Arial" w:cs="Arial"/>
                <w:lang w:val="mk-MK"/>
              </w:rPr>
            </w:pPr>
            <w:proofErr w:type="spellStart"/>
            <w:r w:rsidRPr="00F25BB7">
              <w:rPr>
                <w:rFonts w:ascii="Arial" w:hAnsi="Arial" w:cs="Arial"/>
                <w:lang w:val="mk-MK"/>
              </w:rPr>
              <w:t>Tax</w:t>
            </w:r>
            <w:proofErr w:type="spellEnd"/>
            <w:r w:rsidRPr="00F25BB7">
              <w:rPr>
                <w:rFonts w:ascii="Arial" w:hAnsi="Arial" w:cs="Arial"/>
                <w:lang w:val="mk-MK"/>
              </w:rPr>
              <w:t xml:space="preserve"> </w:t>
            </w:r>
            <w:proofErr w:type="spellStart"/>
            <w:r w:rsidRPr="00F25BB7">
              <w:rPr>
                <w:rFonts w:ascii="Arial" w:hAnsi="Arial" w:cs="Arial"/>
                <w:lang w:val="mk-MK"/>
              </w:rPr>
              <w:t>rate</w:t>
            </w:r>
            <w:proofErr w:type="spellEnd"/>
          </w:p>
        </w:tc>
        <w:tc>
          <w:tcPr>
            <w:tcW w:w="1440" w:type="dxa"/>
            <w:tcBorders>
              <w:top w:val="single" w:sz="4" w:space="0" w:color="auto"/>
              <w:bottom w:val="single" w:sz="4" w:space="0" w:color="auto"/>
            </w:tcBorders>
            <w:tcMar>
              <w:left w:w="58" w:type="dxa"/>
              <w:right w:w="58" w:type="dxa"/>
            </w:tcMar>
            <w:vAlign w:val="bottom"/>
          </w:tcPr>
          <w:p w14:paraId="11B432C5" w14:textId="77777777" w:rsidR="00332709" w:rsidRPr="001E6526" w:rsidRDefault="00332709" w:rsidP="00332709">
            <w:pPr>
              <w:spacing w:after="0"/>
              <w:jc w:val="right"/>
              <w:rPr>
                <w:rFonts w:ascii="Arial" w:hAnsi="Arial" w:cs="Arial"/>
                <w:color w:val="000000"/>
                <w:lang w:val="mk-MK"/>
              </w:rPr>
            </w:pPr>
            <w:r w:rsidRPr="001E6526">
              <w:rPr>
                <w:rFonts w:ascii="Arial" w:hAnsi="Arial" w:cs="Arial"/>
                <w:color w:val="000000"/>
                <w:lang w:val="mk-MK"/>
              </w:rPr>
              <w:t>10%</w:t>
            </w:r>
          </w:p>
        </w:tc>
        <w:tc>
          <w:tcPr>
            <w:tcW w:w="1440" w:type="dxa"/>
            <w:tcBorders>
              <w:top w:val="single" w:sz="4" w:space="0" w:color="auto"/>
              <w:bottom w:val="single" w:sz="4" w:space="0" w:color="auto"/>
            </w:tcBorders>
            <w:tcMar>
              <w:left w:w="58" w:type="dxa"/>
              <w:right w:w="58" w:type="dxa"/>
            </w:tcMar>
            <w:vAlign w:val="bottom"/>
          </w:tcPr>
          <w:p w14:paraId="490C642A" w14:textId="00BA866D" w:rsidR="00332709" w:rsidRPr="00CE3053" w:rsidRDefault="00332709" w:rsidP="00332709">
            <w:pPr>
              <w:spacing w:after="0"/>
              <w:jc w:val="right"/>
              <w:rPr>
                <w:rFonts w:ascii="Arial" w:hAnsi="Arial" w:cs="Arial"/>
                <w:color w:val="000000"/>
                <w:lang w:val="mk-MK"/>
              </w:rPr>
            </w:pPr>
            <w:r w:rsidRPr="001E6526">
              <w:rPr>
                <w:rFonts w:ascii="Arial" w:hAnsi="Arial" w:cs="Arial"/>
                <w:color w:val="000000"/>
                <w:lang w:val="mk-MK"/>
              </w:rPr>
              <w:t>10%</w:t>
            </w:r>
          </w:p>
        </w:tc>
      </w:tr>
      <w:tr w:rsidR="00332709" w:rsidRPr="001E6526" w14:paraId="7107A5C8" w14:textId="77777777" w:rsidTr="0025712C">
        <w:trPr>
          <w:trHeight w:val="216"/>
        </w:trPr>
        <w:tc>
          <w:tcPr>
            <w:tcW w:w="5760" w:type="dxa"/>
            <w:tcBorders>
              <w:top w:val="single" w:sz="4" w:space="0" w:color="auto"/>
              <w:bottom w:val="single" w:sz="4" w:space="0" w:color="auto"/>
            </w:tcBorders>
            <w:tcMar>
              <w:left w:w="58" w:type="dxa"/>
              <w:right w:w="58" w:type="dxa"/>
            </w:tcMar>
            <w:vAlign w:val="bottom"/>
          </w:tcPr>
          <w:p w14:paraId="6802A3DE" w14:textId="6B93A002" w:rsidR="00332709" w:rsidRPr="00CE3053" w:rsidRDefault="00F25BB7" w:rsidP="00332709">
            <w:pPr>
              <w:spacing w:after="0"/>
              <w:rPr>
                <w:rFonts w:ascii="Arial" w:hAnsi="Arial" w:cs="Arial"/>
                <w:b/>
                <w:bCs/>
                <w:color w:val="000000"/>
                <w:lang w:val="mk-MK"/>
              </w:rPr>
            </w:pPr>
            <w:proofErr w:type="spellStart"/>
            <w:r w:rsidRPr="00F25BB7">
              <w:rPr>
                <w:rFonts w:ascii="Arial" w:hAnsi="Arial" w:cs="Arial"/>
                <w:b/>
                <w:bCs/>
                <w:color w:val="000000"/>
                <w:lang w:val="mk-MK"/>
              </w:rPr>
              <w:t>Income</w:t>
            </w:r>
            <w:proofErr w:type="spellEnd"/>
            <w:r w:rsidRPr="00F25BB7">
              <w:rPr>
                <w:rFonts w:ascii="Arial" w:hAnsi="Arial" w:cs="Arial"/>
                <w:b/>
                <w:bCs/>
                <w:color w:val="000000"/>
                <w:lang w:val="mk-MK"/>
              </w:rPr>
              <w:t xml:space="preserve"> </w:t>
            </w:r>
            <w:proofErr w:type="spellStart"/>
            <w:r w:rsidRPr="00F25BB7">
              <w:rPr>
                <w:rFonts w:ascii="Arial" w:hAnsi="Arial" w:cs="Arial"/>
                <w:b/>
                <w:bCs/>
                <w:color w:val="000000"/>
                <w:lang w:val="mk-MK"/>
              </w:rPr>
              <w:t>tax</w:t>
            </w:r>
            <w:proofErr w:type="spellEnd"/>
          </w:p>
        </w:tc>
        <w:tc>
          <w:tcPr>
            <w:tcW w:w="1440" w:type="dxa"/>
            <w:tcBorders>
              <w:top w:val="single" w:sz="4" w:space="0" w:color="auto"/>
              <w:bottom w:val="single" w:sz="4" w:space="0" w:color="auto"/>
            </w:tcBorders>
            <w:tcMar>
              <w:left w:w="58" w:type="dxa"/>
              <w:right w:w="58" w:type="dxa"/>
            </w:tcMar>
            <w:vAlign w:val="bottom"/>
          </w:tcPr>
          <w:p w14:paraId="485575DB" w14:textId="01E51E3F" w:rsidR="00332709" w:rsidRPr="001E6526" w:rsidRDefault="00332709" w:rsidP="00332709">
            <w:pPr>
              <w:spacing w:after="0"/>
              <w:jc w:val="right"/>
              <w:rPr>
                <w:rFonts w:ascii="Arial" w:hAnsi="Arial" w:cs="Arial"/>
                <w:b/>
                <w:bCs/>
                <w:color w:val="000000"/>
                <w:lang w:val="mk-MK"/>
              </w:rPr>
            </w:pPr>
            <w:r w:rsidRPr="001E6526">
              <w:rPr>
                <w:rFonts w:ascii="Arial" w:hAnsi="Arial" w:cs="Arial"/>
                <w:b/>
                <w:bCs/>
                <w:color w:val="000000"/>
                <w:lang w:val="mk-MK"/>
              </w:rPr>
              <w:t>4,721</w:t>
            </w:r>
          </w:p>
        </w:tc>
        <w:tc>
          <w:tcPr>
            <w:tcW w:w="1440" w:type="dxa"/>
            <w:tcBorders>
              <w:top w:val="single" w:sz="4" w:space="0" w:color="auto"/>
              <w:bottom w:val="single" w:sz="4" w:space="0" w:color="auto"/>
            </w:tcBorders>
            <w:tcMar>
              <w:left w:w="58" w:type="dxa"/>
              <w:right w:w="58" w:type="dxa"/>
            </w:tcMar>
            <w:vAlign w:val="bottom"/>
          </w:tcPr>
          <w:p w14:paraId="11973637" w14:textId="03E61601" w:rsidR="00332709" w:rsidRPr="00CE3053" w:rsidRDefault="00332709" w:rsidP="00332709">
            <w:pPr>
              <w:spacing w:after="0"/>
              <w:jc w:val="right"/>
              <w:rPr>
                <w:rFonts w:ascii="Arial" w:hAnsi="Arial" w:cs="Arial"/>
                <w:b/>
                <w:bCs/>
                <w:color w:val="000000"/>
                <w:lang w:val="mk-MK"/>
              </w:rPr>
            </w:pPr>
            <w:r w:rsidRPr="001E6526">
              <w:rPr>
                <w:rFonts w:ascii="Arial" w:hAnsi="Arial" w:cs="Arial"/>
                <w:b/>
                <w:bCs/>
                <w:color w:val="000000"/>
                <w:lang w:val="mk-MK"/>
              </w:rPr>
              <w:t>7,821</w:t>
            </w:r>
          </w:p>
        </w:tc>
      </w:tr>
      <w:tr w:rsidR="00332709" w:rsidRPr="001E6526" w14:paraId="4A93342E" w14:textId="77777777" w:rsidTr="0087627A">
        <w:trPr>
          <w:trHeight w:val="216"/>
        </w:trPr>
        <w:tc>
          <w:tcPr>
            <w:tcW w:w="5760" w:type="dxa"/>
            <w:tcBorders>
              <w:top w:val="single" w:sz="4" w:space="0" w:color="auto"/>
              <w:bottom w:val="single" w:sz="4" w:space="0" w:color="auto"/>
            </w:tcBorders>
            <w:tcMar>
              <w:left w:w="58" w:type="dxa"/>
              <w:right w:w="58" w:type="dxa"/>
            </w:tcMar>
            <w:vAlign w:val="bottom"/>
          </w:tcPr>
          <w:p w14:paraId="4D6FE6A3" w14:textId="0F134DD6" w:rsidR="00332709" w:rsidRPr="00CE3053" w:rsidDel="00486C91" w:rsidRDefault="00F25BB7" w:rsidP="00332709">
            <w:pPr>
              <w:spacing w:after="0"/>
              <w:rPr>
                <w:rFonts w:ascii="Arial" w:hAnsi="Arial" w:cs="Arial"/>
                <w:bCs/>
                <w:color w:val="000000"/>
                <w:lang w:val="mk-MK"/>
              </w:rPr>
            </w:pPr>
            <w:proofErr w:type="spellStart"/>
            <w:r w:rsidRPr="00F25BB7">
              <w:rPr>
                <w:rFonts w:ascii="Arial" w:hAnsi="Arial" w:cs="Arial"/>
                <w:bCs/>
                <w:color w:val="000000"/>
                <w:lang w:val="mk-MK"/>
              </w:rPr>
              <w:t>Effective</w:t>
            </w:r>
            <w:proofErr w:type="spellEnd"/>
            <w:r w:rsidRPr="00F25BB7">
              <w:rPr>
                <w:rFonts w:ascii="Arial" w:hAnsi="Arial" w:cs="Arial"/>
                <w:bCs/>
                <w:color w:val="000000"/>
                <w:lang w:val="mk-MK"/>
              </w:rPr>
              <w:t xml:space="preserve"> </w:t>
            </w:r>
            <w:proofErr w:type="spellStart"/>
            <w:r w:rsidRPr="00F25BB7">
              <w:rPr>
                <w:rFonts w:ascii="Arial" w:hAnsi="Arial" w:cs="Arial"/>
                <w:bCs/>
                <w:color w:val="000000"/>
                <w:lang w:val="mk-MK"/>
              </w:rPr>
              <w:t>tax</w:t>
            </w:r>
            <w:proofErr w:type="spellEnd"/>
            <w:r w:rsidRPr="00F25BB7">
              <w:rPr>
                <w:rFonts w:ascii="Arial" w:hAnsi="Arial" w:cs="Arial"/>
                <w:bCs/>
                <w:color w:val="000000"/>
                <w:lang w:val="mk-MK"/>
              </w:rPr>
              <w:t xml:space="preserve"> </w:t>
            </w:r>
            <w:proofErr w:type="spellStart"/>
            <w:r w:rsidRPr="00F25BB7">
              <w:rPr>
                <w:rFonts w:ascii="Arial" w:hAnsi="Arial" w:cs="Arial"/>
                <w:bCs/>
                <w:color w:val="000000"/>
                <w:lang w:val="mk-MK"/>
              </w:rPr>
              <w:t>rate</w:t>
            </w:r>
            <w:proofErr w:type="spellEnd"/>
          </w:p>
        </w:tc>
        <w:tc>
          <w:tcPr>
            <w:tcW w:w="1440" w:type="dxa"/>
            <w:tcBorders>
              <w:top w:val="single" w:sz="4" w:space="0" w:color="auto"/>
              <w:bottom w:val="single" w:sz="4" w:space="0" w:color="auto"/>
            </w:tcBorders>
            <w:tcMar>
              <w:left w:w="58" w:type="dxa"/>
              <w:right w:w="58" w:type="dxa"/>
            </w:tcMar>
            <w:vAlign w:val="bottom"/>
          </w:tcPr>
          <w:p w14:paraId="58EFD427" w14:textId="689C8D35" w:rsidR="00332709" w:rsidRPr="001E6526" w:rsidRDefault="00332709" w:rsidP="00332709">
            <w:pPr>
              <w:spacing w:after="0"/>
              <w:jc w:val="right"/>
              <w:rPr>
                <w:rFonts w:ascii="Arial" w:hAnsi="Arial" w:cs="Arial"/>
                <w:bCs/>
                <w:color w:val="000000"/>
                <w:lang w:val="mk-MK"/>
              </w:rPr>
            </w:pPr>
            <w:r w:rsidRPr="001E6526">
              <w:rPr>
                <w:rFonts w:ascii="Arial" w:hAnsi="Arial" w:cs="Arial"/>
                <w:bCs/>
                <w:color w:val="000000"/>
                <w:lang w:val="mk-MK"/>
              </w:rPr>
              <w:t>10.0</w:t>
            </w:r>
            <w:r w:rsidR="00CD150D" w:rsidRPr="00CE3053">
              <w:rPr>
                <w:rFonts w:ascii="Arial" w:hAnsi="Arial" w:cs="Arial"/>
                <w:bCs/>
                <w:color w:val="000000"/>
                <w:lang w:val="mk-MK"/>
              </w:rPr>
              <w:t>5</w:t>
            </w:r>
            <w:r w:rsidRPr="001E6526">
              <w:rPr>
                <w:rFonts w:ascii="Arial" w:hAnsi="Arial" w:cs="Arial"/>
                <w:bCs/>
                <w:color w:val="000000"/>
                <w:lang w:val="mk-MK"/>
              </w:rPr>
              <w:t>%</w:t>
            </w:r>
          </w:p>
        </w:tc>
        <w:tc>
          <w:tcPr>
            <w:tcW w:w="1440" w:type="dxa"/>
            <w:tcBorders>
              <w:top w:val="single" w:sz="4" w:space="0" w:color="auto"/>
              <w:bottom w:val="single" w:sz="4" w:space="0" w:color="auto"/>
            </w:tcBorders>
            <w:tcMar>
              <w:left w:w="58" w:type="dxa"/>
              <w:right w:w="58" w:type="dxa"/>
            </w:tcMar>
            <w:vAlign w:val="bottom"/>
          </w:tcPr>
          <w:p w14:paraId="03AACD50" w14:textId="2E8D195F" w:rsidR="00332709" w:rsidRPr="00CE3053" w:rsidRDefault="00332709" w:rsidP="00332709">
            <w:pPr>
              <w:spacing w:after="0"/>
              <w:jc w:val="right"/>
              <w:rPr>
                <w:rFonts w:ascii="Arial" w:hAnsi="Arial" w:cs="Arial"/>
                <w:bCs/>
                <w:color w:val="000000"/>
                <w:lang w:val="mk-MK"/>
              </w:rPr>
            </w:pPr>
            <w:r w:rsidRPr="001E6526">
              <w:rPr>
                <w:rFonts w:ascii="Arial" w:hAnsi="Arial" w:cs="Arial"/>
                <w:bCs/>
                <w:color w:val="000000"/>
                <w:lang w:val="mk-MK"/>
              </w:rPr>
              <w:t>10.02%</w:t>
            </w:r>
          </w:p>
        </w:tc>
      </w:tr>
    </w:tbl>
    <w:p w14:paraId="0D551CAC" w14:textId="77777777" w:rsidR="0087627A" w:rsidRPr="00CE3053" w:rsidRDefault="0087627A" w:rsidP="0087627A">
      <w:pPr>
        <w:pStyle w:val="NumberedHeading1"/>
        <w:numPr>
          <w:ilvl w:val="0"/>
          <w:numId w:val="0"/>
        </w:numPr>
        <w:spacing w:before="0" w:after="0" w:line="260" w:lineRule="atLeast"/>
        <w:rPr>
          <w:rFonts w:ascii="Arial" w:hAnsi="Arial" w:cs="Arial"/>
          <w:b/>
          <w:color w:val="4F2D7F"/>
          <w:sz w:val="18"/>
          <w:lang w:val="mk-MK"/>
        </w:rPr>
      </w:pPr>
    </w:p>
    <w:p w14:paraId="5F72A21B" w14:textId="77777777" w:rsidR="0087627A" w:rsidRPr="00CE3053" w:rsidRDefault="0087627A" w:rsidP="0087627A">
      <w:pPr>
        <w:pStyle w:val="NumberedHeading1"/>
        <w:numPr>
          <w:ilvl w:val="0"/>
          <w:numId w:val="0"/>
        </w:numPr>
        <w:spacing w:before="0" w:after="0" w:line="260" w:lineRule="atLeast"/>
        <w:ind w:left="360"/>
        <w:rPr>
          <w:rFonts w:ascii="Arial" w:hAnsi="Arial" w:cs="Arial"/>
          <w:b/>
          <w:color w:val="4F2D7F"/>
          <w:sz w:val="18"/>
          <w:lang w:val="mk-MK"/>
        </w:rPr>
      </w:pPr>
    </w:p>
    <w:p w14:paraId="0C459272" w14:textId="19F7526A" w:rsidR="00F93B95" w:rsidRPr="00CE3053" w:rsidRDefault="00D326A6" w:rsidP="0061511C">
      <w:pPr>
        <w:pStyle w:val="NumberedHeading1"/>
        <w:numPr>
          <w:ilvl w:val="0"/>
          <w:numId w:val="22"/>
        </w:numPr>
        <w:spacing w:before="0" w:after="0" w:line="260" w:lineRule="atLeast"/>
        <w:rPr>
          <w:rFonts w:ascii="Arial" w:hAnsi="Arial" w:cs="Arial"/>
          <w:b/>
          <w:color w:val="4F2D7F"/>
          <w:sz w:val="18"/>
          <w:lang w:val="mk-MK"/>
        </w:rPr>
      </w:pPr>
      <w:r>
        <w:rPr>
          <w:rFonts w:ascii="Arial" w:hAnsi="Arial" w:cs="Arial"/>
          <w:b/>
          <w:color w:val="4F2D7F"/>
          <w:sz w:val="18"/>
          <w:lang w:val="en-US"/>
        </w:rPr>
        <w:t>Property and equipment</w:t>
      </w:r>
    </w:p>
    <w:tbl>
      <w:tblPr>
        <w:tblW w:w="8640" w:type="dxa"/>
        <w:tblInd w:w="86" w:type="dxa"/>
        <w:tblLook w:val="01E0" w:firstRow="1" w:lastRow="1" w:firstColumn="1" w:lastColumn="1" w:noHBand="0" w:noVBand="0"/>
      </w:tblPr>
      <w:tblGrid>
        <w:gridCol w:w="3347"/>
        <w:gridCol w:w="1100"/>
        <w:gridCol w:w="1127"/>
        <w:gridCol w:w="1042"/>
        <w:gridCol w:w="1014"/>
        <w:gridCol w:w="1010"/>
      </w:tblGrid>
      <w:tr w:rsidR="00F93B95" w:rsidRPr="001E6526" w14:paraId="31D8B150" w14:textId="77777777" w:rsidTr="0025712C">
        <w:trPr>
          <w:trHeight w:val="216"/>
        </w:trPr>
        <w:tc>
          <w:tcPr>
            <w:tcW w:w="3347" w:type="dxa"/>
            <w:shd w:val="clear" w:color="auto" w:fill="auto"/>
            <w:tcMar>
              <w:left w:w="58" w:type="dxa"/>
              <w:right w:w="58" w:type="dxa"/>
            </w:tcMar>
            <w:vAlign w:val="bottom"/>
          </w:tcPr>
          <w:p w14:paraId="640FC8B3" w14:textId="77777777" w:rsidR="00F93B95" w:rsidRPr="00CE3053" w:rsidRDefault="00F93B95" w:rsidP="00F93B95">
            <w:pPr>
              <w:pStyle w:val="TableText"/>
              <w:spacing w:before="0" w:after="0"/>
              <w:rPr>
                <w:rFonts w:ascii="Arial" w:hAnsi="Arial"/>
                <w:sz w:val="18"/>
                <w:lang w:val="mk-MK"/>
              </w:rPr>
            </w:pPr>
          </w:p>
        </w:tc>
        <w:tc>
          <w:tcPr>
            <w:tcW w:w="1100" w:type="dxa"/>
            <w:shd w:val="clear" w:color="auto" w:fill="auto"/>
            <w:tcMar>
              <w:left w:w="58" w:type="dxa"/>
              <w:right w:w="58" w:type="dxa"/>
            </w:tcMar>
            <w:vAlign w:val="bottom"/>
          </w:tcPr>
          <w:p w14:paraId="4BA734C2" w14:textId="109B7ABF" w:rsidR="00F93B95" w:rsidRPr="00CE3053" w:rsidRDefault="00D326A6" w:rsidP="00F93B95">
            <w:pPr>
              <w:pStyle w:val="TableText"/>
              <w:spacing w:before="0" w:after="0"/>
              <w:jc w:val="right"/>
              <w:rPr>
                <w:rFonts w:ascii="Arial" w:hAnsi="Arial"/>
                <w:sz w:val="18"/>
                <w:lang w:val="mk-MK"/>
              </w:rPr>
            </w:pPr>
            <w:proofErr w:type="spellStart"/>
            <w:r w:rsidRPr="00D326A6">
              <w:rPr>
                <w:rFonts w:ascii="Arial" w:hAnsi="Arial"/>
                <w:sz w:val="18"/>
                <w:lang w:val="mk-MK"/>
              </w:rPr>
              <w:t>Buildings</w:t>
            </w:r>
            <w:proofErr w:type="spellEnd"/>
          </w:p>
        </w:tc>
        <w:tc>
          <w:tcPr>
            <w:tcW w:w="1127" w:type="dxa"/>
            <w:shd w:val="clear" w:color="auto" w:fill="auto"/>
            <w:tcMar>
              <w:left w:w="58" w:type="dxa"/>
              <w:right w:w="58" w:type="dxa"/>
            </w:tcMar>
            <w:vAlign w:val="bottom"/>
          </w:tcPr>
          <w:p w14:paraId="689FDE7A" w14:textId="5F9D1C34" w:rsidR="00F93B95" w:rsidRPr="00CE3053" w:rsidRDefault="00D326A6" w:rsidP="00F93B95">
            <w:pPr>
              <w:pStyle w:val="TableText"/>
              <w:spacing w:before="0" w:after="0"/>
              <w:jc w:val="right"/>
              <w:rPr>
                <w:rFonts w:ascii="Arial" w:hAnsi="Arial"/>
                <w:sz w:val="18"/>
                <w:lang w:val="mk-MK"/>
              </w:rPr>
            </w:pPr>
            <w:proofErr w:type="spellStart"/>
            <w:r w:rsidRPr="00D326A6">
              <w:rPr>
                <w:rFonts w:ascii="Arial" w:hAnsi="Arial"/>
                <w:sz w:val="18"/>
                <w:lang w:val="mk-MK"/>
              </w:rPr>
              <w:t>Computers</w:t>
            </w:r>
            <w:proofErr w:type="spellEnd"/>
          </w:p>
        </w:tc>
        <w:tc>
          <w:tcPr>
            <w:tcW w:w="1042" w:type="dxa"/>
            <w:vAlign w:val="bottom"/>
          </w:tcPr>
          <w:p w14:paraId="5826CCA7" w14:textId="02A4A2C9" w:rsidR="00F93B95" w:rsidRPr="00CE3053" w:rsidRDefault="00D326A6" w:rsidP="00F93B95">
            <w:pPr>
              <w:pStyle w:val="TableText"/>
              <w:spacing w:before="0" w:after="0"/>
              <w:jc w:val="right"/>
              <w:rPr>
                <w:rFonts w:ascii="Arial" w:hAnsi="Arial"/>
                <w:sz w:val="18"/>
                <w:lang w:val="mk-MK"/>
              </w:rPr>
            </w:pPr>
            <w:proofErr w:type="spellStart"/>
            <w:r w:rsidRPr="00D326A6">
              <w:rPr>
                <w:rFonts w:ascii="Arial" w:hAnsi="Arial"/>
                <w:sz w:val="18"/>
                <w:lang w:val="mk-MK"/>
              </w:rPr>
              <w:t>Vehicles</w:t>
            </w:r>
            <w:proofErr w:type="spellEnd"/>
          </w:p>
        </w:tc>
        <w:tc>
          <w:tcPr>
            <w:tcW w:w="1014" w:type="dxa"/>
            <w:shd w:val="clear" w:color="auto" w:fill="auto"/>
            <w:tcMar>
              <w:left w:w="58" w:type="dxa"/>
              <w:right w:w="58" w:type="dxa"/>
            </w:tcMar>
            <w:vAlign w:val="bottom"/>
          </w:tcPr>
          <w:p w14:paraId="2A25CB82" w14:textId="3C20DF77" w:rsidR="00F93B95" w:rsidRPr="00CE3053" w:rsidRDefault="00D326A6" w:rsidP="00F93B95">
            <w:pPr>
              <w:pStyle w:val="TableText"/>
              <w:spacing w:before="0" w:after="0"/>
              <w:jc w:val="right"/>
              <w:rPr>
                <w:rFonts w:ascii="Arial" w:hAnsi="Arial"/>
                <w:sz w:val="18"/>
                <w:lang w:val="mk-MK"/>
              </w:rPr>
            </w:pPr>
            <w:proofErr w:type="spellStart"/>
            <w:r w:rsidRPr="00D326A6">
              <w:rPr>
                <w:rFonts w:ascii="Arial" w:hAnsi="Arial"/>
                <w:sz w:val="18"/>
                <w:lang w:val="mk-MK"/>
              </w:rPr>
              <w:t>Furniture</w:t>
            </w:r>
            <w:proofErr w:type="spellEnd"/>
            <w:r w:rsidRPr="00D326A6">
              <w:rPr>
                <w:rFonts w:ascii="Arial" w:hAnsi="Arial"/>
                <w:sz w:val="18"/>
                <w:lang w:val="mk-MK"/>
              </w:rPr>
              <w:t xml:space="preserve"> </w:t>
            </w:r>
            <w:proofErr w:type="spellStart"/>
            <w:r w:rsidRPr="00D326A6">
              <w:rPr>
                <w:rFonts w:ascii="Arial" w:hAnsi="Arial"/>
                <w:sz w:val="18"/>
                <w:lang w:val="mk-MK"/>
              </w:rPr>
              <w:t>and</w:t>
            </w:r>
            <w:proofErr w:type="spellEnd"/>
            <w:r w:rsidRPr="00D326A6">
              <w:rPr>
                <w:rFonts w:ascii="Arial" w:hAnsi="Arial"/>
                <w:sz w:val="18"/>
                <w:lang w:val="mk-MK"/>
              </w:rPr>
              <w:t xml:space="preserve"> </w:t>
            </w:r>
            <w:proofErr w:type="spellStart"/>
            <w:r w:rsidRPr="00D326A6">
              <w:rPr>
                <w:rFonts w:ascii="Arial" w:hAnsi="Arial"/>
                <w:sz w:val="18"/>
                <w:lang w:val="mk-MK"/>
              </w:rPr>
              <w:t>equipment</w:t>
            </w:r>
            <w:proofErr w:type="spellEnd"/>
          </w:p>
        </w:tc>
        <w:tc>
          <w:tcPr>
            <w:tcW w:w="1010" w:type="dxa"/>
            <w:shd w:val="clear" w:color="auto" w:fill="auto"/>
            <w:tcMar>
              <w:left w:w="58" w:type="dxa"/>
              <w:right w:w="58" w:type="dxa"/>
            </w:tcMar>
            <w:vAlign w:val="bottom"/>
          </w:tcPr>
          <w:p w14:paraId="06FCF892" w14:textId="28802189" w:rsidR="00F93B95" w:rsidRPr="00D326A6" w:rsidRDefault="00D326A6" w:rsidP="00F93B95">
            <w:pPr>
              <w:pStyle w:val="TableText"/>
              <w:spacing w:before="0" w:after="0"/>
              <w:jc w:val="right"/>
              <w:rPr>
                <w:rFonts w:ascii="Arial" w:hAnsi="Arial"/>
                <w:sz w:val="18"/>
                <w:lang w:val="en-US"/>
              </w:rPr>
            </w:pPr>
            <w:r>
              <w:rPr>
                <w:rFonts w:ascii="Arial" w:hAnsi="Arial"/>
                <w:sz w:val="18"/>
                <w:lang w:val="en-US"/>
              </w:rPr>
              <w:t>Total</w:t>
            </w:r>
          </w:p>
        </w:tc>
      </w:tr>
      <w:tr w:rsidR="00F93B95" w:rsidRPr="001E6526" w14:paraId="77DE4B50" w14:textId="77777777" w:rsidTr="0025712C">
        <w:trPr>
          <w:trHeight w:val="216"/>
        </w:trPr>
        <w:tc>
          <w:tcPr>
            <w:tcW w:w="3347" w:type="dxa"/>
            <w:shd w:val="clear" w:color="auto" w:fill="auto"/>
            <w:tcMar>
              <w:left w:w="58" w:type="dxa"/>
              <w:right w:w="58" w:type="dxa"/>
            </w:tcMar>
            <w:vAlign w:val="bottom"/>
          </w:tcPr>
          <w:p w14:paraId="61170D59" w14:textId="77777777" w:rsidR="00F93B95" w:rsidRPr="00CE3053" w:rsidRDefault="00F93B95" w:rsidP="00F93B95">
            <w:pPr>
              <w:pStyle w:val="TableText"/>
              <w:spacing w:before="0" w:after="0"/>
              <w:rPr>
                <w:rFonts w:ascii="Arial" w:hAnsi="Arial"/>
                <w:bCs/>
                <w:sz w:val="18"/>
                <w:lang w:val="mk-MK"/>
              </w:rPr>
            </w:pPr>
          </w:p>
        </w:tc>
        <w:tc>
          <w:tcPr>
            <w:tcW w:w="1100" w:type="dxa"/>
            <w:shd w:val="clear" w:color="auto" w:fill="auto"/>
            <w:tcMar>
              <w:left w:w="58" w:type="dxa"/>
              <w:right w:w="58" w:type="dxa"/>
            </w:tcMar>
            <w:vAlign w:val="bottom"/>
          </w:tcPr>
          <w:p w14:paraId="4C67ED84" w14:textId="77777777" w:rsidR="00F93B95" w:rsidRPr="00CE3053" w:rsidRDefault="00F93B95" w:rsidP="00F93B95">
            <w:pPr>
              <w:pStyle w:val="TableText"/>
              <w:spacing w:before="0" w:after="0"/>
              <w:jc w:val="right"/>
              <w:rPr>
                <w:rFonts w:ascii="Arial" w:hAnsi="Arial"/>
                <w:bCs/>
                <w:sz w:val="18"/>
                <w:lang w:val="mk-MK"/>
              </w:rPr>
            </w:pPr>
          </w:p>
        </w:tc>
        <w:tc>
          <w:tcPr>
            <w:tcW w:w="1127" w:type="dxa"/>
            <w:shd w:val="clear" w:color="auto" w:fill="auto"/>
            <w:tcMar>
              <w:left w:w="58" w:type="dxa"/>
              <w:right w:w="58" w:type="dxa"/>
            </w:tcMar>
            <w:vAlign w:val="bottom"/>
          </w:tcPr>
          <w:p w14:paraId="4A0FC728" w14:textId="77777777" w:rsidR="00F93B95" w:rsidRPr="00CE3053" w:rsidRDefault="00F93B95" w:rsidP="00F93B95">
            <w:pPr>
              <w:pStyle w:val="TableText"/>
              <w:spacing w:before="0" w:after="0"/>
              <w:jc w:val="right"/>
              <w:rPr>
                <w:rFonts w:ascii="Arial" w:hAnsi="Arial"/>
                <w:bCs/>
                <w:sz w:val="18"/>
                <w:lang w:val="mk-MK"/>
              </w:rPr>
            </w:pPr>
          </w:p>
        </w:tc>
        <w:tc>
          <w:tcPr>
            <w:tcW w:w="1042" w:type="dxa"/>
            <w:vAlign w:val="bottom"/>
          </w:tcPr>
          <w:p w14:paraId="5A581A14" w14:textId="77777777" w:rsidR="00F93B95" w:rsidRPr="00CE3053" w:rsidRDefault="00F93B95" w:rsidP="00F93B95">
            <w:pPr>
              <w:pStyle w:val="TableText"/>
              <w:spacing w:before="0" w:after="0"/>
              <w:jc w:val="right"/>
              <w:rPr>
                <w:rFonts w:ascii="Arial" w:hAnsi="Arial"/>
                <w:bCs/>
                <w:sz w:val="18"/>
                <w:lang w:val="mk-MK"/>
              </w:rPr>
            </w:pPr>
          </w:p>
        </w:tc>
        <w:tc>
          <w:tcPr>
            <w:tcW w:w="1014" w:type="dxa"/>
            <w:shd w:val="clear" w:color="auto" w:fill="auto"/>
            <w:tcMar>
              <w:left w:w="58" w:type="dxa"/>
              <w:right w:w="58" w:type="dxa"/>
            </w:tcMar>
            <w:vAlign w:val="bottom"/>
          </w:tcPr>
          <w:p w14:paraId="00ED5539" w14:textId="77777777" w:rsidR="00F93B95" w:rsidRPr="00CE3053" w:rsidRDefault="00F93B95" w:rsidP="00F93B95">
            <w:pPr>
              <w:pStyle w:val="TableText"/>
              <w:spacing w:before="0" w:after="0"/>
              <w:jc w:val="right"/>
              <w:rPr>
                <w:rFonts w:ascii="Arial" w:hAnsi="Arial"/>
                <w:bCs/>
                <w:sz w:val="18"/>
                <w:lang w:val="mk-MK"/>
              </w:rPr>
            </w:pPr>
          </w:p>
        </w:tc>
        <w:tc>
          <w:tcPr>
            <w:tcW w:w="1010" w:type="dxa"/>
            <w:shd w:val="clear" w:color="auto" w:fill="auto"/>
            <w:tcMar>
              <w:left w:w="58" w:type="dxa"/>
              <w:right w:w="58" w:type="dxa"/>
            </w:tcMar>
            <w:vAlign w:val="bottom"/>
          </w:tcPr>
          <w:p w14:paraId="2BEB2B06" w14:textId="77777777" w:rsidR="00F93B95" w:rsidRPr="00CE3053" w:rsidRDefault="00F93B95" w:rsidP="00F93B95">
            <w:pPr>
              <w:pStyle w:val="TableText"/>
              <w:spacing w:before="0" w:after="0"/>
              <w:jc w:val="right"/>
              <w:rPr>
                <w:rFonts w:ascii="Arial" w:hAnsi="Arial"/>
                <w:bCs/>
                <w:sz w:val="18"/>
                <w:lang w:val="mk-MK"/>
              </w:rPr>
            </w:pPr>
          </w:p>
        </w:tc>
      </w:tr>
      <w:tr w:rsidR="00F30EF8" w:rsidRPr="001E6526" w14:paraId="6A2F6E2D" w14:textId="77777777" w:rsidTr="00D4701C">
        <w:trPr>
          <w:trHeight w:val="216"/>
        </w:trPr>
        <w:tc>
          <w:tcPr>
            <w:tcW w:w="3347" w:type="dxa"/>
            <w:shd w:val="clear" w:color="auto" w:fill="auto"/>
            <w:tcMar>
              <w:left w:w="58" w:type="dxa"/>
              <w:right w:w="58" w:type="dxa"/>
            </w:tcMar>
            <w:vAlign w:val="bottom"/>
          </w:tcPr>
          <w:p w14:paraId="5C81153A" w14:textId="77777777" w:rsidR="00F30EF8" w:rsidRPr="00CE3053" w:rsidRDefault="00F30EF8" w:rsidP="00F93B95">
            <w:pPr>
              <w:pStyle w:val="TableText"/>
              <w:spacing w:before="0" w:after="0"/>
              <w:rPr>
                <w:rFonts w:ascii="Arial" w:hAnsi="Arial"/>
                <w:bCs/>
                <w:sz w:val="18"/>
                <w:lang w:val="mk-MK"/>
              </w:rPr>
            </w:pPr>
          </w:p>
        </w:tc>
        <w:tc>
          <w:tcPr>
            <w:tcW w:w="5293" w:type="dxa"/>
            <w:gridSpan w:val="5"/>
            <w:shd w:val="clear" w:color="auto" w:fill="auto"/>
            <w:tcMar>
              <w:left w:w="58" w:type="dxa"/>
              <w:right w:w="58" w:type="dxa"/>
            </w:tcMar>
            <w:vAlign w:val="bottom"/>
          </w:tcPr>
          <w:p w14:paraId="2BFB7E77" w14:textId="2AAA065C" w:rsidR="00F30EF8" w:rsidRPr="00CE3053" w:rsidRDefault="00F30EF8" w:rsidP="00F93B95">
            <w:pPr>
              <w:pStyle w:val="TableText"/>
              <w:spacing w:before="0" w:after="0"/>
              <w:jc w:val="right"/>
              <w:rPr>
                <w:rFonts w:ascii="Arial" w:hAnsi="Arial"/>
                <w:bCs/>
                <w:sz w:val="18"/>
                <w:lang w:val="mk-MK"/>
              </w:rPr>
            </w:pPr>
            <w:r w:rsidRPr="00CE3053">
              <w:rPr>
                <w:rFonts w:ascii="Arial" w:hAnsi="Arial"/>
                <w:bCs/>
                <w:sz w:val="18"/>
                <w:lang w:val="mk-MK"/>
              </w:rPr>
              <w:t xml:space="preserve">(000 </w:t>
            </w:r>
            <w:proofErr w:type="spellStart"/>
            <w:r w:rsidR="00D326A6">
              <w:rPr>
                <w:rFonts w:ascii="Arial" w:hAnsi="Arial"/>
                <w:bCs/>
                <w:sz w:val="18"/>
                <w:lang w:val="en-US"/>
              </w:rPr>
              <w:t>mkd</w:t>
            </w:r>
            <w:proofErr w:type="spellEnd"/>
            <w:r w:rsidRPr="00CE3053">
              <w:rPr>
                <w:rFonts w:ascii="Arial" w:hAnsi="Arial"/>
                <w:bCs/>
                <w:sz w:val="18"/>
                <w:lang w:val="mk-MK"/>
              </w:rPr>
              <w:t>)</w:t>
            </w:r>
          </w:p>
        </w:tc>
      </w:tr>
      <w:tr w:rsidR="00F93B95" w:rsidRPr="001E6526" w14:paraId="3A70791C" w14:textId="77777777" w:rsidTr="0025712C">
        <w:trPr>
          <w:trHeight w:val="216"/>
        </w:trPr>
        <w:tc>
          <w:tcPr>
            <w:tcW w:w="3347" w:type="dxa"/>
            <w:shd w:val="clear" w:color="auto" w:fill="auto"/>
            <w:tcMar>
              <w:left w:w="58" w:type="dxa"/>
              <w:right w:w="58" w:type="dxa"/>
            </w:tcMar>
            <w:vAlign w:val="bottom"/>
          </w:tcPr>
          <w:p w14:paraId="25FC2201" w14:textId="346DC107" w:rsidR="00F93B95" w:rsidRPr="00CE3053" w:rsidRDefault="00D326A6" w:rsidP="00F93B95">
            <w:pPr>
              <w:spacing w:after="0"/>
              <w:rPr>
                <w:rFonts w:ascii="Arial" w:hAnsi="Arial" w:cs="Arial"/>
                <w:bCs/>
                <w:color w:val="000000"/>
                <w:lang w:val="mk-MK"/>
              </w:rPr>
            </w:pPr>
            <w:r>
              <w:rPr>
                <w:rFonts w:ascii="Arial" w:hAnsi="Arial" w:cs="Arial"/>
                <w:bCs/>
                <w:color w:val="000000"/>
              </w:rPr>
              <w:t xml:space="preserve">At </w:t>
            </w:r>
            <w:r w:rsidR="00F93B95" w:rsidRPr="00CE3053">
              <w:rPr>
                <w:rFonts w:ascii="Arial" w:hAnsi="Arial" w:cs="Arial"/>
                <w:bCs/>
                <w:color w:val="000000"/>
                <w:lang w:val="mk-MK"/>
              </w:rPr>
              <w:t xml:space="preserve">01 </w:t>
            </w:r>
            <w:r>
              <w:rPr>
                <w:rFonts w:ascii="Arial" w:hAnsi="Arial" w:cs="Arial"/>
                <w:bCs/>
                <w:color w:val="000000"/>
              </w:rPr>
              <w:t xml:space="preserve">January </w:t>
            </w:r>
            <w:r w:rsidR="00F93B95" w:rsidRPr="00CE3053">
              <w:rPr>
                <w:rFonts w:ascii="Arial" w:hAnsi="Arial" w:cs="Arial"/>
                <w:bCs/>
                <w:color w:val="000000"/>
                <w:lang w:val="mk-MK"/>
              </w:rPr>
              <w:t>20</w:t>
            </w:r>
            <w:r w:rsidR="002E133E" w:rsidRPr="001E6526">
              <w:rPr>
                <w:rFonts w:ascii="Arial" w:hAnsi="Arial" w:cs="Arial"/>
                <w:bCs/>
                <w:color w:val="000000"/>
                <w:lang w:val="mk-MK"/>
              </w:rPr>
              <w:t>20</w:t>
            </w:r>
            <w:r w:rsidR="00F93B95" w:rsidRPr="00CE3053">
              <w:rPr>
                <w:rFonts w:ascii="Arial" w:hAnsi="Arial" w:cs="Arial"/>
                <w:bCs/>
                <w:color w:val="000000"/>
                <w:lang w:val="mk-MK"/>
              </w:rPr>
              <w:t xml:space="preserve"> </w:t>
            </w:r>
          </w:p>
        </w:tc>
        <w:tc>
          <w:tcPr>
            <w:tcW w:w="1100" w:type="dxa"/>
            <w:shd w:val="clear" w:color="auto" w:fill="auto"/>
            <w:tcMar>
              <w:left w:w="58" w:type="dxa"/>
              <w:right w:w="58" w:type="dxa"/>
            </w:tcMar>
            <w:vAlign w:val="bottom"/>
          </w:tcPr>
          <w:p w14:paraId="54B14BD1" w14:textId="77777777" w:rsidR="00F93B95" w:rsidRPr="00CE3053" w:rsidRDefault="00F93B95" w:rsidP="00F93B95">
            <w:pPr>
              <w:spacing w:after="0"/>
              <w:jc w:val="right"/>
              <w:rPr>
                <w:rFonts w:ascii="Arial" w:hAnsi="Arial" w:cs="Arial"/>
                <w:bCs/>
                <w:color w:val="000000"/>
                <w:lang w:val="mk-MK"/>
              </w:rPr>
            </w:pPr>
            <w:r w:rsidRPr="00CE3053">
              <w:rPr>
                <w:rFonts w:ascii="Arial" w:hAnsi="Arial" w:cs="Arial"/>
                <w:bCs/>
                <w:color w:val="000000"/>
                <w:lang w:val="mk-MK"/>
              </w:rPr>
              <w:t>32,350</w:t>
            </w:r>
          </w:p>
        </w:tc>
        <w:tc>
          <w:tcPr>
            <w:tcW w:w="1127" w:type="dxa"/>
            <w:shd w:val="clear" w:color="auto" w:fill="auto"/>
            <w:tcMar>
              <w:left w:w="58" w:type="dxa"/>
              <w:right w:w="58" w:type="dxa"/>
            </w:tcMar>
            <w:vAlign w:val="bottom"/>
          </w:tcPr>
          <w:p w14:paraId="30B66765" w14:textId="0564F587" w:rsidR="00F93B95" w:rsidRPr="00CE3053" w:rsidRDefault="00F93B95" w:rsidP="00F93B95">
            <w:pPr>
              <w:spacing w:after="0"/>
              <w:jc w:val="right"/>
              <w:rPr>
                <w:rFonts w:ascii="Arial" w:hAnsi="Arial" w:cs="Arial"/>
                <w:bCs/>
                <w:color w:val="000000"/>
                <w:lang w:val="mk-MK"/>
              </w:rPr>
            </w:pPr>
            <w:r w:rsidRPr="00CE3053">
              <w:rPr>
                <w:rFonts w:ascii="Arial" w:hAnsi="Arial" w:cs="Arial"/>
                <w:bCs/>
                <w:color w:val="000000"/>
                <w:lang w:val="mk-MK"/>
              </w:rPr>
              <w:t>2,</w:t>
            </w:r>
            <w:r w:rsidR="002E133E" w:rsidRPr="001E6526">
              <w:rPr>
                <w:rFonts w:ascii="Arial" w:hAnsi="Arial" w:cs="Arial"/>
                <w:bCs/>
                <w:color w:val="000000"/>
                <w:lang w:val="mk-MK"/>
              </w:rPr>
              <w:t>536</w:t>
            </w:r>
          </w:p>
        </w:tc>
        <w:tc>
          <w:tcPr>
            <w:tcW w:w="1042" w:type="dxa"/>
            <w:vAlign w:val="bottom"/>
          </w:tcPr>
          <w:p w14:paraId="60A958B1" w14:textId="77777777" w:rsidR="00F93B95" w:rsidRPr="00CE3053" w:rsidRDefault="00F93B95" w:rsidP="00F93B95">
            <w:pPr>
              <w:spacing w:after="0"/>
              <w:jc w:val="right"/>
              <w:rPr>
                <w:rFonts w:ascii="Arial" w:hAnsi="Arial" w:cs="Arial"/>
                <w:bCs/>
                <w:color w:val="000000"/>
                <w:lang w:val="mk-MK"/>
              </w:rPr>
            </w:pPr>
            <w:r w:rsidRPr="00CE3053">
              <w:rPr>
                <w:rFonts w:ascii="Arial" w:hAnsi="Arial" w:cs="Arial"/>
                <w:bCs/>
                <w:color w:val="000000"/>
                <w:lang w:val="mk-MK"/>
              </w:rPr>
              <w:t>1,814</w:t>
            </w:r>
          </w:p>
        </w:tc>
        <w:tc>
          <w:tcPr>
            <w:tcW w:w="1014" w:type="dxa"/>
            <w:shd w:val="clear" w:color="auto" w:fill="auto"/>
            <w:tcMar>
              <w:left w:w="58" w:type="dxa"/>
              <w:right w:w="58" w:type="dxa"/>
            </w:tcMar>
            <w:vAlign w:val="bottom"/>
          </w:tcPr>
          <w:p w14:paraId="5BBC77AF" w14:textId="2423DA87" w:rsidR="00F93B95" w:rsidRPr="00CE3053" w:rsidRDefault="00F93B95" w:rsidP="00F93B95">
            <w:pPr>
              <w:spacing w:after="0"/>
              <w:jc w:val="right"/>
              <w:rPr>
                <w:rFonts w:ascii="Arial" w:hAnsi="Arial" w:cs="Arial"/>
                <w:bCs/>
                <w:color w:val="000000"/>
                <w:lang w:val="mk-MK"/>
              </w:rPr>
            </w:pPr>
            <w:r w:rsidRPr="00CE3053">
              <w:rPr>
                <w:rFonts w:ascii="Arial" w:hAnsi="Arial" w:cs="Arial"/>
                <w:bCs/>
                <w:color w:val="000000"/>
                <w:lang w:val="mk-MK"/>
              </w:rPr>
              <w:t>3,2</w:t>
            </w:r>
            <w:r w:rsidR="007361DE" w:rsidRPr="00CE3053">
              <w:rPr>
                <w:rFonts w:ascii="Arial" w:hAnsi="Arial" w:cs="Arial"/>
                <w:bCs/>
                <w:color w:val="000000"/>
                <w:lang w:val="mk-MK"/>
              </w:rPr>
              <w:t>62</w:t>
            </w:r>
          </w:p>
        </w:tc>
        <w:tc>
          <w:tcPr>
            <w:tcW w:w="1010" w:type="dxa"/>
            <w:shd w:val="clear" w:color="auto" w:fill="auto"/>
            <w:tcMar>
              <w:left w:w="58" w:type="dxa"/>
              <w:right w:w="58" w:type="dxa"/>
            </w:tcMar>
            <w:vAlign w:val="bottom"/>
          </w:tcPr>
          <w:p w14:paraId="6848584D" w14:textId="2B1865A3" w:rsidR="00F93B95" w:rsidRPr="00CE3053" w:rsidRDefault="00F93B95" w:rsidP="00F93B95">
            <w:pPr>
              <w:spacing w:after="0"/>
              <w:jc w:val="right"/>
              <w:rPr>
                <w:rFonts w:ascii="Arial" w:hAnsi="Arial" w:cs="Arial"/>
                <w:bCs/>
                <w:color w:val="000000"/>
                <w:lang w:val="mk-MK"/>
              </w:rPr>
            </w:pPr>
            <w:r w:rsidRPr="00CE3053">
              <w:rPr>
                <w:rFonts w:ascii="Arial" w:hAnsi="Arial" w:cs="Arial"/>
                <w:bCs/>
                <w:color w:val="000000"/>
                <w:lang w:val="mk-MK"/>
              </w:rPr>
              <w:t>39,</w:t>
            </w:r>
            <w:r w:rsidR="00DC746E" w:rsidRPr="00CE3053">
              <w:rPr>
                <w:rFonts w:ascii="Arial" w:hAnsi="Arial" w:cs="Arial"/>
                <w:bCs/>
                <w:color w:val="000000"/>
                <w:lang w:val="mk-MK"/>
              </w:rPr>
              <w:t>962</w:t>
            </w:r>
          </w:p>
        </w:tc>
      </w:tr>
      <w:tr w:rsidR="00F93B95" w:rsidRPr="001E6526" w14:paraId="2E6E0267" w14:textId="77777777" w:rsidTr="0025712C">
        <w:trPr>
          <w:trHeight w:val="216"/>
        </w:trPr>
        <w:tc>
          <w:tcPr>
            <w:tcW w:w="3347" w:type="dxa"/>
            <w:shd w:val="clear" w:color="auto" w:fill="auto"/>
            <w:tcMar>
              <w:left w:w="58" w:type="dxa"/>
              <w:right w:w="58" w:type="dxa"/>
            </w:tcMar>
            <w:vAlign w:val="bottom"/>
          </w:tcPr>
          <w:p w14:paraId="07E2F9AC" w14:textId="6C18E202" w:rsidR="00F93B95" w:rsidRPr="00D326A6" w:rsidRDefault="00D326A6" w:rsidP="00F93B95">
            <w:pPr>
              <w:spacing w:after="0"/>
              <w:rPr>
                <w:rFonts w:ascii="Arial" w:hAnsi="Arial" w:cs="Arial"/>
                <w:color w:val="000000"/>
              </w:rPr>
            </w:pPr>
            <w:r>
              <w:rPr>
                <w:rFonts w:ascii="Arial" w:hAnsi="Arial" w:cs="Arial"/>
                <w:color w:val="000000"/>
              </w:rPr>
              <w:t>Additions during the year</w:t>
            </w:r>
          </w:p>
        </w:tc>
        <w:tc>
          <w:tcPr>
            <w:tcW w:w="1100" w:type="dxa"/>
            <w:shd w:val="clear" w:color="auto" w:fill="auto"/>
            <w:tcMar>
              <w:left w:w="58" w:type="dxa"/>
              <w:right w:w="58" w:type="dxa"/>
            </w:tcMar>
            <w:vAlign w:val="bottom"/>
          </w:tcPr>
          <w:p w14:paraId="2990EE70" w14:textId="77777777" w:rsidR="00F93B95" w:rsidRPr="00CE3053" w:rsidRDefault="00F93B95" w:rsidP="00F93B95">
            <w:pPr>
              <w:spacing w:after="0"/>
              <w:jc w:val="right"/>
              <w:rPr>
                <w:rFonts w:ascii="Arial" w:hAnsi="Arial" w:cs="Arial"/>
                <w:color w:val="000000"/>
                <w:lang w:val="mk-MK"/>
              </w:rPr>
            </w:pPr>
            <w:r w:rsidRPr="001E6526">
              <w:rPr>
                <w:rFonts w:ascii="Arial" w:hAnsi="Arial" w:cs="Arial"/>
                <w:color w:val="000000"/>
                <w:lang w:val="mk-MK"/>
              </w:rPr>
              <w:t>-</w:t>
            </w:r>
          </w:p>
        </w:tc>
        <w:tc>
          <w:tcPr>
            <w:tcW w:w="1127" w:type="dxa"/>
            <w:shd w:val="clear" w:color="auto" w:fill="auto"/>
            <w:tcMar>
              <w:left w:w="58" w:type="dxa"/>
              <w:right w:w="58" w:type="dxa"/>
            </w:tcMar>
            <w:vAlign w:val="bottom"/>
          </w:tcPr>
          <w:p w14:paraId="381805F2" w14:textId="01EF7AA0" w:rsidR="00F93B95" w:rsidRPr="001E6526" w:rsidRDefault="002E133E" w:rsidP="00F93B95">
            <w:pPr>
              <w:spacing w:after="0"/>
              <w:jc w:val="right"/>
              <w:rPr>
                <w:rFonts w:ascii="Arial" w:hAnsi="Arial" w:cs="Arial"/>
                <w:color w:val="000000"/>
                <w:lang w:val="mk-MK"/>
              </w:rPr>
            </w:pPr>
            <w:r w:rsidRPr="001E6526">
              <w:rPr>
                <w:rFonts w:ascii="Arial" w:hAnsi="Arial" w:cs="Arial"/>
                <w:color w:val="000000"/>
                <w:lang w:val="mk-MK"/>
              </w:rPr>
              <w:t>-</w:t>
            </w:r>
          </w:p>
        </w:tc>
        <w:tc>
          <w:tcPr>
            <w:tcW w:w="1042" w:type="dxa"/>
            <w:vAlign w:val="bottom"/>
          </w:tcPr>
          <w:p w14:paraId="0CA8E4CB" w14:textId="77777777" w:rsidR="00F93B95" w:rsidRPr="00CE3053" w:rsidRDefault="00F93B95" w:rsidP="00F93B95">
            <w:pPr>
              <w:spacing w:after="0"/>
              <w:jc w:val="right"/>
              <w:rPr>
                <w:rFonts w:ascii="Arial" w:hAnsi="Arial" w:cs="Arial"/>
                <w:color w:val="000000"/>
                <w:lang w:val="mk-MK"/>
              </w:rPr>
            </w:pPr>
            <w:r w:rsidRPr="001E6526">
              <w:rPr>
                <w:rFonts w:ascii="Arial" w:hAnsi="Arial" w:cs="Arial"/>
                <w:color w:val="000000"/>
                <w:lang w:val="mk-MK"/>
              </w:rPr>
              <w:t>-</w:t>
            </w:r>
          </w:p>
        </w:tc>
        <w:tc>
          <w:tcPr>
            <w:tcW w:w="1014" w:type="dxa"/>
            <w:shd w:val="clear" w:color="auto" w:fill="auto"/>
            <w:tcMar>
              <w:left w:w="58" w:type="dxa"/>
              <w:right w:w="58" w:type="dxa"/>
            </w:tcMar>
            <w:vAlign w:val="bottom"/>
          </w:tcPr>
          <w:p w14:paraId="465DE4FC" w14:textId="33895BE3" w:rsidR="00F93B95" w:rsidRPr="00CE3053" w:rsidRDefault="002E133E" w:rsidP="00F93B95">
            <w:pPr>
              <w:spacing w:after="0"/>
              <w:jc w:val="right"/>
              <w:rPr>
                <w:rFonts w:ascii="Arial" w:hAnsi="Arial" w:cs="Arial"/>
                <w:color w:val="000000"/>
                <w:lang w:val="mk-MK"/>
              </w:rPr>
            </w:pPr>
            <w:r w:rsidRPr="001E6526">
              <w:rPr>
                <w:rFonts w:ascii="Arial" w:hAnsi="Arial" w:cs="Arial"/>
                <w:color w:val="000000"/>
                <w:lang w:val="mk-MK"/>
              </w:rPr>
              <w:t>-</w:t>
            </w:r>
          </w:p>
        </w:tc>
        <w:tc>
          <w:tcPr>
            <w:tcW w:w="1010" w:type="dxa"/>
            <w:shd w:val="clear" w:color="auto" w:fill="auto"/>
            <w:tcMar>
              <w:left w:w="58" w:type="dxa"/>
              <w:right w:w="58" w:type="dxa"/>
            </w:tcMar>
            <w:vAlign w:val="bottom"/>
          </w:tcPr>
          <w:p w14:paraId="1B267BF4" w14:textId="0104ECE9" w:rsidR="00F93B95" w:rsidRPr="001E6526" w:rsidRDefault="002E133E" w:rsidP="00F93B95">
            <w:pPr>
              <w:spacing w:after="0"/>
              <w:jc w:val="right"/>
              <w:rPr>
                <w:rFonts w:ascii="Arial" w:hAnsi="Arial" w:cs="Arial"/>
                <w:color w:val="000000"/>
                <w:lang w:val="mk-MK"/>
              </w:rPr>
            </w:pPr>
            <w:r w:rsidRPr="001E6526">
              <w:rPr>
                <w:rFonts w:ascii="Arial" w:hAnsi="Arial" w:cs="Arial"/>
                <w:color w:val="000000"/>
                <w:lang w:val="mk-MK"/>
              </w:rPr>
              <w:t>-</w:t>
            </w:r>
          </w:p>
        </w:tc>
      </w:tr>
      <w:tr w:rsidR="00F93B95" w:rsidRPr="001E6526" w14:paraId="44792D2E" w14:textId="77777777" w:rsidTr="0025712C">
        <w:trPr>
          <w:trHeight w:val="216"/>
        </w:trPr>
        <w:tc>
          <w:tcPr>
            <w:tcW w:w="3347" w:type="dxa"/>
            <w:shd w:val="clear" w:color="auto" w:fill="auto"/>
            <w:tcMar>
              <w:left w:w="58" w:type="dxa"/>
              <w:right w:w="58" w:type="dxa"/>
            </w:tcMar>
            <w:vAlign w:val="bottom"/>
          </w:tcPr>
          <w:p w14:paraId="4D5EFD30" w14:textId="64353899" w:rsidR="00F93B95" w:rsidRPr="001B4810" w:rsidRDefault="001B4810" w:rsidP="00F93B95">
            <w:pPr>
              <w:spacing w:after="0"/>
              <w:rPr>
                <w:rFonts w:ascii="Arial" w:hAnsi="Arial" w:cs="Arial"/>
                <w:color w:val="000000"/>
              </w:rPr>
            </w:pPr>
            <w:r>
              <w:rPr>
                <w:rFonts w:ascii="Arial" w:hAnsi="Arial" w:cs="Arial"/>
                <w:color w:val="000000"/>
              </w:rPr>
              <w:t>Write-off</w:t>
            </w:r>
          </w:p>
        </w:tc>
        <w:tc>
          <w:tcPr>
            <w:tcW w:w="1100" w:type="dxa"/>
            <w:shd w:val="clear" w:color="auto" w:fill="auto"/>
            <w:tcMar>
              <w:left w:w="58" w:type="dxa"/>
              <w:right w:w="58" w:type="dxa"/>
            </w:tcMar>
            <w:vAlign w:val="bottom"/>
          </w:tcPr>
          <w:p w14:paraId="5023F720" w14:textId="77777777" w:rsidR="00F93B95" w:rsidRPr="00CE3053" w:rsidRDefault="00F93B95" w:rsidP="00F93B95">
            <w:pPr>
              <w:spacing w:after="0"/>
              <w:jc w:val="right"/>
              <w:rPr>
                <w:rFonts w:ascii="Arial" w:hAnsi="Arial" w:cs="Arial"/>
                <w:color w:val="000000"/>
                <w:lang w:val="mk-MK"/>
              </w:rPr>
            </w:pPr>
            <w:r w:rsidRPr="001E6526">
              <w:rPr>
                <w:rFonts w:ascii="Arial" w:hAnsi="Arial" w:cs="Arial"/>
                <w:color w:val="000000"/>
                <w:lang w:val="mk-MK"/>
              </w:rPr>
              <w:t>-</w:t>
            </w:r>
          </w:p>
        </w:tc>
        <w:tc>
          <w:tcPr>
            <w:tcW w:w="1127" w:type="dxa"/>
            <w:shd w:val="clear" w:color="auto" w:fill="auto"/>
            <w:tcMar>
              <w:left w:w="58" w:type="dxa"/>
              <w:right w:w="58" w:type="dxa"/>
            </w:tcMar>
            <w:vAlign w:val="bottom"/>
          </w:tcPr>
          <w:p w14:paraId="0ECC548E" w14:textId="2836DEAC" w:rsidR="00F93B95" w:rsidRPr="00CE3053" w:rsidRDefault="009C7EB6" w:rsidP="00F93B95">
            <w:pPr>
              <w:spacing w:after="0"/>
              <w:jc w:val="right"/>
              <w:rPr>
                <w:rFonts w:ascii="Arial" w:hAnsi="Arial" w:cs="Arial"/>
                <w:color w:val="000000"/>
                <w:lang w:val="mk-MK"/>
              </w:rPr>
            </w:pPr>
            <w:r w:rsidRPr="00CE3053">
              <w:rPr>
                <w:rFonts w:ascii="Arial" w:hAnsi="Arial" w:cs="Arial"/>
                <w:color w:val="000000"/>
                <w:lang w:val="mk-MK"/>
              </w:rPr>
              <w:t>(</w:t>
            </w:r>
            <w:r w:rsidR="00280FFB" w:rsidRPr="00CE3053">
              <w:rPr>
                <w:rFonts w:ascii="Arial" w:hAnsi="Arial" w:cs="Arial"/>
                <w:color w:val="000000"/>
                <w:lang w:val="mk-MK"/>
              </w:rPr>
              <w:t>658</w:t>
            </w:r>
            <w:r w:rsidRPr="00CE3053">
              <w:rPr>
                <w:rFonts w:ascii="Arial" w:hAnsi="Arial" w:cs="Arial"/>
                <w:color w:val="000000"/>
                <w:lang w:val="mk-MK"/>
              </w:rPr>
              <w:t>)</w:t>
            </w:r>
          </w:p>
        </w:tc>
        <w:tc>
          <w:tcPr>
            <w:tcW w:w="1042" w:type="dxa"/>
            <w:vAlign w:val="bottom"/>
          </w:tcPr>
          <w:p w14:paraId="4FD47B77" w14:textId="77777777" w:rsidR="00F93B95" w:rsidRPr="00CE3053" w:rsidRDefault="00F93B95" w:rsidP="00F93B95">
            <w:pPr>
              <w:spacing w:after="0"/>
              <w:jc w:val="right"/>
              <w:rPr>
                <w:rFonts w:ascii="Arial" w:hAnsi="Arial" w:cs="Arial"/>
                <w:color w:val="000000"/>
                <w:lang w:val="mk-MK"/>
              </w:rPr>
            </w:pPr>
            <w:r w:rsidRPr="001E6526">
              <w:rPr>
                <w:rFonts w:ascii="Arial" w:hAnsi="Arial" w:cs="Arial"/>
                <w:color w:val="000000"/>
                <w:lang w:val="mk-MK"/>
              </w:rPr>
              <w:t>-</w:t>
            </w:r>
          </w:p>
        </w:tc>
        <w:tc>
          <w:tcPr>
            <w:tcW w:w="1014" w:type="dxa"/>
            <w:shd w:val="clear" w:color="auto" w:fill="auto"/>
            <w:tcMar>
              <w:left w:w="58" w:type="dxa"/>
              <w:right w:w="58" w:type="dxa"/>
            </w:tcMar>
            <w:vAlign w:val="bottom"/>
          </w:tcPr>
          <w:p w14:paraId="259160B2" w14:textId="60E7E56A" w:rsidR="00F93B95" w:rsidRPr="00CE3053" w:rsidRDefault="00F93B95" w:rsidP="00F93B95">
            <w:pPr>
              <w:spacing w:after="0"/>
              <w:jc w:val="right"/>
              <w:rPr>
                <w:rFonts w:ascii="Arial" w:hAnsi="Arial" w:cs="Arial"/>
                <w:color w:val="000000"/>
                <w:lang w:val="mk-MK"/>
              </w:rPr>
            </w:pPr>
            <w:r w:rsidRPr="001E6526">
              <w:rPr>
                <w:rFonts w:ascii="Arial" w:hAnsi="Arial" w:cs="Arial"/>
                <w:color w:val="000000"/>
                <w:lang w:val="mk-MK"/>
              </w:rPr>
              <w:t>(</w:t>
            </w:r>
            <w:r w:rsidR="002E133E" w:rsidRPr="001E6526">
              <w:rPr>
                <w:rFonts w:ascii="Arial" w:hAnsi="Arial" w:cs="Arial"/>
                <w:color w:val="000000"/>
                <w:lang w:val="mk-MK"/>
              </w:rPr>
              <w:t>20</w:t>
            </w:r>
            <w:r w:rsidRPr="001E6526">
              <w:rPr>
                <w:rFonts w:ascii="Arial" w:hAnsi="Arial" w:cs="Arial"/>
                <w:color w:val="000000"/>
                <w:lang w:val="mk-MK"/>
              </w:rPr>
              <w:t>)</w:t>
            </w:r>
          </w:p>
        </w:tc>
        <w:tc>
          <w:tcPr>
            <w:tcW w:w="1010" w:type="dxa"/>
            <w:shd w:val="clear" w:color="auto" w:fill="auto"/>
            <w:tcMar>
              <w:left w:w="58" w:type="dxa"/>
              <w:right w:w="58" w:type="dxa"/>
            </w:tcMar>
            <w:vAlign w:val="bottom"/>
          </w:tcPr>
          <w:p w14:paraId="553745AF" w14:textId="2B1F0179" w:rsidR="00F93B95" w:rsidRPr="00CE3053" w:rsidRDefault="00F93B95" w:rsidP="00F93B95">
            <w:pPr>
              <w:spacing w:after="0"/>
              <w:jc w:val="right"/>
              <w:rPr>
                <w:rFonts w:ascii="Arial" w:hAnsi="Arial" w:cs="Arial"/>
                <w:color w:val="000000"/>
                <w:lang w:val="mk-MK"/>
              </w:rPr>
            </w:pPr>
            <w:r w:rsidRPr="001E6526">
              <w:rPr>
                <w:rFonts w:ascii="Arial" w:hAnsi="Arial" w:cs="Arial"/>
                <w:color w:val="000000"/>
                <w:lang w:val="mk-MK"/>
              </w:rPr>
              <w:t>(</w:t>
            </w:r>
            <w:r w:rsidR="00DC746E" w:rsidRPr="00CE3053">
              <w:rPr>
                <w:rFonts w:ascii="Arial" w:hAnsi="Arial" w:cs="Arial"/>
                <w:color w:val="000000"/>
                <w:lang w:val="mk-MK"/>
              </w:rPr>
              <w:t>678</w:t>
            </w:r>
            <w:r w:rsidRPr="001E6526">
              <w:rPr>
                <w:rFonts w:ascii="Arial" w:hAnsi="Arial" w:cs="Arial"/>
                <w:color w:val="000000"/>
                <w:lang w:val="mk-MK"/>
              </w:rPr>
              <w:t>)</w:t>
            </w:r>
          </w:p>
        </w:tc>
      </w:tr>
      <w:tr w:rsidR="00F93B95" w:rsidRPr="001E6526" w14:paraId="648B76B6" w14:textId="77777777" w:rsidTr="0025712C">
        <w:trPr>
          <w:trHeight w:val="216"/>
        </w:trPr>
        <w:tc>
          <w:tcPr>
            <w:tcW w:w="3347" w:type="dxa"/>
            <w:tcBorders>
              <w:top w:val="single" w:sz="4" w:space="0" w:color="auto"/>
            </w:tcBorders>
            <w:shd w:val="clear" w:color="auto" w:fill="auto"/>
            <w:tcMar>
              <w:left w:w="58" w:type="dxa"/>
              <w:right w:w="58" w:type="dxa"/>
            </w:tcMar>
            <w:vAlign w:val="bottom"/>
          </w:tcPr>
          <w:p w14:paraId="77C7190C" w14:textId="7970EF0C" w:rsidR="00F93B95" w:rsidRPr="00CE3053" w:rsidRDefault="001B4810" w:rsidP="00F93B95">
            <w:pPr>
              <w:spacing w:after="0"/>
              <w:rPr>
                <w:rFonts w:ascii="Arial" w:hAnsi="Arial" w:cs="Arial"/>
                <w:b/>
                <w:bCs/>
                <w:color w:val="000000"/>
                <w:lang w:val="mk-MK"/>
              </w:rPr>
            </w:pPr>
            <w:r>
              <w:rPr>
                <w:rFonts w:ascii="Arial" w:hAnsi="Arial" w:cs="Arial"/>
                <w:b/>
                <w:bCs/>
                <w:color w:val="000000"/>
              </w:rPr>
              <w:t>At</w:t>
            </w:r>
            <w:r w:rsidR="00F93B95" w:rsidRPr="00CE3053">
              <w:rPr>
                <w:rFonts w:ascii="Arial" w:hAnsi="Arial" w:cs="Arial"/>
                <w:b/>
                <w:bCs/>
                <w:color w:val="000000"/>
                <w:lang w:val="mk-MK"/>
              </w:rPr>
              <w:t xml:space="preserve"> 31</w:t>
            </w:r>
            <w:r>
              <w:rPr>
                <w:rFonts w:ascii="Arial" w:hAnsi="Arial" w:cs="Arial"/>
                <w:b/>
                <w:bCs/>
                <w:color w:val="000000"/>
              </w:rPr>
              <w:t xml:space="preserve"> December</w:t>
            </w:r>
            <w:r w:rsidR="00F93B95" w:rsidRPr="00CE3053">
              <w:rPr>
                <w:rFonts w:ascii="Arial" w:hAnsi="Arial" w:cs="Arial"/>
                <w:b/>
                <w:bCs/>
                <w:color w:val="000000"/>
                <w:lang w:val="mk-MK"/>
              </w:rPr>
              <w:t xml:space="preserve"> 20</w:t>
            </w:r>
            <w:r w:rsidR="002E133E" w:rsidRPr="001E6526">
              <w:rPr>
                <w:rFonts w:ascii="Arial" w:hAnsi="Arial" w:cs="Arial"/>
                <w:b/>
                <w:bCs/>
                <w:color w:val="000000"/>
                <w:lang w:val="mk-MK"/>
              </w:rPr>
              <w:t>20</w:t>
            </w:r>
          </w:p>
        </w:tc>
        <w:tc>
          <w:tcPr>
            <w:tcW w:w="1100" w:type="dxa"/>
            <w:tcBorders>
              <w:top w:val="single" w:sz="4" w:space="0" w:color="auto"/>
            </w:tcBorders>
            <w:shd w:val="clear" w:color="auto" w:fill="auto"/>
            <w:tcMar>
              <w:left w:w="58" w:type="dxa"/>
              <w:right w:w="58" w:type="dxa"/>
            </w:tcMar>
            <w:vAlign w:val="bottom"/>
          </w:tcPr>
          <w:p w14:paraId="2C18CB4F" w14:textId="77777777" w:rsidR="00F93B95" w:rsidRPr="00CE3053"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32,350</w:t>
            </w:r>
          </w:p>
        </w:tc>
        <w:tc>
          <w:tcPr>
            <w:tcW w:w="1127" w:type="dxa"/>
            <w:tcBorders>
              <w:top w:val="single" w:sz="4" w:space="0" w:color="auto"/>
            </w:tcBorders>
            <w:shd w:val="clear" w:color="auto" w:fill="auto"/>
            <w:tcMar>
              <w:left w:w="58" w:type="dxa"/>
              <w:right w:w="58" w:type="dxa"/>
            </w:tcMar>
            <w:vAlign w:val="bottom"/>
          </w:tcPr>
          <w:p w14:paraId="4E3C698B" w14:textId="51A783BF" w:rsidR="00F93B95" w:rsidRPr="00CE3053" w:rsidRDefault="00280FFB" w:rsidP="00F93B95">
            <w:pPr>
              <w:spacing w:after="0"/>
              <w:jc w:val="right"/>
              <w:rPr>
                <w:rFonts w:ascii="Arial" w:hAnsi="Arial" w:cs="Arial"/>
                <w:b/>
                <w:bCs/>
                <w:color w:val="000000"/>
                <w:lang w:val="mk-MK"/>
              </w:rPr>
            </w:pPr>
            <w:r w:rsidRPr="00CE3053">
              <w:rPr>
                <w:rFonts w:ascii="Arial" w:hAnsi="Arial" w:cs="Arial"/>
                <w:b/>
                <w:bCs/>
                <w:color w:val="000000"/>
                <w:lang w:val="mk-MK"/>
              </w:rPr>
              <w:t>1,878</w:t>
            </w:r>
          </w:p>
        </w:tc>
        <w:tc>
          <w:tcPr>
            <w:tcW w:w="1042" w:type="dxa"/>
            <w:tcBorders>
              <w:top w:val="single" w:sz="4" w:space="0" w:color="auto"/>
            </w:tcBorders>
            <w:vAlign w:val="bottom"/>
          </w:tcPr>
          <w:p w14:paraId="7EA9DD26" w14:textId="77777777" w:rsidR="00F93B95" w:rsidRPr="00CE3053"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1,814</w:t>
            </w:r>
          </w:p>
        </w:tc>
        <w:tc>
          <w:tcPr>
            <w:tcW w:w="1014" w:type="dxa"/>
            <w:tcBorders>
              <w:top w:val="single" w:sz="4" w:space="0" w:color="auto"/>
            </w:tcBorders>
            <w:shd w:val="clear" w:color="auto" w:fill="auto"/>
            <w:tcMar>
              <w:left w:w="58" w:type="dxa"/>
              <w:right w:w="58" w:type="dxa"/>
            </w:tcMar>
            <w:vAlign w:val="bottom"/>
          </w:tcPr>
          <w:p w14:paraId="5595EAF9" w14:textId="39280715" w:rsidR="00F93B95" w:rsidRPr="00CE3053"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3,2</w:t>
            </w:r>
            <w:r w:rsidR="007361DE" w:rsidRPr="00CE3053">
              <w:rPr>
                <w:rFonts w:ascii="Arial" w:hAnsi="Arial" w:cs="Arial"/>
                <w:b/>
                <w:bCs/>
                <w:color w:val="000000"/>
                <w:lang w:val="mk-MK"/>
              </w:rPr>
              <w:t>42</w:t>
            </w:r>
          </w:p>
        </w:tc>
        <w:tc>
          <w:tcPr>
            <w:tcW w:w="1010" w:type="dxa"/>
            <w:tcBorders>
              <w:top w:val="single" w:sz="4" w:space="0" w:color="auto"/>
            </w:tcBorders>
            <w:shd w:val="clear" w:color="auto" w:fill="auto"/>
            <w:tcMar>
              <w:left w:w="58" w:type="dxa"/>
              <w:right w:w="58" w:type="dxa"/>
            </w:tcMar>
            <w:vAlign w:val="bottom"/>
          </w:tcPr>
          <w:p w14:paraId="73642925" w14:textId="4CDDB41C" w:rsidR="00F93B95" w:rsidRPr="00CE3053"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39,</w:t>
            </w:r>
            <w:r w:rsidR="00DC746E" w:rsidRPr="00CE3053">
              <w:rPr>
                <w:rFonts w:ascii="Arial" w:hAnsi="Arial" w:cs="Arial"/>
                <w:b/>
                <w:bCs/>
                <w:color w:val="000000"/>
                <w:lang w:val="mk-MK"/>
              </w:rPr>
              <w:t>284</w:t>
            </w:r>
          </w:p>
        </w:tc>
      </w:tr>
      <w:tr w:rsidR="00F93B95" w:rsidRPr="001E6526" w14:paraId="20990CB7" w14:textId="77777777" w:rsidTr="0025712C">
        <w:trPr>
          <w:trHeight w:val="216"/>
        </w:trPr>
        <w:tc>
          <w:tcPr>
            <w:tcW w:w="3347" w:type="dxa"/>
            <w:shd w:val="clear" w:color="auto" w:fill="auto"/>
            <w:tcMar>
              <w:left w:w="58" w:type="dxa"/>
              <w:right w:w="58" w:type="dxa"/>
            </w:tcMar>
            <w:vAlign w:val="bottom"/>
          </w:tcPr>
          <w:p w14:paraId="55561123" w14:textId="77777777" w:rsidR="00F93B95" w:rsidRPr="00CE3053" w:rsidRDefault="00F93B95" w:rsidP="00F93B95">
            <w:pPr>
              <w:pStyle w:val="TableText"/>
              <w:spacing w:before="0" w:after="0"/>
              <w:rPr>
                <w:rFonts w:ascii="Arial" w:hAnsi="Arial"/>
                <w:b/>
                <w:sz w:val="18"/>
                <w:lang w:val="mk-MK"/>
              </w:rPr>
            </w:pPr>
          </w:p>
        </w:tc>
        <w:tc>
          <w:tcPr>
            <w:tcW w:w="1100" w:type="dxa"/>
            <w:shd w:val="clear" w:color="auto" w:fill="auto"/>
            <w:tcMar>
              <w:left w:w="58" w:type="dxa"/>
              <w:right w:w="58" w:type="dxa"/>
            </w:tcMar>
            <w:vAlign w:val="bottom"/>
          </w:tcPr>
          <w:p w14:paraId="61DC5091" w14:textId="77777777" w:rsidR="00F93B95" w:rsidRPr="00CE3053" w:rsidRDefault="00F93B95" w:rsidP="00F93B95">
            <w:pPr>
              <w:pStyle w:val="TableText"/>
              <w:spacing w:before="0" w:after="0"/>
              <w:jc w:val="right"/>
              <w:rPr>
                <w:rFonts w:ascii="Arial" w:hAnsi="Arial"/>
                <w:b/>
                <w:bCs/>
                <w:color w:val="000000"/>
                <w:sz w:val="18"/>
                <w:lang w:val="mk-MK"/>
              </w:rPr>
            </w:pPr>
          </w:p>
        </w:tc>
        <w:tc>
          <w:tcPr>
            <w:tcW w:w="1127" w:type="dxa"/>
            <w:shd w:val="clear" w:color="auto" w:fill="auto"/>
            <w:tcMar>
              <w:left w:w="58" w:type="dxa"/>
              <w:right w:w="58" w:type="dxa"/>
            </w:tcMar>
            <w:vAlign w:val="bottom"/>
          </w:tcPr>
          <w:p w14:paraId="5C0BB73F" w14:textId="77777777" w:rsidR="00F93B95" w:rsidRPr="00CE3053" w:rsidRDefault="00F93B95" w:rsidP="00F93B95">
            <w:pPr>
              <w:pStyle w:val="TableText"/>
              <w:spacing w:before="0" w:after="0"/>
              <w:jc w:val="right"/>
              <w:rPr>
                <w:rFonts w:ascii="Arial" w:hAnsi="Arial"/>
                <w:b/>
                <w:bCs/>
                <w:color w:val="000000"/>
                <w:sz w:val="18"/>
                <w:lang w:val="mk-MK"/>
              </w:rPr>
            </w:pPr>
          </w:p>
        </w:tc>
        <w:tc>
          <w:tcPr>
            <w:tcW w:w="1042" w:type="dxa"/>
            <w:vAlign w:val="bottom"/>
          </w:tcPr>
          <w:p w14:paraId="4881CD4B" w14:textId="77777777" w:rsidR="00F93B95" w:rsidRPr="00CE3053" w:rsidRDefault="00F93B95" w:rsidP="00F93B95">
            <w:pPr>
              <w:pStyle w:val="TableText"/>
              <w:spacing w:before="0" w:after="0"/>
              <w:jc w:val="right"/>
              <w:rPr>
                <w:rFonts w:ascii="Arial" w:hAnsi="Arial"/>
                <w:b/>
                <w:bCs/>
                <w:color w:val="000000"/>
                <w:sz w:val="18"/>
                <w:lang w:val="mk-MK"/>
              </w:rPr>
            </w:pPr>
          </w:p>
        </w:tc>
        <w:tc>
          <w:tcPr>
            <w:tcW w:w="1014" w:type="dxa"/>
            <w:shd w:val="clear" w:color="auto" w:fill="auto"/>
            <w:tcMar>
              <w:left w:w="58" w:type="dxa"/>
              <w:right w:w="58" w:type="dxa"/>
            </w:tcMar>
            <w:vAlign w:val="bottom"/>
          </w:tcPr>
          <w:p w14:paraId="36AD952E" w14:textId="77777777" w:rsidR="00F93B95" w:rsidRPr="00CE3053" w:rsidRDefault="00F93B95" w:rsidP="00F93B95">
            <w:pPr>
              <w:pStyle w:val="TableText"/>
              <w:spacing w:before="0" w:after="0"/>
              <w:jc w:val="right"/>
              <w:rPr>
                <w:rFonts w:ascii="Arial" w:hAnsi="Arial"/>
                <w:b/>
                <w:bCs/>
                <w:color w:val="000000"/>
                <w:sz w:val="18"/>
                <w:lang w:val="mk-MK"/>
              </w:rPr>
            </w:pPr>
          </w:p>
        </w:tc>
        <w:tc>
          <w:tcPr>
            <w:tcW w:w="1010" w:type="dxa"/>
            <w:shd w:val="clear" w:color="auto" w:fill="auto"/>
            <w:tcMar>
              <w:left w:w="58" w:type="dxa"/>
              <w:right w:w="58" w:type="dxa"/>
            </w:tcMar>
            <w:vAlign w:val="bottom"/>
          </w:tcPr>
          <w:p w14:paraId="3C40E4DF" w14:textId="77777777" w:rsidR="00F93B95" w:rsidRPr="00CE3053" w:rsidRDefault="00F93B95" w:rsidP="00F93B95">
            <w:pPr>
              <w:pStyle w:val="TableText"/>
              <w:spacing w:before="0" w:after="0"/>
              <w:jc w:val="right"/>
              <w:rPr>
                <w:rFonts w:ascii="Arial" w:hAnsi="Arial"/>
                <w:b/>
                <w:bCs/>
                <w:color w:val="000000"/>
                <w:sz w:val="18"/>
                <w:lang w:val="mk-MK"/>
              </w:rPr>
            </w:pPr>
          </w:p>
        </w:tc>
      </w:tr>
      <w:tr w:rsidR="00F93B95" w:rsidRPr="001E6526" w14:paraId="22D7B027" w14:textId="77777777" w:rsidTr="0025712C">
        <w:trPr>
          <w:trHeight w:val="216"/>
        </w:trPr>
        <w:tc>
          <w:tcPr>
            <w:tcW w:w="3347" w:type="dxa"/>
            <w:shd w:val="clear" w:color="auto" w:fill="auto"/>
            <w:tcMar>
              <w:left w:w="58" w:type="dxa"/>
              <w:right w:w="58" w:type="dxa"/>
            </w:tcMar>
            <w:vAlign w:val="bottom"/>
          </w:tcPr>
          <w:p w14:paraId="2A8989D2" w14:textId="41B95C3B" w:rsidR="00F93B95" w:rsidRPr="00CE3053" w:rsidRDefault="001B4810" w:rsidP="00F93B95">
            <w:pPr>
              <w:spacing w:after="0"/>
              <w:rPr>
                <w:rFonts w:ascii="Arial" w:hAnsi="Arial" w:cs="Arial"/>
                <w:b/>
                <w:bCs/>
                <w:color w:val="000000"/>
                <w:lang w:val="mk-MK"/>
              </w:rPr>
            </w:pPr>
            <w:r>
              <w:rPr>
                <w:rFonts w:ascii="Arial" w:hAnsi="Arial" w:cs="Arial"/>
                <w:b/>
                <w:bCs/>
                <w:color w:val="000000"/>
              </w:rPr>
              <w:t>At</w:t>
            </w:r>
            <w:r w:rsidR="00F93B95" w:rsidRPr="00CE3053">
              <w:rPr>
                <w:rFonts w:ascii="Arial" w:hAnsi="Arial" w:cs="Arial"/>
                <w:b/>
                <w:bCs/>
                <w:color w:val="000000"/>
                <w:lang w:val="mk-MK"/>
              </w:rPr>
              <w:t xml:space="preserve"> 01</w:t>
            </w:r>
            <w:r>
              <w:rPr>
                <w:rFonts w:ascii="Arial" w:hAnsi="Arial" w:cs="Arial"/>
                <w:b/>
                <w:bCs/>
                <w:color w:val="000000"/>
              </w:rPr>
              <w:t xml:space="preserve"> December</w:t>
            </w:r>
            <w:r w:rsidR="00F93B95" w:rsidRPr="00CE3053">
              <w:rPr>
                <w:rFonts w:ascii="Arial" w:hAnsi="Arial" w:cs="Arial"/>
                <w:b/>
                <w:bCs/>
                <w:color w:val="000000"/>
                <w:lang w:val="mk-MK"/>
              </w:rPr>
              <w:t xml:space="preserve"> 202</w:t>
            </w:r>
            <w:r w:rsidR="00FD3AF2" w:rsidRPr="00CE3053">
              <w:rPr>
                <w:rFonts w:ascii="Arial" w:hAnsi="Arial" w:cs="Arial"/>
                <w:b/>
                <w:bCs/>
                <w:color w:val="000000"/>
                <w:lang w:val="mk-MK"/>
              </w:rPr>
              <w:t>1</w:t>
            </w:r>
            <w:r w:rsidR="00F93B95" w:rsidRPr="00CE3053">
              <w:rPr>
                <w:rFonts w:ascii="Arial" w:hAnsi="Arial" w:cs="Arial"/>
                <w:b/>
                <w:bCs/>
                <w:color w:val="000000"/>
                <w:lang w:val="mk-MK"/>
              </w:rPr>
              <w:t xml:space="preserve"> </w:t>
            </w:r>
          </w:p>
        </w:tc>
        <w:tc>
          <w:tcPr>
            <w:tcW w:w="1100" w:type="dxa"/>
            <w:shd w:val="clear" w:color="auto" w:fill="auto"/>
            <w:tcMar>
              <w:left w:w="58" w:type="dxa"/>
              <w:right w:w="58" w:type="dxa"/>
            </w:tcMar>
            <w:vAlign w:val="bottom"/>
          </w:tcPr>
          <w:p w14:paraId="7978FFBF" w14:textId="77777777"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32,350</w:t>
            </w:r>
          </w:p>
        </w:tc>
        <w:tc>
          <w:tcPr>
            <w:tcW w:w="1127" w:type="dxa"/>
            <w:shd w:val="clear" w:color="auto" w:fill="auto"/>
            <w:tcMar>
              <w:left w:w="58" w:type="dxa"/>
              <w:right w:w="58" w:type="dxa"/>
            </w:tcMar>
            <w:vAlign w:val="bottom"/>
          </w:tcPr>
          <w:p w14:paraId="31F84703" w14:textId="78678185" w:rsidR="00F93B95" w:rsidRPr="001E6526" w:rsidRDefault="00280FFB" w:rsidP="00F93B95">
            <w:pPr>
              <w:spacing w:after="0"/>
              <w:jc w:val="right"/>
              <w:rPr>
                <w:rFonts w:ascii="Arial" w:hAnsi="Arial" w:cs="Arial"/>
                <w:b/>
                <w:bCs/>
                <w:color w:val="000000"/>
                <w:lang w:val="mk-MK"/>
              </w:rPr>
            </w:pPr>
            <w:r w:rsidRPr="00CE3053">
              <w:rPr>
                <w:rFonts w:ascii="Arial" w:hAnsi="Arial" w:cs="Arial"/>
                <w:b/>
                <w:bCs/>
                <w:color w:val="000000"/>
                <w:lang w:val="mk-MK"/>
              </w:rPr>
              <w:t>1,878</w:t>
            </w:r>
          </w:p>
        </w:tc>
        <w:tc>
          <w:tcPr>
            <w:tcW w:w="1042" w:type="dxa"/>
            <w:vAlign w:val="bottom"/>
          </w:tcPr>
          <w:p w14:paraId="1CC9050D" w14:textId="77777777"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1,814</w:t>
            </w:r>
          </w:p>
        </w:tc>
        <w:tc>
          <w:tcPr>
            <w:tcW w:w="1014" w:type="dxa"/>
            <w:shd w:val="clear" w:color="auto" w:fill="auto"/>
            <w:tcMar>
              <w:left w:w="58" w:type="dxa"/>
              <w:right w:w="58" w:type="dxa"/>
            </w:tcMar>
            <w:vAlign w:val="bottom"/>
          </w:tcPr>
          <w:p w14:paraId="66D377B9" w14:textId="64D30AC8"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3,2</w:t>
            </w:r>
            <w:r w:rsidR="007361DE" w:rsidRPr="00CE3053">
              <w:rPr>
                <w:rFonts w:ascii="Arial" w:hAnsi="Arial" w:cs="Arial"/>
                <w:b/>
                <w:bCs/>
                <w:color w:val="000000"/>
                <w:lang w:val="mk-MK"/>
              </w:rPr>
              <w:t>42</w:t>
            </w:r>
          </w:p>
        </w:tc>
        <w:tc>
          <w:tcPr>
            <w:tcW w:w="1010" w:type="dxa"/>
            <w:shd w:val="clear" w:color="auto" w:fill="auto"/>
            <w:tcMar>
              <w:left w:w="58" w:type="dxa"/>
              <w:right w:w="58" w:type="dxa"/>
            </w:tcMar>
            <w:vAlign w:val="bottom"/>
          </w:tcPr>
          <w:p w14:paraId="59A4D04B" w14:textId="4FB19370"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39,</w:t>
            </w:r>
            <w:r w:rsidR="00DC746E" w:rsidRPr="00CE3053">
              <w:rPr>
                <w:rFonts w:ascii="Arial" w:hAnsi="Arial" w:cs="Arial"/>
                <w:b/>
                <w:bCs/>
                <w:color w:val="000000"/>
                <w:lang w:val="mk-MK"/>
              </w:rPr>
              <w:t>284</w:t>
            </w:r>
          </w:p>
        </w:tc>
      </w:tr>
      <w:tr w:rsidR="001B4810" w:rsidRPr="001E6526" w14:paraId="4D9C47C7" w14:textId="77777777" w:rsidTr="00C366C7">
        <w:trPr>
          <w:trHeight w:val="216"/>
        </w:trPr>
        <w:tc>
          <w:tcPr>
            <w:tcW w:w="3347" w:type="dxa"/>
            <w:shd w:val="clear" w:color="auto" w:fill="auto"/>
            <w:tcMar>
              <w:left w:w="58" w:type="dxa"/>
              <w:right w:w="58" w:type="dxa"/>
            </w:tcMar>
          </w:tcPr>
          <w:p w14:paraId="478D9904" w14:textId="752F1747" w:rsidR="001B4810" w:rsidRPr="001E6526" w:rsidRDefault="001B4810" w:rsidP="001B4810">
            <w:pPr>
              <w:spacing w:after="0"/>
              <w:rPr>
                <w:rFonts w:ascii="Arial" w:hAnsi="Arial" w:cs="Arial"/>
                <w:color w:val="000000"/>
                <w:lang w:val="mk-MK"/>
              </w:rPr>
            </w:pPr>
            <w:r w:rsidRPr="00F16B59">
              <w:t>Additions during the year</w:t>
            </w:r>
          </w:p>
        </w:tc>
        <w:tc>
          <w:tcPr>
            <w:tcW w:w="1100" w:type="dxa"/>
            <w:shd w:val="clear" w:color="auto" w:fill="auto"/>
            <w:tcMar>
              <w:left w:w="58" w:type="dxa"/>
              <w:right w:w="58" w:type="dxa"/>
            </w:tcMar>
            <w:vAlign w:val="bottom"/>
          </w:tcPr>
          <w:p w14:paraId="1E3407EB" w14:textId="77777777" w:rsidR="001B4810" w:rsidRPr="001E6526" w:rsidRDefault="001B4810" w:rsidP="001B4810">
            <w:pPr>
              <w:spacing w:after="0"/>
              <w:jc w:val="right"/>
              <w:rPr>
                <w:rFonts w:ascii="Arial" w:hAnsi="Arial" w:cs="Arial"/>
                <w:color w:val="000000"/>
                <w:lang w:val="mk-MK"/>
              </w:rPr>
            </w:pPr>
            <w:r w:rsidRPr="001E6526">
              <w:rPr>
                <w:rFonts w:ascii="Arial" w:hAnsi="Arial" w:cs="Arial"/>
                <w:color w:val="000000"/>
                <w:lang w:val="mk-MK"/>
              </w:rPr>
              <w:t>-</w:t>
            </w:r>
          </w:p>
        </w:tc>
        <w:tc>
          <w:tcPr>
            <w:tcW w:w="1127" w:type="dxa"/>
            <w:shd w:val="clear" w:color="auto" w:fill="auto"/>
            <w:tcMar>
              <w:left w:w="58" w:type="dxa"/>
              <w:right w:w="58" w:type="dxa"/>
            </w:tcMar>
            <w:vAlign w:val="bottom"/>
          </w:tcPr>
          <w:p w14:paraId="4D209790" w14:textId="003444C3" w:rsidR="001B4810" w:rsidRPr="00CE3053" w:rsidRDefault="001B4810" w:rsidP="001B4810">
            <w:pPr>
              <w:spacing w:after="0"/>
              <w:jc w:val="right"/>
              <w:rPr>
                <w:rFonts w:ascii="Arial" w:hAnsi="Arial" w:cs="Arial"/>
                <w:color w:val="000000"/>
                <w:lang w:val="mk-MK"/>
              </w:rPr>
            </w:pPr>
            <w:r w:rsidRPr="00CE3053">
              <w:rPr>
                <w:rFonts w:ascii="Arial" w:hAnsi="Arial" w:cs="Arial"/>
                <w:color w:val="000000"/>
                <w:lang w:val="mk-MK"/>
              </w:rPr>
              <w:t>119</w:t>
            </w:r>
          </w:p>
        </w:tc>
        <w:tc>
          <w:tcPr>
            <w:tcW w:w="1042" w:type="dxa"/>
            <w:vAlign w:val="bottom"/>
          </w:tcPr>
          <w:p w14:paraId="76635D4E" w14:textId="77777777" w:rsidR="001B4810" w:rsidRPr="001E6526" w:rsidRDefault="001B4810" w:rsidP="001B4810">
            <w:pPr>
              <w:spacing w:after="0"/>
              <w:jc w:val="right"/>
              <w:rPr>
                <w:rFonts w:ascii="Arial" w:hAnsi="Arial" w:cs="Arial"/>
                <w:color w:val="000000"/>
                <w:lang w:val="mk-MK"/>
              </w:rPr>
            </w:pPr>
            <w:r w:rsidRPr="001E6526">
              <w:rPr>
                <w:rFonts w:ascii="Arial" w:hAnsi="Arial" w:cs="Arial"/>
                <w:color w:val="000000"/>
                <w:lang w:val="mk-MK"/>
              </w:rPr>
              <w:t>-</w:t>
            </w:r>
          </w:p>
        </w:tc>
        <w:tc>
          <w:tcPr>
            <w:tcW w:w="1014" w:type="dxa"/>
            <w:shd w:val="clear" w:color="auto" w:fill="auto"/>
            <w:tcMar>
              <w:left w:w="58" w:type="dxa"/>
              <w:right w:w="58" w:type="dxa"/>
            </w:tcMar>
            <w:vAlign w:val="bottom"/>
          </w:tcPr>
          <w:p w14:paraId="5CFF6C0D" w14:textId="3790F63E" w:rsidR="001B4810" w:rsidRPr="001E6526" w:rsidRDefault="001B4810" w:rsidP="001B4810">
            <w:pPr>
              <w:spacing w:after="0"/>
              <w:jc w:val="right"/>
              <w:rPr>
                <w:rFonts w:ascii="Arial" w:hAnsi="Arial" w:cs="Arial"/>
                <w:color w:val="000000"/>
                <w:lang w:val="mk-MK"/>
              </w:rPr>
            </w:pPr>
            <w:r w:rsidRPr="00CE3053">
              <w:rPr>
                <w:rFonts w:ascii="Arial" w:hAnsi="Arial" w:cs="Arial"/>
                <w:color w:val="000000"/>
                <w:lang w:val="mk-MK"/>
              </w:rPr>
              <w:t>76</w:t>
            </w:r>
          </w:p>
        </w:tc>
        <w:tc>
          <w:tcPr>
            <w:tcW w:w="1010" w:type="dxa"/>
            <w:shd w:val="clear" w:color="auto" w:fill="auto"/>
            <w:tcMar>
              <w:left w:w="58" w:type="dxa"/>
              <w:right w:w="58" w:type="dxa"/>
            </w:tcMar>
            <w:vAlign w:val="bottom"/>
          </w:tcPr>
          <w:p w14:paraId="4DE10C28" w14:textId="43BC8BCA" w:rsidR="001B4810" w:rsidRPr="00CE3053" w:rsidRDefault="001B4810" w:rsidP="001B4810">
            <w:pPr>
              <w:spacing w:after="0"/>
              <w:jc w:val="right"/>
              <w:rPr>
                <w:rFonts w:ascii="Arial" w:hAnsi="Arial" w:cs="Arial"/>
                <w:color w:val="000000"/>
                <w:lang w:val="mk-MK"/>
              </w:rPr>
            </w:pPr>
            <w:r w:rsidRPr="00CE3053">
              <w:rPr>
                <w:rFonts w:ascii="Arial" w:hAnsi="Arial" w:cs="Arial"/>
                <w:color w:val="000000"/>
                <w:lang w:val="mk-MK"/>
              </w:rPr>
              <w:t>195</w:t>
            </w:r>
          </w:p>
        </w:tc>
      </w:tr>
      <w:tr w:rsidR="001B4810" w:rsidRPr="001E6526" w14:paraId="4345BD48" w14:textId="77777777" w:rsidTr="00C366C7">
        <w:trPr>
          <w:trHeight w:val="216"/>
        </w:trPr>
        <w:tc>
          <w:tcPr>
            <w:tcW w:w="3347" w:type="dxa"/>
            <w:shd w:val="clear" w:color="auto" w:fill="auto"/>
            <w:tcMar>
              <w:left w:w="58" w:type="dxa"/>
              <w:right w:w="58" w:type="dxa"/>
            </w:tcMar>
          </w:tcPr>
          <w:p w14:paraId="7F7A70AF" w14:textId="622922D1" w:rsidR="001B4810" w:rsidRPr="001E6526" w:rsidRDefault="001B4810" w:rsidP="001B4810">
            <w:pPr>
              <w:spacing w:after="0"/>
              <w:rPr>
                <w:rFonts w:ascii="Arial" w:hAnsi="Arial" w:cs="Arial"/>
                <w:color w:val="000000"/>
                <w:lang w:val="mk-MK"/>
              </w:rPr>
            </w:pPr>
            <w:r w:rsidRPr="00F16B59">
              <w:t>Write-off</w:t>
            </w:r>
          </w:p>
        </w:tc>
        <w:tc>
          <w:tcPr>
            <w:tcW w:w="1100" w:type="dxa"/>
            <w:shd w:val="clear" w:color="auto" w:fill="auto"/>
            <w:tcMar>
              <w:left w:w="58" w:type="dxa"/>
              <w:right w:w="58" w:type="dxa"/>
            </w:tcMar>
            <w:vAlign w:val="bottom"/>
          </w:tcPr>
          <w:p w14:paraId="1741F026" w14:textId="77777777" w:rsidR="001B4810" w:rsidRPr="001E6526" w:rsidRDefault="001B4810" w:rsidP="001B4810">
            <w:pPr>
              <w:spacing w:after="0"/>
              <w:jc w:val="right"/>
              <w:rPr>
                <w:rFonts w:ascii="Arial" w:hAnsi="Arial" w:cs="Arial"/>
                <w:color w:val="000000"/>
                <w:lang w:val="mk-MK"/>
              </w:rPr>
            </w:pPr>
            <w:r w:rsidRPr="001E6526">
              <w:rPr>
                <w:rFonts w:ascii="Arial" w:hAnsi="Arial" w:cs="Arial"/>
                <w:color w:val="000000"/>
                <w:lang w:val="mk-MK"/>
              </w:rPr>
              <w:t>-</w:t>
            </w:r>
          </w:p>
        </w:tc>
        <w:tc>
          <w:tcPr>
            <w:tcW w:w="1127" w:type="dxa"/>
            <w:shd w:val="clear" w:color="auto" w:fill="auto"/>
            <w:tcMar>
              <w:left w:w="58" w:type="dxa"/>
              <w:right w:w="58" w:type="dxa"/>
            </w:tcMar>
            <w:vAlign w:val="bottom"/>
          </w:tcPr>
          <w:p w14:paraId="57A69DF9" w14:textId="10737EDD" w:rsidR="001B4810" w:rsidRPr="001E6526" w:rsidRDefault="001B4810" w:rsidP="001B4810">
            <w:pPr>
              <w:spacing w:after="0"/>
              <w:jc w:val="right"/>
              <w:rPr>
                <w:rFonts w:ascii="Arial" w:hAnsi="Arial" w:cs="Arial"/>
                <w:color w:val="000000"/>
                <w:lang w:val="mk-MK"/>
              </w:rPr>
            </w:pPr>
            <w:r w:rsidRPr="001E6526">
              <w:rPr>
                <w:rFonts w:ascii="Arial" w:hAnsi="Arial" w:cs="Arial"/>
                <w:color w:val="000000"/>
                <w:lang w:val="mk-MK"/>
              </w:rPr>
              <w:t>(6</w:t>
            </w:r>
            <w:r w:rsidRPr="00CE3053">
              <w:rPr>
                <w:rFonts w:ascii="Arial" w:hAnsi="Arial" w:cs="Arial"/>
                <w:color w:val="000000"/>
                <w:lang w:val="mk-MK"/>
              </w:rPr>
              <w:t>25</w:t>
            </w:r>
            <w:r w:rsidRPr="001E6526">
              <w:rPr>
                <w:rFonts w:ascii="Arial" w:hAnsi="Arial" w:cs="Arial"/>
                <w:color w:val="000000"/>
                <w:lang w:val="mk-MK"/>
              </w:rPr>
              <w:t>)</w:t>
            </w:r>
          </w:p>
        </w:tc>
        <w:tc>
          <w:tcPr>
            <w:tcW w:w="1042" w:type="dxa"/>
            <w:vAlign w:val="bottom"/>
          </w:tcPr>
          <w:p w14:paraId="2E072DD4" w14:textId="77777777" w:rsidR="001B4810" w:rsidRPr="001E6526" w:rsidRDefault="001B4810" w:rsidP="001B4810">
            <w:pPr>
              <w:spacing w:after="0"/>
              <w:jc w:val="right"/>
              <w:rPr>
                <w:rFonts w:ascii="Arial" w:hAnsi="Arial" w:cs="Arial"/>
                <w:color w:val="000000"/>
                <w:lang w:val="mk-MK"/>
              </w:rPr>
            </w:pPr>
            <w:r w:rsidRPr="001E6526">
              <w:rPr>
                <w:rFonts w:ascii="Arial" w:hAnsi="Arial" w:cs="Arial"/>
                <w:color w:val="000000"/>
                <w:lang w:val="mk-MK"/>
              </w:rPr>
              <w:t>-</w:t>
            </w:r>
          </w:p>
        </w:tc>
        <w:tc>
          <w:tcPr>
            <w:tcW w:w="1014" w:type="dxa"/>
            <w:shd w:val="clear" w:color="auto" w:fill="auto"/>
            <w:tcMar>
              <w:left w:w="58" w:type="dxa"/>
              <w:right w:w="58" w:type="dxa"/>
            </w:tcMar>
            <w:vAlign w:val="bottom"/>
          </w:tcPr>
          <w:p w14:paraId="6475E5B8" w14:textId="76D42071" w:rsidR="001B4810" w:rsidRPr="001E6526" w:rsidRDefault="001B4810" w:rsidP="001B4810">
            <w:pPr>
              <w:spacing w:after="0"/>
              <w:jc w:val="right"/>
              <w:rPr>
                <w:rFonts w:ascii="Arial" w:hAnsi="Arial" w:cs="Arial"/>
                <w:color w:val="000000"/>
                <w:lang w:val="mk-MK"/>
              </w:rPr>
            </w:pPr>
            <w:r w:rsidRPr="001E6526">
              <w:rPr>
                <w:rFonts w:ascii="Arial" w:hAnsi="Arial" w:cs="Arial"/>
                <w:color w:val="000000"/>
                <w:lang w:val="mk-MK"/>
              </w:rPr>
              <w:t>(</w:t>
            </w:r>
            <w:r w:rsidRPr="00CE3053">
              <w:rPr>
                <w:rFonts w:ascii="Arial" w:hAnsi="Arial" w:cs="Arial"/>
                <w:color w:val="000000"/>
                <w:lang w:val="mk-MK"/>
              </w:rPr>
              <w:t>111</w:t>
            </w:r>
            <w:r w:rsidRPr="001E6526">
              <w:rPr>
                <w:rFonts w:ascii="Arial" w:hAnsi="Arial" w:cs="Arial"/>
                <w:color w:val="000000"/>
                <w:lang w:val="mk-MK"/>
              </w:rPr>
              <w:t>)</w:t>
            </w:r>
          </w:p>
        </w:tc>
        <w:tc>
          <w:tcPr>
            <w:tcW w:w="1010" w:type="dxa"/>
            <w:shd w:val="clear" w:color="auto" w:fill="auto"/>
            <w:tcMar>
              <w:left w:w="58" w:type="dxa"/>
              <w:right w:w="58" w:type="dxa"/>
            </w:tcMar>
            <w:vAlign w:val="bottom"/>
          </w:tcPr>
          <w:p w14:paraId="19FABD88" w14:textId="6585B24C" w:rsidR="001B4810" w:rsidRPr="001E6526" w:rsidRDefault="001B4810" w:rsidP="001B4810">
            <w:pPr>
              <w:spacing w:after="0"/>
              <w:jc w:val="right"/>
              <w:rPr>
                <w:rFonts w:ascii="Arial" w:hAnsi="Arial" w:cs="Arial"/>
                <w:color w:val="000000"/>
                <w:lang w:val="mk-MK"/>
              </w:rPr>
            </w:pPr>
            <w:r w:rsidRPr="001E6526">
              <w:rPr>
                <w:rFonts w:ascii="Arial" w:hAnsi="Arial" w:cs="Arial"/>
                <w:color w:val="000000"/>
                <w:lang w:val="mk-MK"/>
              </w:rPr>
              <w:t>(</w:t>
            </w:r>
            <w:r w:rsidRPr="00CE3053">
              <w:rPr>
                <w:rFonts w:ascii="Arial" w:hAnsi="Arial" w:cs="Arial"/>
                <w:color w:val="000000"/>
                <w:lang w:val="mk-MK"/>
              </w:rPr>
              <w:t>736</w:t>
            </w:r>
            <w:r w:rsidRPr="001E6526">
              <w:rPr>
                <w:rFonts w:ascii="Arial" w:hAnsi="Arial" w:cs="Arial"/>
                <w:color w:val="000000"/>
                <w:lang w:val="mk-MK"/>
              </w:rPr>
              <w:t>)</w:t>
            </w:r>
          </w:p>
        </w:tc>
      </w:tr>
      <w:tr w:rsidR="00F93B95" w:rsidRPr="001E6526" w14:paraId="2EC41790" w14:textId="77777777" w:rsidTr="0025712C">
        <w:trPr>
          <w:trHeight w:val="216"/>
        </w:trPr>
        <w:tc>
          <w:tcPr>
            <w:tcW w:w="3347" w:type="dxa"/>
            <w:tcBorders>
              <w:top w:val="single" w:sz="4" w:space="0" w:color="auto"/>
            </w:tcBorders>
            <w:shd w:val="clear" w:color="auto" w:fill="auto"/>
            <w:tcMar>
              <w:left w:w="58" w:type="dxa"/>
              <w:right w:w="58" w:type="dxa"/>
            </w:tcMar>
            <w:vAlign w:val="bottom"/>
          </w:tcPr>
          <w:p w14:paraId="657B59CE" w14:textId="4B2D8C28" w:rsidR="00F93B95" w:rsidRPr="00CE3053" w:rsidRDefault="001B4810" w:rsidP="00F93B95">
            <w:pPr>
              <w:spacing w:after="0"/>
              <w:rPr>
                <w:rFonts w:ascii="Arial" w:hAnsi="Arial" w:cs="Arial"/>
                <w:b/>
                <w:bCs/>
                <w:color w:val="000000"/>
                <w:lang w:val="mk-MK"/>
              </w:rPr>
            </w:pPr>
            <w:r>
              <w:rPr>
                <w:rFonts w:ascii="Arial" w:hAnsi="Arial" w:cs="Arial"/>
                <w:b/>
                <w:bCs/>
                <w:color w:val="000000"/>
              </w:rPr>
              <w:t>At</w:t>
            </w:r>
            <w:r w:rsidR="00F93B95" w:rsidRPr="00CE3053">
              <w:rPr>
                <w:rFonts w:ascii="Arial" w:hAnsi="Arial" w:cs="Arial"/>
                <w:b/>
                <w:bCs/>
                <w:color w:val="000000"/>
                <w:lang w:val="mk-MK"/>
              </w:rPr>
              <w:t xml:space="preserve"> 31 </w:t>
            </w:r>
            <w:r>
              <w:rPr>
                <w:rFonts w:ascii="Arial" w:hAnsi="Arial" w:cs="Arial"/>
                <w:b/>
                <w:bCs/>
                <w:color w:val="000000"/>
              </w:rPr>
              <w:t>December</w:t>
            </w:r>
            <w:r w:rsidR="00F93B95" w:rsidRPr="00CE3053">
              <w:rPr>
                <w:rFonts w:ascii="Arial" w:hAnsi="Arial" w:cs="Arial"/>
                <w:b/>
                <w:bCs/>
                <w:color w:val="000000"/>
                <w:lang w:val="mk-MK"/>
              </w:rPr>
              <w:t xml:space="preserve"> 202</w:t>
            </w:r>
            <w:r w:rsidR="00FD3AF2" w:rsidRPr="00CE3053">
              <w:rPr>
                <w:rFonts w:ascii="Arial" w:hAnsi="Arial" w:cs="Arial"/>
                <w:b/>
                <w:bCs/>
                <w:color w:val="000000"/>
                <w:lang w:val="mk-MK"/>
              </w:rPr>
              <w:t>1</w:t>
            </w:r>
          </w:p>
        </w:tc>
        <w:tc>
          <w:tcPr>
            <w:tcW w:w="1100" w:type="dxa"/>
            <w:tcBorders>
              <w:top w:val="single" w:sz="4" w:space="0" w:color="auto"/>
            </w:tcBorders>
            <w:shd w:val="clear" w:color="auto" w:fill="auto"/>
            <w:tcMar>
              <w:left w:w="58" w:type="dxa"/>
              <w:right w:w="58" w:type="dxa"/>
            </w:tcMar>
            <w:vAlign w:val="bottom"/>
          </w:tcPr>
          <w:p w14:paraId="48312E32" w14:textId="77777777"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32,350</w:t>
            </w:r>
          </w:p>
        </w:tc>
        <w:tc>
          <w:tcPr>
            <w:tcW w:w="1127" w:type="dxa"/>
            <w:tcBorders>
              <w:top w:val="single" w:sz="4" w:space="0" w:color="auto"/>
            </w:tcBorders>
            <w:shd w:val="clear" w:color="auto" w:fill="auto"/>
            <w:tcMar>
              <w:left w:w="58" w:type="dxa"/>
              <w:right w:w="58" w:type="dxa"/>
            </w:tcMar>
            <w:vAlign w:val="bottom"/>
          </w:tcPr>
          <w:p w14:paraId="21C5FF65" w14:textId="44CAAB80" w:rsidR="00F93B95" w:rsidRPr="00CE3053" w:rsidRDefault="00280FFB" w:rsidP="00F93B95">
            <w:pPr>
              <w:spacing w:after="0"/>
              <w:jc w:val="right"/>
              <w:rPr>
                <w:rFonts w:ascii="Arial" w:hAnsi="Arial" w:cs="Arial"/>
                <w:b/>
                <w:bCs/>
                <w:color w:val="000000"/>
                <w:lang w:val="mk-MK"/>
              </w:rPr>
            </w:pPr>
            <w:r w:rsidRPr="00CE3053">
              <w:rPr>
                <w:rFonts w:ascii="Arial" w:hAnsi="Arial" w:cs="Arial"/>
                <w:b/>
                <w:bCs/>
                <w:color w:val="000000"/>
                <w:lang w:val="mk-MK"/>
              </w:rPr>
              <w:t>1,372</w:t>
            </w:r>
          </w:p>
        </w:tc>
        <w:tc>
          <w:tcPr>
            <w:tcW w:w="1042" w:type="dxa"/>
            <w:tcBorders>
              <w:top w:val="single" w:sz="4" w:space="0" w:color="auto"/>
            </w:tcBorders>
            <w:vAlign w:val="bottom"/>
          </w:tcPr>
          <w:p w14:paraId="43E38741" w14:textId="77777777"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1,814</w:t>
            </w:r>
          </w:p>
        </w:tc>
        <w:tc>
          <w:tcPr>
            <w:tcW w:w="1014" w:type="dxa"/>
            <w:tcBorders>
              <w:top w:val="single" w:sz="4" w:space="0" w:color="auto"/>
            </w:tcBorders>
            <w:shd w:val="clear" w:color="auto" w:fill="auto"/>
            <w:tcMar>
              <w:left w:w="58" w:type="dxa"/>
              <w:right w:w="58" w:type="dxa"/>
            </w:tcMar>
            <w:vAlign w:val="bottom"/>
          </w:tcPr>
          <w:p w14:paraId="0AC89FFC" w14:textId="73DE44A5"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3,</w:t>
            </w:r>
            <w:r w:rsidR="009C7EB6" w:rsidRPr="00CE3053">
              <w:rPr>
                <w:rFonts w:ascii="Arial" w:hAnsi="Arial" w:cs="Arial"/>
                <w:b/>
                <w:bCs/>
                <w:color w:val="000000"/>
                <w:lang w:val="mk-MK"/>
              </w:rPr>
              <w:t>207</w:t>
            </w:r>
          </w:p>
        </w:tc>
        <w:tc>
          <w:tcPr>
            <w:tcW w:w="1010" w:type="dxa"/>
            <w:tcBorders>
              <w:top w:val="single" w:sz="4" w:space="0" w:color="auto"/>
            </w:tcBorders>
            <w:shd w:val="clear" w:color="auto" w:fill="auto"/>
            <w:tcMar>
              <w:left w:w="58" w:type="dxa"/>
              <w:right w:w="58" w:type="dxa"/>
            </w:tcMar>
            <w:vAlign w:val="bottom"/>
          </w:tcPr>
          <w:p w14:paraId="4DAE3214" w14:textId="0287CE45"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3</w:t>
            </w:r>
            <w:r w:rsidR="00280FFB" w:rsidRPr="00CE3053">
              <w:rPr>
                <w:rFonts w:ascii="Arial" w:hAnsi="Arial" w:cs="Arial"/>
                <w:b/>
                <w:bCs/>
                <w:color w:val="000000"/>
                <w:lang w:val="mk-MK"/>
              </w:rPr>
              <w:t>8</w:t>
            </w:r>
            <w:r w:rsidRPr="001E6526">
              <w:rPr>
                <w:rFonts w:ascii="Arial" w:hAnsi="Arial" w:cs="Arial"/>
                <w:b/>
                <w:bCs/>
                <w:color w:val="000000"/>
                <w:lang w:val="mk-MK"/>
              </w:rPr>
              <w:t>,</w:t>
            </w:r>
            <w:r w:rsidR="0064283A" w:rsidRPr="00CE3053">
              <w:rPr>
                <w:rFonts w:ascii="Arial" w:hAnsi="Arial" w:cs="Arial"/>
                <w:b/>
                <w:bCs/>
                <w:color w:val="000000"/>
                <w:lang w:val="mk-MK"/>
              </w:rPr>
              <w:t>743</w:t>
            </w:r>
          </w:p>
        </w:tc>
      </w:tr>
      <w:tr w:rsidR="00F93B95" w:rsidRPr="001E6526" w14:paraId="19312BA1" w14:textId="77777777" w:rsidTr="0025712C">
        <w:trPr>
          <w:trHeight w:val="216"/>
        </w:trPr>
        <w:tc>
          <w:tcPr>
            <w:tcW w:w="3347" w:type="dxa"/>
            <w:shd w:val="clear" w:color="auto" w:fill="auto"/>
            <w:tcMar>
              <w:left w:w="58" w:type="dxa"/>
              <w:right w:w="58" w:type="dxa"/>
            </w:tcMar>
            <w:vAlign w:val="bottom"/>
          </w:tcPr>
          <w:p w14:paraId="33C8B12D" w14:textId="77777777" w:rsidR="00F93B95" w:rsidRPr="00CE3053" w:rsidRDefault="00F93B95" w:rsidP="00F93B95">
            <w:pPr>
              <w:pStyle w:val="TableText"/>
              <w:spacing w:before="0" w:after="0"/>
              <w:rPr>
                <w:rFonts w:ascii="Arial" w:hAnsi="Arial"/>
                <w:bCs/>
                <w:sz w:val="18"/>
                <w:lang w:val="mk-MK"/>
              </w:rPr>
            </w:pPr>
          </w:p>
        </w:tc>
        <w:tc>
          <w:tcPr>
            <w:tcW w:w="1100" w:type="dxa"/>
            <w:shd w:val="clear" w:color="auto" w:fill="auto"/>
            <w:tcMar>
              <w:left w:w="58" w:type="dxa"/>
              <w:right w:w="58" w:type="dxa"/>
            </w:tcMar>
            <w:vAlign w:val="bottom"/>
          </w:tcPr>
          <w:p w14:paraId="3541D83A" w14:textId="77777777" w:rsidR="00F93B95" w:rsidRPr="00CE3053" w:rsidRDefault="00F93B95" w:rsidP="00F93B95">
            <w:pPr>
              <w:pStyle w:val="TableText"/>
              <w:spacing w:before="0" w:after="0"/>
              <w:jc w:val="right"/>
              <w:rPr>
                <w:rFonts w:ascii="Arial" w:hAnsi="Arial"/>
                <w:color w:val="000000"/>
                <w:sz w:val="18"/>
                <w:lang w:val="mk-MK"/>
              </w:rPr>
            </w:pPr>
          </w:p>
        </w:tc>
        <w:tc>
          <w:tcPr>
            <w:tcW w:w="1127" w:type="dxa"/>
            <w:shd w:val="clear" w:color="auto" w:fill="auto"/>
            <w:tcMar>
              <w:left w:w="58" w:type="dxa"/>
              <w:right w:w="58" w:type="dxa"/>
            </w:tcMar>
            <w:vAlign w:val="bottom"/>
          </w:tcPr>
          <w:p w14:paraId="3A10EA7C" w14:textId="77777777" w:rsidR="00F93B95" w:rsidRPr="00CE3053" w:rsidRDefault="00F93B95" w:rsidP="00F93B95">
            <w:pPr>
              <w:pStyle w:val="TableText"/>
              <w:spacing w:before="0" w:after="0"/>
              <w:jc w:val="right"/>
              <w:rPr>
                <w:rFonts w:ascii="Arial" w:hAnsi="Arial"/>
                <w:color w:val="000000"/>
                <w:sz w:val="18"/>
                <w:lang w:val="mk-MK"/>
              </w:rPr>
            </w:pPr>
          </w:p>
        </w:tc>
        <w:tc>
          <w:tcPr>
            <w:tcW w:w="1042" w:type="dxa"/>
            <w:vAlign w:val="bottom"/>
          </w:tcPr>
          <w:p w14:paraId="3600607A" w14:textId="77777777" w:rsidR="00F93B95" w:rsidRPr="00CE3053" w:rsidRDefault="00F93B95" w:rsidP="00F93B95">
            <w:pPr>
              <w:pStyle w:val="TableText"/>
              <w:spacing w:before="0" w:after="0"/>
              <w:jc w:val="right"/>
              <w:rPr>
                <w:rFonts w:ascii="Arial" w:hAnsi="Arial"/>
                <w:color w:val="000000"/>
                <w:sz w:val="18"/>
                <w:lang w:val="mk-MK"/>
              </w:rPr>
            </w:pPr>
          </w:p>
        </w:tc>
        <w:tc>
          <w:tcPr>
            <w:tcW w:w="1014" w:type="dxa"/>
            <w:shd w:val="clear" w:color="auto" w:fill="auto"/>
            <w:tcMar>
              <w:left w:w="58" w:type="dxa"/>
              <w:right w:w="58" w:type="dxa"/>
            </w:tcMar>
            <w:vAlign w:val="bottom"/>
          </w:tcPr>
          <w:p w14:paraId="47820275" w14:textId="77777777" w:rsidR="00F93B95" w:rsidRPr="00CE3053" w:rsidRDefault="00F93B95" w:rsidP="00F93B95">
            <w:pPr>
              <w:pStyle w:val="TableText"/>
              <w:spacing w:before="0" w:after="0"/>
              <w:jc w:val="right"/>
              <w:rPr>
                <w:rFonts w:ascii="Arial" w:hAnsi="Arial"/>
                <w:color w:val="000000"/>
                <w:sz w:val="18"/>
                <w:lang w:val="mk-MK"/>
              </w:rPr>
            </w:pPr>
          </w:p>
        </w:tc>
        <w:tc>
          <w:tcPr>
            <w:tcW w:w="1010" w:type="dxa"/>
            <w:shd w:val="clear" w:color="auto" w:fill="auto"/>
            <w:tcMar>
              <w:left w:w="58" w:type="dxa"/>
              <w:right w:w="58" w:type="dxa"/>
            </w:tcMar>
            <w:vAlign w:val="bottom"/>
          </w:tcPr>
          <w:p w14:paraId="61A5300C" w14:textId="77777777" w:rsidR="00F93B95" w:rsidRPr="00CE3053" w:rsidRDefault="00F93B95" w:rsidP="00F93B95">
            <w:pPr>
              <w:pStyle w:val="TableText"/>
              <w:spacing w:before="0" w:after="0"/>
              <w:jc w:val="right"/>
              <w:rPr>
                <w:rFonts w:ascii="Arial" w:hAnsi="Arial"/>
                <w:color w:val="000000"/>
                <w:sz w:val="18"/>
                <w:lang w:val="mk-MK"/>
              </w:rPr>
            </w:pPr>
          </w:p>
        </w:tc>
      </w:tr>
      <w:tr w:rsidR="00F93B95" w:rsidRPr="001E6526" w14:paraId="30D3F81A" w14:textId="77777777" w:rsidTr="0025712C">
        <w:trPr>
          <w:trHeight w:val="216"/>
        </w:trPr>
        <w:tc>
          <w:tcPr>
            <w:tcW w:w="3347" w:type="dxa"/>
            <w:shd w:val="clear" w:color="auto" w:fill="auto"/>
            <w:tcMar>
              <w:left w:w="58" w:type="dxa"/>
              <w:right w:w="58" w:type="dxa"/>
            </w:tcMar>
            <w:vAlign w:val="bottom"/>
          </w:tcPr>
          <w:p w14:paraId="0E638F37" w14:textId="3CED33F5" w:rsidR="00F93B95" w:rsidRPr="00CE3053" w:rsidRDefault="001B4810" w:rsidP="00F93B95">
            <w:pPr>
              <w:spacing w:after="0"/>
              <w:rPr>
                <w:rFonts w:ascii="Arial" w:hAnsi="Arial" w:cs="Arial"/>
                <w:b/>
                <w:bCs/>
                <w:color w:val="000000"/>
                <w:lang w:val="mk-MK"/>
              </w:rPr>
            </w:pPr>
            <w:proofErr w:type="spellStart"/>
            <w:r w:rsidRPr="001B4810">
              <w:rPr>
                <w:rFonts w:ascii="Arial" w:hAnsi="Arial" w:cs="Arial"/>
                <w:b/>
                <w:bCs/>
                <w:color w:val="000000"/>
                <w:lang w:val="mk-MK"/>
              </w:rPr>
              <w:t>Accumulated</w:t>
            </w:r>
            <w:proofErr w:type="spellEnd"/>
            <w:r w:rsidRPr="001B4810">
              <w:rPr>
                <w:rFonts w:ascii="Arial" w:hAnsi="Arial" w:cs="Arial"/>
                <w:b/>
                <w:bCs/>
                <w:color w:val="000000"/>
                <w:lang w:val="mk-MK"/>
              </w:rPr>
              <w:t xml:space="preserve"> </w:t>
            </w:r>
            <w:proofErr w:type="spellStart"/>
            <w:r w:rsidRPr="001B4810">
              <w:rPr>
                <w:rFonts w:ascii="Arial" w:hAnsi="Arial" w:cs="Arial"/>
                <w:b/>
                <w:bCs/>
                <w:color w:val="000000"/>
                <w:lang w:val="mk-MK"/>
              </w:rPr>
              <w:t>depreciation</w:t>
            </w:r>
            <w:proofErr w:type="spellEnd"/>
          </w:p>
        </w:tc>
        <w:tc>
          <w:tcPr>
            <w:tcW w:w="1100" w:type="dxa"/>
            <w:shd w:val="clear" w:color="auto" w:fill="auto"/>
            <w:tcMar>
              <w:left w:w="58" w:type="dxa"/>
              <w:right w:w="58" w:type="dxa"/>
            </w:tcMar>
            <w:vAlign w:val="bottom"/>
          </w:tcPr>
          <w:p w14:paraId="1C79EEA6" w14:textId="77777777" w:rsidR="00F93B95" w:rsidRPr="00CE3053" w:rsidRDefault="00F93B95" w:rsidP="00F93B95">
            <w:pPr>
              <w:pStyle w:val="TableText"/>
              <w:spacing w:before="0" w:after="0"/>
              <w:jc w:val="right"/>
              <w:rPr>
                <w:rFonts w:ascii="Arial" w:hAnsi="Arial"/>
                <w:b/>
                <w:color w:val="000000"/>
                <w:sz w:val="18"/>
                <w:lang w:val="mk-MK"/>
              </w:rPr>
            </w:pPr>
          </w:p>
        </w:tc>
        <w:tc>
          <w:tcPr>
            <w:tcW w:w="1127" w:type="dxa"/>
            <w:shd w:val="clear" w:color="auto" w:fill="auto"/>
            <w:tcMar>
              <w:left w:w="58" w:type="dxa"/>
              <w:right w:w="58" w:type="dxa"/>
            </w:tcMar>
            <w:vAlign w:val="bottom"/>
          </w:tcPr>
          <w:p w14:paraId="0CC51C97" w14:textId="77777777" w:rsidR="00F93B95" w:rsidRPr="00CE3053" w:rsidRDefault="00F93B95" w:rsidP="00F93B95">
            <w:pPr>
              <w:pStyle w:val="TableText"/>
              <w:spacing w:before="0" w:after="0"/>
              <w:jc w:val="right"/>
              <w:rPr>
                <w:rFonts w:ascii="Arial" w:hAnsi="Arial"/>
                <w:b/>
                <w:color w:val="000000"/>
                <w:sz w:val="18"/>
                <w:lang w:val="mk-MK"/>
              </w:rPr>
            </w:pPr>
          </w:p>
        </w:tc>
        <w:tc>
          <w:tcPr>
            <w:tcW w:w="1042" w:type="dxa"/>
            <w:vAlign w:val="bottom"/>
          </w:tcPr>
          <w:p w14:paraId="00E68EDF" w14:textId="77777777" w:rsidR="00F93B95" w:rsidRPr="00CE3053" w:rsidRDefault="00F93B95" w:rsidP="00F93B95">
            <w:pPr>
              <w:pStyle w:val="TableText"/>
              <w:spacing w:before="0" w:after="0"/>
              <w:jc w:val="right"/>
              <w:rPr>
                <w:rFonts w:ascii="Arial" w:hAnsi="Arial"/>
                <w:b/>
                <w:color w:val="000000"/>
                <w:sz w:val="18"/>
                <w:lang w:val="mk-MK"/>
              </w:rPr>
            </w:pPr>
          </w:p>
        </w:tc>
        <w:tc>
          <w:tcPr>
            <w:tcW w:w="1014" w:type="dxa"/>
            <w:shd w:val="clear" w:color="auto" w:fill="auto"/>
            <w:tcMar>
              <w:left w:w="58" w:type="dxa"/>
              <w:right w:w="58" w:type="dxa"/>
            </w:tcMar>
            <w:vAlign w:val="bottom"/>
          </w:tcPr>
          <w:p w14:paraId="2803B577" w14:textId="77777777" w:rsidR="00F93B95" w:rsidRPr="00CE3053" w:rsidRDefault="00F93B95" w:rsidP="00F93B95">
            <w:pPr>
              <w:pStyle w:val="TableText"/>
              <w:spacing w:before="0" w:after="0"/>
              <w:jc w:val="right"/>
              <w:rPr>
                <w:rFonts w:ascii="Arial" w:hAnsi="Arial"/>
                <w:b/>
                <w:color w:val="000000"/>
                <w:sz w:val="18"/>
                <w:lang w:val="mk-MK"/>
              </w:rPr>
            </w:pPr>
          </w:p>
        </w:tc>
        <w:tc>
          <w:tcPr>
            <w:tcW w:w="1010" w:type="dxa"/>
            <w:shd w:val="clear" w:color="auto" w:fill="auto"/>
            <w:tcMar>
              <w:left w:w="58" w:type="dxa"/>
              <w:right w:w="58" w:type="dxa"/>
            </w:tcMar>
            <w:vAlign w:val="bottom"/>
          </w:tcPr>
          <w:p w14:paraId="31554F67" w14:textId="77777777" w:rsidR="00F93B95" w:rsidRPr="00CE3053" w:rsidRDefault="00F93B95" w:rsidP="00F93B95">
            <w:pPr>
              <w:pStyle w:val="TableText"/>
              <w:spacing w:before="0" w:after="0"/>
              <w:jc w:val="right"/>
              <w:rPr>
                <w:rFonts w:ascii="Arial" w:hAnsi="Arial"/>
                <w:b/>
                <w:color w:val="000000"/>
                <w:sz w:val="18"/>
                <w:lang w:val="mk-MK"/>
              </w:rPr>
            </w:pPr>
          </w:p>
        </w:tc>
      </w:tr>
      <w:tr w:rsidR="00F93B95" w:rsidRPr="001E6526" w14:paraId="5E3C3DCB" w14:textId="77777777" w:rsidTr="0025712C">
        <w:trPr>
          <w:trHeight w:val="216"/>
        </w:trPr>
        <w:tc>
          <w:tcPr>
            <w:tcW w:w="3347" w:type="dxa"/>
            <w:shd w:val="clear" w:color="auto" w:fill="auto"/>
            <w:tcMar>
              <w:left w:w="58" w:type="dxa"/>
              <w:right w:w="58" w:type="dxa"/>
            </w:tcMar>
            <w:vAlign w:val="bottom"/>
          </w:tcPr>
          <w:p w14:paraId="4EE1B8D3" w14:textId="015759BB" w:rsidR="00F93B95" w:rsidRPr="00CE3053" w:rsidRDefault="001B4810" w:rsidP="00F93B95">
            <w:pPr>
              <w:spacing w:after="0"/>
              <w:rPr>
                <w:rFonts w:ascii="Arial" w:hAnsi="Arial" w:cs="Arial"/>
                <w:color w:val="000000"/>
                <w:lang w:val="mk-MK"/>
              </w:rPr>
            </w:pPr>
            <w:proofErr w:type="spellStart"/>
            <w:r w:rsidRPr="001B4810">
              <w:rPr>
                <w:rFonts w:ascii="Arial" w:hAnsi="Arial" w:cs="Arial"/>
                <w:color w:val="000000"/>
                <w:lang w:val="mk-MK"/>
              </w:rPr>
              <w:t>At</w:t>
            </w:r>
            <w:proofErr w:type="spellEnd"/>
            <w:r w:rsidRPr="001B4810">
              <w:rPr>
                <w:rFonts w:ascii="Arial" w:hAnsi="Arial" w:cs="Arial"/>
                <w:color w:val="000000"/>
                <w:lang w:val="mk-MK"/>
              </w:rPr>
              <w:t xml:space="preserve"> 01 </w:t>
            </w:r>
            <w:proofErr w:type="spellStart"/>
            <w:r w:rsidRPr="001B4810">
              <w:rPr>
                <w:rFonts w:ascii="Arial" w:hAnsi="Arial" w:cs="Arial"/>
                <w:color w:val="000000"/>
                <w:lang w:val="mk-MK"/>
              </w:rPr>
              <w:t>January</w:t>
            </w:r>
            <w:proofErr w:type="spellEnd"/>
            <w:r w:rsidRPr="001B4810">
              <w:rPr>
                <w:rFonts w:ascii="Arial" w:hAnsi="Arial" w:cs="Arial"/>
                <w:color w:val="000000"/>
                <w:lang w:val="mk-MK"/>
              </w:rPr>
              <w:t xml:space="preserve"> 2020</w:t>
            </w:r>
          </w:p>
        </w:tc>
        <w:tc>
          <w:tcPr>
            <w:tcW w:w="1100" w:type="dxa"/>
            <w:shd w:val="clear" w:color="auto" w:fill="auto"/>
            <w:tcMar>
              <w:left w:w="58" w:type="dxa"/>
              <w:right w:w="58" w:type="dxa"/>
            </w:tcMar>
            <w:vAlign w:val="bottom"/>
          </w:tcPr>
          <w:p w14:paraId="447C61C3" w14:textId="432A098D" w:rsidR="00F93B95" w:rsidRPr="00CE3053" w:rsidRDefault="00F93B95" w:rsidP="00F93B95">
            <w:pPr>
              <w:spacing w:after="0"/>
              <w:jc w:val="right"/>
              <w:rPr>
                <w:rFonts w:ascii="Arial" w:hAnsi="Arial" w:cs="Arial"/>
                <w:color w:val="000000"/>
                <w:lang w:val="mk-MK"/>
              </w:rPr>
            </w:pPr>
            <w:r w:rsidRPr="001E6526">
              <w:rPr>
                <w:rFonts w:ascii="Arial" w:hAnsi="Arial" w:cs="Arial"/>
                <w:color w:val="000000"/>
                <w:lang w:val="mk-MK"/>
              </w:rPr>
              <w:t>1</w:t>
            </w:r>
            <w:r w:rsidR="007B7B61" w:rsidRPr="00CE3053">
              <w:rPr>
                <w:rFonts w:ascii="Arial" w:hAnsi="Arial" w:cs="Arial"/>
                <w:color w:val="000000"/>
                <w:lang w:val="mk-MK"/>
              </w:rPr>
              <w:t>2</w:t>
            </w:r>
            <w:r w:rsidRPr="001E6526">
              <w:rPr>
                <w:rFonts w:ascii="Arial" w:hAnsi="Arial" w:cs="Arial"/>
                <w:color w:val="000000"/>
                <w:lang w:val="mk-MK"/>
              </w:rPr>
              <w:t>,</w:t>
            </w:r>
            <w:r w:rsidR="007B7B61" w:rsidRPr="00CE3053">
              <w:rPr>
                <w:rFonts w:ascii="Arial" w:hAnsi="Arial" w:cs="Arial"/>
                <w:color w:val="000000"/>
                <w:lang w:val="mk-MK"/>
              </w:rPr>
              <w:t>088</w:t>
            </w:r>
          </w:p>
        </w:tc>
        <w:tc>
          <w:tcPr>
            <w:tcW w:w="1127" w:type="dxa"/>
            <w:shd w:val="clear" w:color="auto" w:fill="auto"/>
            <w:tcMar>
              <w:left w:w="58" w:type="dxa"/>
              <w:right w:w="58" w:type="dxa"/>
            </w:tcMar>
            <w:vAlign w:val="bottom"/>
          </w:tcPr>
          <w:p w14:paraId="72BF5598" w14:textId="4845D6D8" w:rsidR="00F93B95" w:rsidRPr="00CE3053" w:rsidRDefault="00352F8B" w:rsidP="00F93B95">
            <w:pPr>
              <w:spacing w:after="0"/>
              <w:jc w:val="right"/>
              <w:rPr>
                <w:rFonts w:ascii="Arial" w:hAnsi="Arial" w:cs="Arial"/>
                <w:color w:val="000000"/>
                <w:lang w:val="mk-MK"/>
              </w:rPr>
            </w:pPr>
            <w:r w:rsidRPr="00CE3053">
              <w:rPr>
                <w:rFonts w:ascii="Arial" w:hAnsi="Arial" w:cs="Arial"/>
                <w:color w:val="000000"/>
                <w:lang w:val="mk-MK"/>
              </w:rPr>
              <w:t>2,089</w:t>
            </w:r>
          </w:p>
        </w:tc>
        <w:tc>
          <w:tcPr>
            <w:tcW w:w="1042" w:type="dxa"/>
            <w:vAlign w:val="bottom"/>
          </w:tcPr>
          <w:p w14:paraId="3143ADAB" w14:textId="6E8FF073" w:rsidR="00F93B95" w:rsidRPr="00CE3053" w:rsidRDefault="00F93B95" w:rsidP="00F93B95">
            <w:pPr>
              <w:spacing w:after="0"/>
              <w:jc w:val="right"/>
              <w:rPr>
                <w:rFonts w:ascii="Arial" w:hAnsi="Arial" w:cs="Arial"/>
                <w:color w:val="000000"/>
                <w:lang w:val="mk-MK"/>
              </w:rPr>
            </w:pPr>
            <w:r w:rsidRPr="001E6526">
              <w:rPr>
                <w:rFonts w:ascii="Arial" w:hAnsi="Arial" w:cs="Arial"/>
                <w:color w:val="000000"/>
                <w:lang w:val="mk-MK"/>
              </w:rPr>
              <w:t>1,</w:t>
            </w:r>
            <w:r w:rsidR="00CD150D" w:rsidRPr="00CE3053">
              <w:rPr>
                <w:rFonts w:ascii="Arial" w:hAnsi="Arial" w:cs="Arial"/>
                <w:color w:val="000000"/>
                <w:lang w:val="mk-MK"/>
              </w:rPr>
              <w:t>700</w:t>
            </w:r>
          </w:p>
        </w:tc>
        <w:tc>
          <w:tcPr>
            <w:tcW w:w="1014" w:type="dxa"/>
            <w:shd w:val="clear" w:color="auto" w:fill="auto"/>
            <w:tcMar>
              <w:left w:w="58" w:type="dxa"/>
              <w:right w:w="58" w:type="dxa"/>
            </w:tcMar>
            <w:vAlign w:val="bottom"/>
          </w:tcPr>
          <w:p w14:paraId="0C6A3FEF" w14:textId="6CA4997F" w:rsidR="00F93B95" w:rsidRPr="00CE3053" w:rsidRDefault="00F93B95" w:rsidP="00F93B95">
            <w:pPr>
              <w:spacing w:after="0"/>
              <w:jc w:val="right"/>
              <w:rPr>
                <w:rFonts w:ascii="Arial" w:hAnsi="Arial" w:cs="Arial"/>
                <w:color w:val="000000"/>
                <w:lang w:val="mk-MK"/>
              </w:rPr>
            </w:pPr>
            <w:r w:rsidRPr="001E6526">
              <w:rPr>
                <w:rFonts w:ascii="Arial" w:hAnsi="Arial" w:cs="Arial"/>
                <w:color w:val="000000"/>
                <w:lang w:val="mk-MK"/>
              </w:rPr>
              <w:t>3,</w:t>
            </w:r>
            <w:r w:rsidR="00690DF4" w:rsidRPr="00CE3053">
              <w:rPr>
                <w:rFonts w:ascii="Arial" w:hAnsi="Arial" w:cs="Arial"/>
                <w:color w:val="000000"/>
                <w:lang w:val="mk-MK"/>
              </w:rPr>
              <w:t>164</w:t>
            </w:r>
          </w:p>
        </w:tc>
        <w:tc>
          <w:tcPr>
            <w:tcW w:w="1010" w:type="dxa"/>
            <w:shd w:val="clear" w:color="auto" w:fill="auto"/>
            <w:tcMar>
              <w:left w:w="58" w:type="dxa"/>
              <w:right w:w="58" w:type="dxa"/>
            </w:tcMar>
            <w:vAlign w:val="bottom"/>
          </w:tcPr>
          <w:p w14:paraId="632359E3" w14:textId="3FB7F5DC" w:rsidR="00F93B95" w:rsidRPr="00CE3053" w:rsidRDefault="005272FA" w:rsidP="00F93B95">
            <w:pPr>
              <w:spacing w:after="0"/>
              <w:jc w:val="right"/>
              <w:rPr>
                <w:rFonts w:ascii="Arial" w:hAnsi="Arial" w:cs="Arial"/>
                <w:color w:val="000000"/>
                <w:lang w:val="mk-MK"/>
              </w:rPr>
            </w:pPr>
            <w:r>
              <w:rPr>
                <w:rFonts w:ascii="Arial" w:hAnsi="Arial" w:cs="Arial"/>
                <w:color w:val="000000"/>
              </w:rPr>
              <w:t>19,041</w:t>
            </w:r>
          </w:p>
        </w:tc>
      </w:tr>
      <w:tr w:rsidR="001B4810" w:rsidRPr="001E6526" w14:paraId="488E6FEE" w14:textId="77777777" w:rsidTr="00A355A2">
        <w:trPr>
          <w:trHeight w:val="216"/>
        </w:trPr>
        <w:tc>
          <w:tcPr>
            <w:tcW w:w="3347" w:type="dxa"/>
            <w:shd w:val="clear" w:color="auto" w:fill="auto"/>
            <w:tcMar>
              <w:left w:w="58" w:type="dxa"/>
              <w:right w:w="58" w:type="dxa"/>
            </w:tcMar>
          </w:tcPr>
          <w:p w14:paraId="481B76E7" w14:textId="4F808EEA" w:rsidR="001B4810" w:rsidRPr="00CE3053" w:rsidRDefault="001B4810" w:rsidP="001B4810">
            <w:pPr>
              <w:spacing w:after="0"/>
              <w:rPr>
                <w:rFonts w:ascii="Arial" w:hAnsi="Arial" w:cs="Arial"/>
                <w:color w:val="000000"/>
                <w:lang w:val="mk-MK"/>
              </w:rPr>
            </w:pPr>
            <w:r w:rsidRPr="00D5704B">
              <w:t>Depreciation for the year</w:t>
            </w:r>
          </w:p>
        </w:tc>
        <w:tc>
          <w:tcPr>
            <w:tcW w:w="1100" w:type="dxa"/>
            <w:shd w:val="clear" w:color="auto" w:fill="auto"/>
            <w:tcMar>
              <w:left w:w="58" w:type="dxa"/>
              <w:right w:w="58" w:type="dxa"/>
            </w:tcMar>
            <w:vAlign w:val="bottom"/>
          </w:tcPr>
          <w:p w14:paraId="60AD53CF" w14:textId="77777777" w:rsidR="001B4810" w:rsidRPr="00CE3053" w:rsidRDefault="001B4810" w:rsidP="001B4810">
            <w:pPr>
              <w:spacing w:after="0"/>
              <w:jc w:val="right"/>
              <w:rPr>
                <w:rFonts w:ascii="Arial" w:hAnsi="Arial" w:cs="Arial"/>
                <w:color w:val="000000"/>
                <w:lang w:val="mk-MK"/>
              </w:rPr>
            </w:pPr>
            <w:r w:rsidRPr="001E6526">
              <w:rPr>
                <w:rFonts w:ascii="Arial" w:hAnsi="Arial" w:cs="Arial"/>
                <w:color w:val="000000"/>
                <w:lang w:val="mk-MK"/>
              </w:rPr>
              <w:t>809</w:t>
            </w:r>
          </w:p>
        </w:tc>
        <w:tc>
          <w:tcPr>
            <w:tcW w:w="1127" w:type="dxa"/>
            <w:shd w:val="clear" w:color="auto" w:fill="auto"/>
            <w:tcMar>
              <w:left w:w="58" w:type="dxa"/>
              <w:right w:w="58" w:type="dxa"/>
            </w:tcMar>
            <w:vAlign w:val="bottom"/>
          </w:tcPr>
          <w:p w14:paraId="74750882" w14:textId="55ED3E12" w:rsidR="001B4810" w:rsidRPr="00CE3053" w:rsidRDefault="001B4810" w:rsidP="001B4810">
            <w:pPr>
              <w:spacing w:after="0"/>
              <w:jc w:val="right"/>
              <w:rPr>
                <w:rFonts w:ascii="Arial" w:hAnsi="Arial" w:cs="Arial"/>
                <w:color w:val="000000"/>
                <w:lang w:val="mk-MK"/>
              </w:rPr>
            </w:pPr>
            <w:r w:rsidRPr="00CE3053">
              <w:rPr>
                <w:rFonts w:ascii="Arial" w:hAnsi="Arial" w:cs="Arial"/>
                <w:color w:val="000000"/>
                <w:lang w:val="mk-MK"/>
              </w:rPr>
              <w:t>125</w:t>
            </w:r>
          </w:p>
        </w:tc>
        <w:tc>
          <w:tcPr>
            <w:tcW w:w="1042" w:type="dxa"/>
            <w:vAlign w:val="bottom"/>
          </w:tcPr>
          <w:p w14:paraId="48D45B09" w14:textId="53852489" w:rsidR="001B4810" w:rsidRPr="00CE3053" w:rsidRDefault="001B4810" w:rsidP="001B4810">
            <w:pPr>
              <w:spacing w:after="0"/>
              <w:jc w:val="right"/>
              <w:rPr>
                <w:rFonts w:ascii="Arial" w:hAnsi="Arial" w:cs="Arial"/>
                <w:color w:val="000000"/>
                <w:lang w:val="mk-MK"/>
              </w:rPr>
            </w:pPr>
            <w:r w:rsidRPr="00CE3053">
              <w:rPr>
                <w:rFonts w:ascii="Arial" w:hAnsi="Arial" w:cs="Arial"/>
                <w:color w:val="000000"/>
                <w:lang w:val="mk-MK"/>
              </w:rPr>
              <w:t>114</w:t>
            </w:r>
          </w:p>
        </w:tc>
        <w:tc>
          <w:tcPr>
            <w:tcW w:w="1014" w:type="dxa"/>
            <w:shd w:val="clear" w:color="auto" w:fill="auto"/>
            <w:tcMar>
              <w:left w:w="58" w:type="dxa"/>
              <w:right w:w="58" w:type="dxa"/>
            </w:tcMar>
            <w:vAlign w:val="bottom"/>
          </w:tcPr>
          <w:p w14:paraId="15B55332" w14:textId="0DEAE944" w:rsidR="001B4810" w:rsidRPr="00CE3053" w:rsidRDefault="001B4810" w:rsidP="001B4810">
            <w:pPr>
              <w:spacing w:after="0"/>
              <w:jc w:val="right"/>
              <w:rPr>
                <w:rFonts w:ascii="Arial" w:hAnsi="Arial" w:cs="Arial"/>
                <w:color w:val="000000"/>
                <w:lang w:val="mk-MK"/>
              </w:rPr>
            </w:pPr>
            <w:r w:rsidRPr="00CE3053">
              <w:rPr>
                <w:rFonts w:ascii="Arial" w:hAnsi="Arial" w:cs="Arial"/>
                <w:color w:val="000000"/>
                <w:lang w:val="mk-MK"/>
              </w:rPr>
              <w:t>30</w:t>
            </w:r>
          </w:p>
        </w:tc>
        <w:tc>
          <w:tcPr>
            <w:tcW w:w="1010" w:type="dxa"/>
            <w:shd w:val="clear" w:color="auto" w:fill="auto"/>
            <w:tcMar>
              <w:left w:w="58" w:type="dxa"/>
              <w:right w:w="58" w:type="dxa"/>
            </w:tcMar>
            <w:vAlign w:val="bottom"/>
          </w:tcPr>
          <w:p w14:paraId="6845605B" w14:textId="0F5FDAEF" w:rsidR="001B4810" w:rsidRPr="00CE3053" w:rsidRDefault="001B4810" w:rsidP="001B4810">
            <w:pPr>
              <w:spacing w:after="0"/>
              <w:jc w:val="right"/>
              <w:rPr>
                <w:rFonts w:ascii="Arial" w:hAnsi="Arial" w:cs="Arial"/>
                <w:color w:val="000000"/>
                <w:lang w:val="mk-MK"/>
              </w:rPr>
            </w:pPr>
            <w:r>
              <w:rPr>
                <w:rFonts w:ascii="Arial" w:hAnsi="Arial" w:cs="Arial"/>
                <w:color w:val="000000"/>
              </w:rPr>
              <w:t>1,078</w:t>
            </w:r>
            <w:r w:rsidRPr="001E6526">
              <w:rPr>
                <w:rFonts w:ascii="Arial" w:hAnsi="Arial" w:cs="Arial"/>
                <w:color w:val="000000"/>
                <w:lang w:val="mk-MK"/>
              </w:rPr>
              <w:t>1</w:t>
            </w:r>
          </w:p>
        </w:tc>
      </w:tr>
      <w:tr w:rsidR="001B4810" w:rsidRPr="001E6526" w14:paraId="7ED658D0" w14:textId="77777777" w:rsidTr="00A355A2">
        <w:trPr>
          <w:trHeight w:val="216"/>
        </w:trPr>
        <w:tc>
          <w:tcPr>
            <w:tcW w:w="3347" w:type="dxa"/>
            <w:shd w:val="clear" w:color="auto" w:fill="auto"/>
            <w:tcMar>
              <w:left w:w="58" w:type="dxa"/>
              <w:right w:w="58" w:type="dxa"/>
            </w:tcMar>
          </w:tcPr>
          <w:p w14:paraId="1B68D461" w14:textId="62279332" w:rsidR="001B4810" w:rsidRPr="00CE3053" w:rsidRDefault="001B4810" w:rsidP="001B4810">
            <w:pPr>
              <w:spacing w:after="0"/>
              <w:rPr>
                <w:rFonts w:ascii="Arial" w:hAnsi="Arial" w:cs="Arial"/>
                <w:color w:val="000000"/>
                <w:lang w:val="mk-MK"/>
              </w:rPr>
            </w:pPr>
            <w:r w:rsidRPr="00D5704B">
              <w:t>Write-off</w:t>
            </w:r>
          </w:p>
        </w:tc>
        <w:tc>
          <w:tcPr>
            <w:tcW w:w="1100" w:type="dxa"/>
            <w:shd w:val="clear" w:color="auto" w:fill="auto"/>
            <w:tcMar>
              <w:left w:w="58" w:type="dxa"/>
              <w:right w:w="58" w:type="dxa"/>
            </w:tcMar>
            <w:vAlign w:val="bottom"/>
          </w:tcPr>
          <w:p w14:paraId="1FA85BB1" w14:textId="77777777" w:rsidR="001B4810" w:rsidRPr="00CE3053" w:rsidRDefault="001B4810" w:rsidP="001B4810">
            <w:pPr>
              <w:spacing w:after="0"/>
              <w:jc w:val="right"/>
              <w:rPr>
                <w:rFonts w:ascii="Arial" w:hAnsi="Arial" w:cs="Arial"/>
                <w:color w:val="000000"/>
                <w:lang w:val="mk-MK"/>
              </w:rPr>
            </w:pPr>
            <w:r w:rsidRPr="001E6526">
              <w:rPr>
                <w:rFonts w:ascii="Arial" w:hAnsi="Arial" w:cs="Arial"/>
                <w:color w:val="000000"/>
                <w:lang w:val="mk-MK"/>
              </w:rPr>
              <w:t>-</w:t>
            </w:r>
          </w:p>
        </w:tc>
        <w:tc>
          <w:tcPr>
            <w:tcW w:w="1127" w:type="dxa"/>
            <w:shd w:val="clear" w:color="auto" w:fill="auto"/>
            <w:tcMar>
              <w:left w:w="58" w:type="dxa"/>
              <w:right w:w="58" w:type="dxa"/>
            </w:tcMar>
            <w:vAlign w:val="bottom"/>
          </w:tcPr>
          <w:p w14:paraId="18D24F99" w14:textId="25AC603B" w:rsidR="001B4810" w:rsidRPr="00CE3053" w:rsidRDefault="001B4810" w:rsidP="001B4810">
            <w:pPr>
              <w:spacing w:after="0"/>
              <w:jc w:val="right"/>
              <w:rPr>
                <w:rFonts w:ascii="Arial" w:hAnsi="Arial" w:cs="Arial"/>
                <w:color w:val="000000"/>
                <w:lang w:val="mk-MK"/>
              </w:rPr>
            </w:pPr>
            <w:r w:rsidRPr="00CE3053">
              <w:rPr>
                <w:rFonts w:ascii="Arial" w:hAnsi="Arial" w:cs="Arial"/>
                <w:color w:val="000000"/>
                <w:lang w:val="mk-MK"/>
              </w:rPr>
              <w:t>(658)</w:t>
            </w:r>
          </w:p>
        </w:tc>
        <w:tc>
          <w:tcPr>
            <w:tcW w:w="1042" w:type="dxa"/>
            <w:vAlign w:val="bottom"/>
          </w:tcPr>
          <w:p w14:paraId="57446032" w14:textId="77777777" w:rsidR="001B4810" w:rsidRPr="00CE3053" w:rsidRDefault="001B4810" w:rsidP="001B4810">
            <w:pPr>
              <w:spacing w:after="0"/>
              <w:jc w:val="right"/>
              <w:rPr>
                <w:rFonts w:ascii="Arial" w:hAnsi="Arial" w:cs="Arial"/>
                <w:color w:val="000000"/>
                <w:lang w:val="mk-MK"/>
              </w:rPr>
            </w:pPr>
            <w:r w:rsidRPr="001E6526">
              <w:rPr>
                <w:rFonts w:ascii="Arial" w:hAnsi="Arial" w:cs="Arial"/>
                <w:color w:val="000000"/>
                <w:lang w:val="mk-MK"/>
              </w:rPr>
              <w:t>-</w:t>
            </w:r>
          </w:p>
        </w:tc>
        <w:tc>
          <w:tcPr>
            <w:tcW w:w="1014" w:type="dxa"/>
            <w:shd w:val="clear" w:color="auto" w:fill="auto"/>
            <w:tcMar>
              <w:left w:w="58" w:type="dxa"/>
              <w:right w:w="58" w:type="dxa"/>
            </w:tcMar>
            <w:vAlign w:val="bottom"/>
          </w:tcPr>
          <w:p w14:paraId="752B402B" w14:textId="69092687" w:rsidR="001B4810" w:rsidRPr="00CE3053" w:rsidRDefault="001B4810" w:rsidP="001B4810">
            <w:pPr>
              <w:spacing w:after="0"/>
              <w:jc w:val="right"/>
              <w:rPr>
                <w:rFonts w:ascii="Arial" w:hAnsi="Arial" w:cs="Arial"/>
                <w:color w:val="000000"/>
                <w:lang w:val="mk-MK"/>
              </w:rPr>
            </w:pPr>
            <w:r w:rsidRPr="001E6526">
              <w:rPr>
                <w:rFonts w:ascii="Arial" w:hAnsi="Arial" w:cs="Arial"/>
                <w:color w:val="000000"/>
                <w:lang w:val="mk-MK"/>
              </w:rPr>
              <w:t>(</w:t>
            </w:r>
            <w:r w:rsidRPr="00CE3053">
              <w:rPr>
                <w:rFonts w:ascii="Arial" w:hAnsi="Arial" w:cs="Arial"/>
                <w:color w:val="000000"/>
                <w:lang w:val="mk-MK"/>
              </w:rPr>
              <w:t>20</w:t>
            </w:r>
            <w:r w:rsidRPr="001E6526">
              <w:rPr>
                <w:rFonts w:ascii="Arial" w:hAnsi="Arial" w:cs="Arial"/>
                <w:color w:val="000000"/>
                <w:lang w:val="mk-MK"/>
              </w:rPr>
              <w:t>)</w:t>
            </w:r>
          </w:p>
        </w:tc>
        <w:tc>
          <w:tcPr>
            <w:tcW w:w="1010" w:type="dxa"/>
            <w:shd w:val="clear" w:color="auto" w:fill="auto"/>
            <w:tcMar>
              <w:left w:w="58" w:type="dxa"/>
              <w:right w:w="58" w:type="dxa"/>
            </w:tcMar>
            <w:vAlign w:val="bottom"/>
          </w:tcPr>
          <w:p w14:paraId="1749A1F1" w14:textId="4EECA835" w:rsidR="001B4810" w:rsidRPr="00CE3053" w:rsidRDefault="001B4810" w:rsidP="001B4810">
            <w:pPr>
              <w:spacing w:after="0"/>
              <w:jc w:val="right"/>
              <w:rPr>
                <w:rFonts w:ascii="Arial" w:hAnsi="Arial" w:cs="Arial"/>
                <w:color w:val="000000"/>
                <w:lang w:val="mk-MK"/>
              </w:rPr>
            </w:pPr>
            <w:r w:rsidRPr="001E6526">
              <w:rPr>
                <w:rFonts w:ascii="Arial" w:hAnsi="Arial" w:cs="Arial"/>
                <w:color w:val="000000"/>
                <w:lang w:val="mk-MK"/>
              </w:rPr>
              <w:t>(6</w:t>
            </w:r>
            <w:r>
              <w:rPr>
                <w:rFonts w:ascii="Arial" w:hAnsi="Arial" w:cs="Arial"/>
                <w:color w:val="000000"/>
              </w:rPr>
              <w:t>7</w:t>
            </w:r>
            <w:r w:rsidRPr="001E6526">
              <w:rPr>
                <w:rFonts w:ascii="Arial" w:hAnsi="Arial" w:cs="Arial"/>
                <w:color w:val="000000"/>
                <w:lang w:val="mk-MK"/>
              </w:rPr>
              <w:t>9)</w:t>
            </w:r>
          </w:p>
        </w:tc>
      </w:tr>
      <w:tr w:rsidR="00F93B95" w:rsidRPr="001E6526" w14:paraId="40932DF1" w14:textId="77777777" w:rsidTr="0025712C">
        <w:trPr>
          <w:trHeight w:val="216"/>
        </w:trPr>
        <w:tc>
          <w:tcPr>
            <w:tcW w:w="3347" w:type="dxa"/>
            <w:tcBorders>
              <w:top w:val="single" w:sz="4" w:space="0" w:color="auto"/>
            </w:tcBorders>
            <w:shd w:val="clear" w:color="auto" w:fill="auto"/>
            <w:tcMar>
              <w:left w:w="58" w:type="dxa"/>
              <w:right w:w="58" w:type="dxa"/>
            </w:tcMar>
            <w:vAlign w:val="bottom"/>
          </w:tcPr>
          <w:p w14:paraId="001A2199" w14:textId="13ECF555" w:rsidR="00F93B95" w:rsidRPr="00CE3053" w:rsidRDefault="001B4810" w:rsidP="00F93B95">
            <w:pPr>
              <w:spacing w:after="0"/>
              <w:rPr>
                <w:rFonts w:ascii="Arial" w:hAnsi="Arial" w:cs="Arial"/>
                <w:b/>
                <w:bCs/>
                <w:color w:val="000000"/>
                <w:lang w:val="mk-MK"/>
              </w:rPr>
            </w:pPr>
            <w:proofErr w:type="spellStart"/>
            <w:r w:rsidRPr="001B4810">
              <w:rPr>
                <w:rFonts w:ascii="Arial" w:hAnsi="Arial" w:cs="Arial"/>
                <w:b/>
                <w:bCs/>
                <w:color w:val="000000"/>
                <w:lang w:val="mk-MK"/>
              </w:rPr>
              <w:t>At</w:t>
            </w:r>
            <w:proofErr w:type="spellEnd"/>
            <w:r w:rsidRPr="001B4810">
              <w:rPr>
                <w:rFonts w:ascii="Arial" w:hAnsi="Arial" w:cs="Arial"/>
                <w:b/>
                <w:bCs/>
                <w:color w:val="000000"/>
                <w:lang w:val="mk-MK"/>
              </w:rPr>
              <w:t xml:space="preserve"> 31 </w:t>
            </w:r>
            <w:proofErr w:type="spellStart"/>
            <w:r w:rsidRPr="001B4810">
              <w:rPr>
                <w:rFonts w:ascii="Arial" w:hAnsi="Arial" w:cs="Arial"/>
                <w:b/>
                <w:bCs/>
                <w:color w:val="000000"/>
                <w:lang w:val="mk-MK"/>
              </w:rPr>
              <w:t>December</w:t>
            </w:r>
            <w:proofErr w:type="spellEnd"/>
            <w:r w:rsidRPr="001B4810">
              <w:rPr>
                <w:rFonts w:ascii="Arial" w:hAnsi="Arial" w:cs="Arial"/>
                <w:b/>
                <w:bCs/>
                <w:color w:val="000000"/>
                <w:lang w:val="mk-MK"/>
              </w:rPr>
              <w:t xml:space="preserve"> 2021</w:t>
            </w:r>
          </w:p>
        </w:tc>
        <w:tc>
          <w:tcPr>
            <w:tcW w:w="1100" w:type="dxa"/>
            <w:tcBorders>
              <w:top w:val="single" w:sz="4" w:space="0" w:color="auto"/>
            </w:tcBorders>
            <w:shd w:val="clear" w:color="auto" w:fill="auto"/>
            <w:tcMar>
              <w:left w:w="58" w:type="dxa"/>
              <w:right w:w="58" w:type="dxa"/>
            </w:tcMar>
            <w:vAlign w:val="bottom"/>
          </w:tcPr>
          <w:p w14:paraId="05878BC7" w14:textId="59E96D79" w:rsidR="00F93B95" w:rsidRPr="00CE3053"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12,</w:t>
            </w:r>
            <w:r w:rsidR="007B7B61" w:rsidRPr="00CE3053">
              <w:rPr>
                <w:rFonts w:ascii="Arial" w:hAnsi="Arial" w:cs="Arial"/>
                <w:b/>
                <w:bCs/>
                <w:color w:val="000000"/>
                <w:lang w:val="mk-MK"/>
              </w:rPr>
              <w:t>897</w:t>
            </w:r>
          </w:p>
        </w:tc>
        <w:tc>
          <w:tcPr>
            <w:tcW w:w="1127" w:type="dxa"/>
            <w:tcBorders>
              <w:top w:val="single" w:sz="4" w:space="0" w:color="auto"/>
            </w:tcBorders>
            <w:shd w:val="clear" w:color="auto" w:fill="auto"/>
            <w:tcMar>
              <w:left w:w="58" w:type="dxa"/>
              <w:right w:w="58" w:type="dxa"/>
            </w:tcMar>
            <w:vAlign w:val="bottom"/>
          </w:tcPr>
          <w:p w14:paraId="3C0A16AE" w14:textId="3BB86E78" w:rsidR="00F93B95" w:rsidRPr="00CE3053" w:rsidRDefault="008B0B4F" w:rsidP="00F93B95">
            <w:pPr>
              <w:spacing w:after="0"/>
              <w:jc w:val="right"/>
              <w:rPr>
                <w:rFonts w:ascii="Arial" w:hAnsi="Arial" w:cs="Arial"/>
                <w:b/>
                <w:bCs/>
                <w:color w:val="000000"/>
                <w:lang w:val="mk-MK"/>
              </w:rPr>
            </w:pPr>
            <w:r w:rsidRPr="00CE3053">
              <w:rPr>
                <w:rFonts w:ascii="Arial" w:hAnsi="Arial" w:cs="Arial"/>
                <w:b/>
                <w:bCs/>
                <w:color w:val="000000"/>
                <w:lang w:val="mk-MK"/>
              </w:rPr>
              <w:t>1</w:t>
            </w:r>
            <w:r w:rsidR="00F93B95" w:rsidRPr="001E6526">
              <w:rPr>
                <w:rFonts w:ascii="Arial" w:hAnsi="Arial" w:cs="Arial"/>
                <w:b/>
                <w:bCs/>
                <w:color w:val="000000"/>
                <w:lang w:val="mk-MK"/>
              </w:rPr>
              <w:t>,</w:t>
            </w:r>
            <w:r w:rsidR="00352F8B" w:rsidRPr="00CE3053">
              <w:rPr>
                <w:rFonts w:ascii="Arial" w:hAnsi="Arial" w:cs="Arial"/>
                <w:b/>
                <w:bCs/>
                <w:color w:val="000000"/>
                <w:lang w:val="mk-MK"/>
              </w:rPr>
              <w:t>556</w:t>
            </w:r>
          </w:p>
        </w:tc>
        <w:tc>
          <w:tcPr>
            <w:tcW w:w="1042" w:type="dxa"/>
            <w:tcBorders>
              <w:top w:val="single" w:sz="4" w:space="0" w:color="auto"/>
            </w:tcBorders>
            <w:vAlign w:val="bottom"/>
          </w:tcPr>
          <w:p w14:paraId="6A14DAB3" w14:textId="3D543A4E" w:rsidR="00F93B95" w:rsidRPr="00CE3053"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1,</w:t>
            </w:r>
            <w:r w:rsidR="00CD150D" w:rsidRPr="00CE3053">
              <w:rPr>
                <w:rFonts w:ascii="Arial" w:hAnsi="Arial" w:cs="Arial"/>
                <w:b/>
                <w:bCs/>
                <w:color w:val="000000"/>
                <w:lang w:val="mk-MK"/>
              </w:rPr>
              <w:t>814</w:t>
            </w:r>
          </w:p>
        </w:tc>
        <w:tc>
          <w:tcPr>
            <w:tcW w:w="1014" w:type="dxa"/>
            <w:tcBorders>
              <w:top w:val="single" w:sz="4" w:space="0" w:color="auto"/>
            </w:tcBorders>
            <w:shd w:val="clear" w:color="auto" w:fill="auto"/>
            <w:tcMar>
              <w:left w:w="58" w:type="dxa"/>
              <w:right w:w="58" w:type="dxa"/>
            </w:tcMar>
            <w:vAlign w:val="bottom"/>
          </w:tcPr>
          <w:p w14:paraId="3D16F5A5" w14:textId="61A7C6EF" w:rsidR="00F93B95" w:rsidRPr="00CE3053"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3,1</w:t>
            </w:r>
            <w:r w:rsidR="00690DF4" w:rsidRPr="00CE3053">
              <w:rPr>
                <w:rFonts w:ascii="Arial" w:hAnsi="Arial" w:cs="Arial"/>
                <w:b/>
                <w:bCs/>
                <w:color w:val="000000"/>
                <w:lang w:val="mk-MK"/>
              </w:rPr>
              <w:t>74</w:t>
            </w:r>
          </w:p>
        </w:tc>
        <w:tc>
          <w:tcPr>
            <w:tcW w:w="1010" w:type="dxa"/>
            <w:tcBorders>
              <w:top w:val="single" w:sz="4" w:space="0" w:color="auto"/>
            </w:tcBorders>
            <w:shd w:val="clear" w:color="auto" w:fill="auto"/>
            <w:tcMar>
              <w:left w:w="58" w:type="dxa"/>
              <w:right w:w="58" w:type="dxa"/>
            </w:tcMar>
            <w:vAlign w:val="bottom"/>
          </w:tcPr>
          <w:p w14:paraId="34DA9502" w14:textId="618B2896" w:rsidR="00F93B95" w:rsidRPr="00CE3053"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19,</w:t>
            </w:r>
            <w:r w:rsidR="00690DF4" w:rsidRPr="00CE3053">
              <w:rPr>
                <w:rFonts w:ascii="Arial" w:hAnsi="Arial" w:cs="Arial"/>
                <w:b/>
                <w:bCs/>
                <w:color w:val="000000"/>
                <w:lang w:val="mk-MK"/>
              </w:rPr>
              <w:t>4</w:t>
            </w:r>
            <w:r w:rsidRPr="001E6526">
              <w:rPr>
                <w:rFonts w:ascii="Arial" w:hAnsi="Arial" w:cs="Arial"/>
                <w:b/>
                <w:bCs/>
                <w:color w:val="000000"/>
                <w:lang w:val="mk-MK"/>
              </w:rPr>
              <w:t>4</w:t>
            </w:r>
            <w:r w:rsidR="00690DF4" w:rsidRPr="00CE3053">
              <w:rPr>
                <w:rFonts w:ascii="Arial" w:hAnsi="Arial" w:cs="Arial"/>
                <w:b/>
                <w:bCs/>
                <w:color w:val="000000"/>
                <w:lang w:val="mk-MK"/>
              </w:rPr>
              <w:t>1</w:t>
            </w:r>
          </w:p>
        </w:tc>
      </w:tr>
      <w:tr w:rsidR="00F93B95" w:rsidRPr="001E6526" w14:paraId="53A9C799" w14:textId="77777777" w:rsidTr="0025712C">
        <w:trPr>
          <w:trHeight w:val="216"/>
        </w:trPr>
        <w:tc>
          <w:tcPr>
            <w:tcW w:w="3347" w:type="dxa"/>
            <w:shd w:val="clear" w:color="auto" w:fill="auto"/>
            <w:tcMar>
              <w:left w:w="58" w:type="dxa"/>
              <w:right w:w="58" w:type="dxa"/>
            </w:tcMar>
            <w:vAlign w:val="bottom"/>
          </w:tcPr>
          <w:p w14:paraId="69564393" w14:textId="77777777" w:rsidR="00F93B95" w:rsidRPr="00CE3053" w:rsidRDefault="00F93B95" w:rsidP="00F93B95">
            <w:pPr>
              <w:pStyle w:val="TableText"/>
              <w:spacing w:before="0" w:after="0"/>
              <w:rPr>
                <w:rFonts w:ascii="Arial" w:hAnsi="Arial"/>
                <w:bCs/>
                <w:sz w:val="18"/>
                <w:lang w:val="mk-MK"/>
              </w:rPr>
            </w:pPr>
          </w:p>
        </w:tc>
        <w:tc>
          <w:tcPr>
            <w:tcW w:w="1100" w:type="dxa"/>
            <w:shd w:val="clear" w:color="auto" w:fill="auto"/>
            <w:tcMar>
              <w:left w:w="58" w:type="dxa"/>
              <w:right w:w="58" w:type="dxa"/>
            </w:tcMar>
            <w:vAlign w:val="bottom"/>
          </w:tcPr>
          <w:p w14:paraId="2D6B541E" w14:textId="77777777" w:rsidR="00F93B95" w:rsidRPr="00CE3053" w:rsidRDefault="00F93B95" w:rsidP="00F93B95">
            <w:pPr>
              <w:pStyle w:val="TableText"/>
              <w:spacing w:before="0" w:after="0"/>
              <w:jc w:val="right"/>
              <w:rPr>
                <w:rFonts w:ascii="Arial" w:hAnsi="Arial"/>
                <w:color w:val="000000"/>
                <w:sz w:val="18"/>
                <w:lang w:val="mk-MK"/>
              </w:rPr>
            </w:pPr>
          </w:p>
        </w:tc>
        <w:tc>
          <w:tcPr>
            <w:tcW w:w="1127" w:type="dxa"/>
            <w:shd w:val="clear" w:color="auto" w:fill="auto"/>
            <w:tcMar>
              <w:left w:w="58" w:type="dxa"/>
              <w:right w:w="58" w:type="dxa"/>
            </w:tcMar>
            <w:vAlign w:val="bottom"/>
          </w:tcPr>
          <w:p w14:paraId="0986C417" w14:textId="77777777" w:rsidR="00F93B95" w:rsidRPr="00CE3053" w:rsidRDefault="00F93B95" w:rsidP="00F93B95">
            <w:pPr>
              <w:pStyle w:val="TableText"/>
              <w:spacing w:before="0" w:after="0"/>
              <w:jc w:val="right"/>
              <w:rPr>
                <w:rFonts w:ascii="Arial" w:hAnsi="Arial"/>
                <w:color w:val="000000"/>
                <w:sz w:val="18"/>
                <w:lang w:val="mk-MK"/>
              </w:rPr>
            </w:pPr>
          </w:p>
        </w:tc>
        <w:tc>
          <w:tcPr>
            <w:tcW w:w="1042" w:type="dxa"/>
            <w:vAlign w:val="bottom"/>
          </w:tcPr>
          <w:p w14:paraId="121D5AE2" w14:textId="77777777" w:rsidR="00F93B95" w:rsidRPr="00CE3053" w:rsidRDefault="00F93B95" w:rsidP="00F93B95">
            <w:pPr>
              <w:pStyle w:val="TableText"/>
              <w:spacing w:before="0" w:after="0"/>
              <w:jc w:val="right"/>
              <w:rPr>
                <w:rFonts w:ascii="Arial" w:hAnsi="Arial"/>
                <w:color w:val="000000"/>
                <w:sz w:val="18"/>
                <w:lang w:val="mk-MK"/>
              </w:rPr>
            </w:pPr>
          </w:p>
        </w:tc>
        <w:tc>
          <w:tcPr>
            <w:tcW w:w="1014" w:type="dxa"/>
            <w:shd w:val="clear" w:color="auto" w:fill="auto"/>
            <w:tcMar>
              <w:left w:w="58" w:type="dxa"/>
              <w:right w:w="58" w:type="dxa"/>
            </w:tcMar>
            <w:vAlign w:val="bottom"/>
          </w:tcPr>
          <w:p w14:paraId="0B34503E" w14:textId="77777777" w:rsidR="00F93B95" w:rsidRPr="00CE3053" w:rsidRDefault="00F93B95" w:rsidP="00F93B95">
            <w:pPr>
              <w:pStyle w:val="TableText"/>
              <w:spacing w:before="0" w:after="0"/>
              <w:jc w:val="right"/>
              <w:rPr>
                <w:rFonts w:ascii="Arial" w:hAnsi="Arial"/>
                <w:color w:val="000000"/>
                <w:sz w:val="18"/>
                <w:lang w:val="mk-MK"/>
              </w:rPr>
            </w:pPr>
          </w:p>
        </w:tc>
        <w:tc>
          <w:tcPr>
            <w:tcW w:w="1010" w:type="dxa"/>
            <w:shd w:val="clear" w:color="auto" w:fill="auto"/>
            <w:tcMar>
              <w:left w:w="58" w:type="dxa"/>
              <w:right w:w="58" w:type="dxa"/>
            </w:tcMar>
            <w:vAlign w:val="bottom"/>
          </w:tcPr>
          <w:p w14:paraId="70F72094" w14:textId="77777777" w:rsidR="00F93B95" w:rsidRPr="00CE3053" w:rsidRDefault="00F93B95" w:rsidP="00F93B95">
            <w:pPr>
              <w:pStyle w:val="TableText"/>
              <w:spacing w:before="0" w:after="0"/>
              <w:jc w:val="right"/>
              <w:rPr>
                <w:rFonts w:ascii="Arial" w:hAnsi="Arial"/>
                <w:color w:val="000000"/>
                <w:sz w:val="18"/>
                <w:lang w:val="mk-MK"/>
              </w:rPr>
            </w:pPr>
          </w:p>
        </w:tc>
      </w:tr>
      <w:tr w:rsidR="00F93B95" w:rsidRPr="001E6526" w14:paraId="5B62B0BE" w14:textId="77777777" w:rsidTr="0025712C">
        <w:trPr>
          <w:trHeight w:val="216"/>
        </w:trPr>
        <w:tc>
          <w:tcPr>
            <w:tcW w:w="3347" w:type="dxa"/>
            <w:shd w:val="clear" w:color="auto" w:fill="auto"/>
            <w:tcMar>
              <w:left w:w="58" w:type="dxa"/>
              <w:right w:w="58" w:type="dxa"/>
            </w:tcMar>
            <w:vAlign w:val="bottom"/>
          </w:tcPr>
          <w:p w14:paraId="335B1FE9" w14:textId="240B41C5" w:rsidR="00F93B95" w:rsidRPr="00CE3053" w:rsidRDefault="001B4810" w:rsidP="00F93B95">
            <w:pPr>
              <w:spacing w:after="0"/>
              <w:rPr>
                <w:rFonts w:ascii="Arial" w:hAnsi="Arial" w:cs="Arial"/>
                <w:b/>
                <w:bCs/>
                <w:color w:val="000000"/>
                <w:lang w:val="mk-MK"/>
              </w:rPr>
            </w:pPr>
            <w:r>
              <w:rPr>
                <w:rFonts w:ascii="Arial" w:hAnsi="Arial" w:cs="Arial"/>
                <w:b/>
                <w:bCs/>
                <w:color w:val="000000"/>
              </w:rPr>
              <w:t>At</w:t>
            </w:r>
            <w:r w:rsidR="00F93B95" w:rsidRPr="00CE3053">
              <w:rPr>
                <w:rFonts w:ascii="Arial" w:hAnsi="Arial" w:cs="Arial"/>
                <w:b/>
                <w:bCs/>
                <w:color w:val="000000"/>
                <w:lang w:val="mk-MK"/>
              </w:rPr>
              <w:t xml:space="preserve"> 01 </w:t>
            </w:r>
            <w:r>
              <w:rPr>
                <w:rFonts w:ascii="Arial" w:hAnsi="Arial" w:cs="Arial"/>
                <w:b/>
                <w:bCs/>
                <w:color w:val="000000"/>
              </w:rPr>
              <w:t>January</w:t>
            </w:r>
            <w:r w:rsidR="00F93B95" w:rsidRPr="00CE3053">
              <w:rPr>
                <w:rFonts w:ascii="Arial" w:hAnsi="Arial" w:cs="Arial"/>
                <w:b/>
                <w:bCs/>
                <w:color w:val="000000"/>
                <w:lang w:val="mk-MK"/>
              </w:rPr>
              <w:t xml:space="preserve"> 202</w:t>
            </w:r>
            <w:r w:rsidR="007B7B61" w:rsidRPr="00CE3053">
              <w:rPr>
                <w:rFonts w:ascii="Arial" w:hAnsi="Arial" w:cs="Arial"/>
                <w:b/>
                <w:bCs/>
                <w:color w:val="000000"/>
                <w:lang w:val="mk-MK"/>
              </w:rPr>
              <w:t>1</w:t>
            </w:r>
            <w:r w:rsidR="00F93B95" w:rsidRPr="00CE3053">
              <w:rPr>
                <w:rFonts w:ascii="Arial" w:hAnsi="Arial" w:cs="Arial"/>
                <w:b/>
                <w:bCs/>
                <w:color w:val="000000"/>
                <w:lang w:val="mk-MK"/>
              </w:rPr>
              <w:t xml:space="preserve"> </w:t>
            </w:r>
          </w:p>
        </w:tc>
        <w:tc>
          <w:tcPr>
            <w:tcW w:w="1100" w:type="dxa"/>
            <w:shd w:val="clear" w:color="auto" w:fill="auto"/>
            <w:tcMar>
              <w:left w:w="58" w:type="dxa"/>
              <w:right w:w="58" w:type="dxa"/>
            </w:tcMar>
            <w:vAlign w:val="bottom"/>
          </w:tcPr>
          <w:p w14:paraId="49E3F3A1" w14:textId="7AB924BE"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12,</w:t>
            </w:r>
            <w:r w:rsidR="007B7B61" w:rsidRPr="00CE3053">
              <w:rPr>
                <w:rFonts w:ascii="Arial" w:hAnsi="Arial" w:cs="Arial"/>
                <w:b/>
                <w:bCs/>
                <w:color w:val="000000"/>
                <w:lang w:val="mk-MK"/>
              </w:rPr>
              <w:t>897</w:t>
            </w:r>
          </w:p>
        </w:tc>
        <w:tc>
          <w:tcPr>
            <w:tcW w:w="1127" w:type="dxa"/>
            <w:shd w:val="clear" w:color="auto" w:fill="auto"/>
            <w:tcMar>
              <w:left w:w="58" w:type="dxa"/>
              <w:right w:w="58" w:type="dxa"/>
            </w:tcMar>
            <w:vAlign w:val="bottom"/>
          </w:tcPr>
          <w:p w14:paraId="490633FD" w14:textId="08FFDFEC" w:rsidR="00F93B95" w:rsidRPr="001E6526" w:rsidRDefault="00352F8B" w:rsidP="00F93B95">
            <w:pPr>
              <w:spacing w:after="0"/>
              <w:jc w:val="right"/>
              <w:rPr>
                <w:rFonts w:ascii="Arial" w:hAnsi="Arial" w:cs="Arial"/>
                <w:b/>
                <w:bCs/>
                <w:color w:val="000000"/>
                <w:lang w:val="mk-MK"/>
              </w:rPr>
            </w:pPr>
            <w:r w:rsidRPr="00CE3053">
              <w:rPr>
                <w:rFonts w:ascii="Arial" w:hAnsi="Arial" w:cs="Arial"/>
                <w:b/>
                <w:bCs/>
                <w:color w:val="000000"/>
                <w:lang w:val="mk-MK"/>
              </w:rPr>
              <w:t>1,556</w:t>
            </w:r>
          </w:p>
        </w:tc>
        <w:tc>
          <w:tcPr>
            <w:tcW w:w="1042" w:type="dxa"/>
            <w:vAlign w:val="bottom"/>
          </w:tcPr>
          <w:p w14:paraId="0E055C36" w14:textId="1EDA87F6"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1,</w:t>
            </w:r>
            <w:r w:rsidR="00CD150D" w:rsidRPr="00CE3053">
              <w:rPr>
                <w:rFonts w:ascii="Arial" w:hAnsi="Arial" w:cs="Arial"/>
                <w:b/>
                <w:bCs/>
                <w:color w:val="000000"/>
                <w:lang w:val="mk-MK"/>
              </w:rPr>
              <w:t>814</w:t>
            </w:r>
          </w:p>
        </w:tc>
        <w:tc>
          <w:tcPr>
            <w:tcW w:w="1014" w:type="dxa"/>
            <w:shd w:val="clear" w:color="auto" w:fill="auto"/>
            <w:tcMar>
              <w:left w:w="58" w:type="dxa"/>
              <w:right w:w="58" w:type="dxa"/>
            </w:tcMar>
            <w:vAlign w:val="bottom"/>
          </w:tcPr>
          <w:p w14:paraId="7EAF3B49" w14:textId="72D9C91D"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3,1</w:t>
            </w:r>
            <w:r w:rsidR="00244494" w:rsidRPr="00CE3053">
              <w:rPr>
                <w:rFonts w:ascii="Arial" w:hAnsi="Arial" w:cs="Arial"/>
                <w:b/>
                <w:bCs/>
                <w:color w:val="000000"/>
                <w:lang w:val="mk-MK"/>
              </w:rPr>
              <w:t>7</w:t>
            </w:r>
            <w:r w:rsidRPr="001E6526">
              <w:rPr>
                <w:rFonts w:ascii="Arial" w:hAnsi="Arial" w:cs="Arial"/>
                <w:b/>
                <w:bCs/>
                <w:color w:val="000000"/>
                <w:lang w:val="mk-MK"/>
              </w:rPr>
              <w:t>4</w:t>
            </w:r>
          </w:p>
        </w:tc>
        <w:tc>
          <w:tcPr>
            <w:tcW w:w="1010" w:type="dxa"/>
            <w:shd w:val="clear" w:color="auto" w:fill="auto"/>
            <w:tcMar>
              <w:left w:w="58" w:type="dxa"/>
              <w:right w:w="58" w:type="dxa"/>
            </w:tcMar>
            <w:vAlign w:val="bottom"/>
          </w:tcPr>
          <w:p w14:paraId="23825E27" w14:textId="5AD37D4B"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19,</w:t>
            </w:r>
            <w:r w:rsidR="00244494" w:rsidRPr="00CE3053">
              <w:rPr>
                <w:rFonts w:ascii="Arial" w:hAnsi="Arial" w:cs="Arial"/>
                <w:b/>
                <w:bCs/>
                <w:color w:val="000000"/>
                <w:lang w:val="mk-MK"/>
              </w:rPr>
              <w:t>441</w:t>
            </w:r>
          </w:p>
        </w:tc>
      </w:tr>
      <w:tr w:rsidR="001B4810" w:rsidRPr="001E6526" w14:paraId="0F3F673C" w14:textId="77777777" w:rsidTr="00321A96">
        <w:trPr>
          <w:trHeight w:val="216"/>
        </w:trPr>
        <w:tc>
          <w:tcPr>
            <w:tcW w:w="3347" w:type="dxa"/>
            <w:shd w:val="clear" w:color="auto" w:fill="auto"/>
            <w:tcMar>
              <w:left w:w="58" w:type="dxa"/>
              <w:right w:w="58" w:type="dxa"/>
            </w:tcMar>
          </w:tcPr>
          <w:p w14:paraId="74235A2A" w14:textId="1AE4F1FB" w:rsidR="001B4810" w:rsidRPr="00CE3053" w:rsidRDefault="001B4810" w:rsidP="001B4810">
            <w:pPr>
              <w:spacing w:after="0"/>
              <w:rPr>
                <w:rFonts w:ascii="Arial" w:hAnsi="Arial" w:cs="Arial"/>
                <w:color w:val="000000"/>
                <w:lang w:val="mk-MK"/>
              </w:rPr>
            </w:pPr>
            <w:r w:rsidRPr="00E42B24">
              <w:t>Depreciation for the year</w:t>
            </w:r>
          </w:p>
        </w:tc>
        <w:tc>
          <w:tcPr>
            <w:tcW w:w="1100" w:type="dxa"/>
            <w:shd w:val="clear" w:color="auto" w:fill="auto"/>
            <w:tcMar>
              <w:left w:w="58" w:type="dxa"/>
              <w:right w:w="58" w:type="dxa"/>
            </w:tcMar>
            <w:vAlign w:val="bottom"/>
          </w:tcPr>
          <w:p w14:paraId="0B46E1BD" w14:textId="781C27CC" w:rsidR="001B4810" w:rsidRPr="001E6526" w:rsidRDefault="001B4810" w:rsidP="001B4810">
            <w:pPr>
              <w:spacing w:after="0"/>
              <w:jc w:val="right"/>
              <w:rPr>
                <w:rFonts w:ascii="Arial" w:hAnsi="Arial" w:cs="Arial"/>
                <w:color w:val="000000"/>
                <w:lang w:val="mk-MK"/>
              </w:rPr>
            </w:pPr>
            <w:r w:rsidRPr="001E6526">
              <w:rPr>
                <w:rFonts w:ascii="Arial" w:hAnsi="Arial" w:cs="Arial"/>
                <w:color w:val="000000"/>
                <w:lang w:val="mk-MK"/>
              </w:rPr>
              <w:t>80</w:t>
            </w:r>
            <w:r w:rsidRPr="00CE3053">
              <w:rPr>
                <w:rFonts w:ascii="Arial" w:hAnsi="Arial" w:cs="Arial"/>
                <w:color w:val="000000"/>
                <w:lang w:val="mk-MK"/>
              </w:rPr>
              <w:t>8</w:t>
            </w:r>
          </w:p>
        </w:tc>
        <w:tc>
          <w:tcPr>
            <w:tcW w:w="1127" w:type="dxa"/>
            <w:shd w:val="clear" w:color="auto" w:fill="auto"/>
            <w:tcMar>
              <w:left w:w="58" w:type="dxa"/>
              <w:right w:w="58" w:type="dxa"/>
            </w:tcMar>
            <w:vAlign w:val="bottom"/>
          </w:tcPr>
          <w:p w14:paraId="394ED977" w14:textId="051D476B" w:rsidR="001B4810" w:rsidRPr="001E6526" w:rsidRDefault="001B4810" w:rsidP="001B4810">
            <w:pPr>
              <w:spacing w:after="0"/>
              <w:jc w:val="right"/>
              <w:rPr>
                <w:rFonts w:ascii="Arial" w:hAnsi="Arial" w:cs="Arial"/>
                <w:color w:val="000000"/>
                <w:lang w:val="mk-MK"/>
              </w:rPr>
            </w:pPr>
            <w:r w:rsidRPr="001E6526">
              <w:rPr>
                <w:rFonts w:ascii="Arial" w:hAnsi="Arial" w:cs="Arial"/>
                <w:color w:val="000000"/>
                <w:lang w:val="mk-MK"/>
              </w:rPr>
              <w:t>1</w:t>
            </w:r>
            <w:r w:rsidRPr="00CE3053">
              <w:rPr>
                <w:rFonts w:ascii="Arial" w:hAnsi="Arial" w:cs="Arial"/>
                <w:color w:val="000000"/>
                <w:lang w:val="mk-MK"/>
              </w:rPr>
              <w:t>07</w:t>
            </w:r>
          </w:p>
        </w:tc>
        <w:tc>
          <w:tcPr>
            <w:tcW w:w="1042" w:type="dxa"/>
            <w:vAlign w:val="bottom"/>
          </w:tcPr>
          <w:p w14:paraId="20F980DA" w14:textId="27CD07A6" w:rsidR="001B4810" w:rsidRPr="00CE3053" w:rsidRDefault="001B4810" w:rsidP="001B4810">
            <w:pPr>
              <w:spacing w:after="0"/>
              <w:jc w:val="right"/>
              <w:rPr>
                <w:rFonts w:ascii="Arial" w:hAnsi="Arial" w:cs="Arial"/>
                <w:color w:val="000000"/>
                <w:lang w:val="mk-MK"/>
              </w:rPr>
            </w:pPr>
            <w:r w:rsidRPr="00CE3053">
              <w:rPr>
                <w:rFonts w:ascii="Arial" w:hAnsi="Arial" w:cs="Arial"/>
                <w:color w:val="000000"/>
                <w:lang w:val="mk-MK"/>
              </w:rPr>
              <w:t>-</w:t>
            </w:r>
          </w:p>
        </w:tc>
        <w:tc>
          <w:tcPr>
            <w:tcW w:w="1014" w:type="dxa"/>
            <w:shd w:val="clear" w:color="auto" w:fill="auto"/>
            <w:tcMar>
              <w:left w:w="58" w:type="dxa"/>
              <w:right w:w="58" w:type="dxa"/>
            </w:tcMar>
            <w:vAlign w:val="bottom"/>
          </w:tcPr>
          <w:p w14:paraId="1ED0DDC6" w14:textId="40138532" w:rsidR="001B4810" w:rsidRPr="001E6526" w:rsidRDefault="001B4810" w:rsidP="001B4810">
            <w:pPr>
              <w:spacing w:after="0"/>
              <w:jc w:val="right"/>
              <w:rPr>
                <w:rFonts w:ascii="Arial" w:hAnsi="Arial" w:cs="Arial"/>
                <w:color w:val="000000"/>
                <w:lang w:val="mk-MK"/>
              </w:rPr>
            </w:pPr>
            <w:r w:rsidRPr="00CE3053">
              <w:rPr>
                <w:rFonts w:ascii="Arial" w:hAnsi="Arial" w:cs="Arial"/>
                <w:color w:val="000000"/>
                <w:lang w:val="mk-MK"/>
              </w:rPr>
              <w:t>22</w:t>
            </w:r>
          </w:p>
        </w:tc>
        <w:tc>
          <w:tcPr>
            <w:tcW w:w="1010" w:type="dxa"/>
            <w:shd w:val="clear" w:color="auto" w:fill="auto"/>
            <w:tcMar>
              <w:left w:w="58" w:type="dxa"/>
              <w:right w:w="58" w:type="dxa"/>
            </w:tcMar>
            <w:vAlign w:val="bottom"/>
          </w:tcPr>
          <w:p w14:paraId="4DD8BFB5" w14:textId="2549A52D" w:rsidR="001B4810" w:rsidRPr="001E6526" w:rsidRDefault="001B4810" w:rsidP="001B4810">
            <w:pPr>
              <w:spacing w:after="0"/>
              <w:jc w:val="right"/>
              <w:rPr>
                <w:rFonts w:ascii="Arial" w:hAnsi="Arial" w:cs="Arial"/>
                <w:color w:val="000000"/>
                <w:lang w:val="mk-MK"/>
              </w:rPr>
            </w:pPr>
            <w:r w:rsidRPr="00CE3053">
              <w:rPr>
                <w:rFonts w:ascii="Arial" w:hAnsi="Arial" w:cs="Arial"/>
                <w:color w:val="000000"/>
                <w:lang w:val="mk-MK"/>
              </w:rPr>
              <w:t>938</w:t>
            </w:r>
          </w:p>
        </w:tc>
      </w:tr>
      <w:tr w:rsidR="001B4810" w:rsidRPr="001E6526" w14:paraId="6E6798F4" w14:textId="77777777" w:rsidTr="00321A96">
        <w:trPr>
          <w:trHeight w:val="216"/>
        </w:trPr>
        <w:tc>
          <w:tcPr>
            <w:tcW w:w="3347" w:type="dxa"/>
            <w:shd w:val="clear" w:color="auto" w:fill="auto"/>
            <w:tcMar>
              <w:left w:w="58" w:type="dxa"/>
              <w:right w:w="58" w:type="dxa"/>
            </w:tcMar>
          </w:tcPr>
          <w:p w14:paraId="0E683288" w14:textId="68E13835" w:rsidR="001B4810" w:rsidRPr="001E6526" w:rsidRDefault="001B4810" w:rsidP="001B4810">
            <w:pPr>
              <w:spacing w:after="0"/>
              <w:rPr>
                <w:rFonts w:ascii="Arial" w:hAnsi="Arial" w:cs="Arial"/>
                <w:color w:val="000000"/>
                <w:lang w:val="mk-MK"/>
              </w:rPr>
            </w:pPr>
            <w:r w:rsidRPr="00E42B24">
              <w:t>Write-off</w:t>
            </w:r>
          </w:p>
        </w:tc>
        <w:tc>
          <w:tcPr>
            <w:tcW w:w="1100" w:type="dxa"/>
            <w:shd w:val="clear" w:color="auto" w:fill="auto"/>
            <w:tcMar>
              <w:left w:w="58" w:type="dxa"/>
              <w:right w:w="58" w:type="dxa"/>
            </w:tcMar>
            <w:vAlign w:val="bottom"/>
          </w:tcPr>
          <w:p w14:paraId="4E6734B1" w14:textId="77777777" w:rsidR="001B4810" w:rsidRPr="001E6526" w:rsidRDefault="001B4810" w:rsidP="001B4810">
            <w:pPr>
              <w:spacing w:after="0"/>
              <w:jc w:val="right"/>
              <w:rPr>
                <w:rFonts w:ascii="Arial" w:hAnsi="Arial" w:cs="Arial"/>
                <w:color w:val="000000"/>
                <w:lang w:val="mk-MK"/>
              </w:rPr>
            </w:pPr>
            <w:r w:rsidRPr="001E6526">
              <w:rPr>
                <w:rFonts w:ascii="Arial" w:hAnsi="Arial" w:cs="Arial"/>
                <w:color w:val="000000"/>
                <w:lang w:val="mk-MK"/>
              </w:rPr>
              <w:t>-</w:t>
            </w:r>
          </w:p>
        </w:tc>
        <w:tc>
          <w:tcPr>
            <w:tcW w:w="1127" w:type="dxa"/>
            <w:shd w:val="clear" w:color="auto" w:fill="auto"/>
            <w:tcMar>
              <w:left w:w="58" w:type="dxa"/>
              <w:right w:w="58" w:type="dxa"/>
            </w:tcMar>
            <w:vAlign w:val="bottom"/>
          </w:tcPr>
          <w:p w14:paraId="685D475C" w14:textId="28314573" w:rsidR="001B4810" w:rsidRPr="001E6526" w:rsidRDefault="001B4810" w:rsidP="001B4810">
            <w:pPr>
              <w:spacing w:after="0"/>
              <w:jc w:val="right"/>
              <w:rPr>
                <w:rFonts w:ascii="Arial" w:hAnsi="Arial" w:cs="Arial"/>
                <w:color w:val="000000"/>
                <w:lang w:val="mk-MK"/>
              </w:rPr>
            </w:pPr>
            <w:r w:rsidRPr="001E6526">
              <w:rPr>
                <w:rFonts w:ascii="Arial" w:hAnsi="Arial" w:cs="Arial"/>
                <w:color w:val="000000"/>
                <w:lang w:val="mk-MK"/>
              </w:rPr>
              <w:t>(6</w:t>
            </w:r>
            <w:r w:rsidRPr="00CE3053">
              <w:rPr>
                <w:rFonts w:ascii="Arial" w:hAnsi="Arial" w:cs="Arial"/>
                <w:color w:val="000000"/>
                <w:lang w:val="mk-MK"/>
              </w:rPr>
              <w:t>25</w:t>
            </w:r>
            <w:r w:rsidRPr="001E6526">
              <w:rPr>
                <w:rFonts w:ascii="Arial" w:hAnsi="Arial" w:cs="Arial"/>
                <w:color w:val="000000"/>
                <w:lang w:val="mk-MK"/>
              </w:rPr>
              <w:t>)</w:t>
            </w:r>
          </w:p>
        </w:tc>
        <w:tc>
          <w:tcPr>
            <w:tcW w:w="1042" w:type="dxa"/>
            <w:vAlign w:val="bottom"/>
          </w:tcPr>
          <w:p w14:paraId="5D878530" w14:textId="77777777" w:rsidR="001B4810" w:rsidRPr="001E6526" w:rsidRDefault="001B4810" w:rsidP="001B4810">
            <w:pPr>
              <w:spacing w:after="0"/>
              <w:jc w:val="right"/>
              <w:rPr>
                <w:rFonts w:ascii="Arial" w:hAnsi="Arial" w:cs="Arial"/>
                <w:color w:val="000000"/>
                <w:lang w:val="mk-MK"/>
              </w:rPr>
            </w:pPr>
            <w:r w:rsidRPr="001E6526">
              <w:rPr>
                <w:rFonts w:ascii="Arial" w:hAnsi="Arial" w:cs="Arial"/>
                <w:color w:val="000000"/>
                <w:lang w:val="mk-MK"/>
              </w:rPr>
              <w:t>-</w:t>
            </w:r>
          </w:p>
        </w:tc>
        <w:tc>
          <w:tcPr>
            <w:tcW w:w="1014" w:type="dxa"/>
            <w:shd w:val="clear" w:color="auto" w:fill="auto"/>
            <w:tcMar>
              <w:left w:w="58" w:type="dxa"/>
              <w:right w:w="58" w:type="dxa"/>
            </w:tcMar>
            <w:vAlign w:val="bottom"/>
          </w:tcPr>
          <w:p w14:paraId="330D6A70" w14:textId="7900210D" w:rsidR="001B4810" w:rsidRPr="001E6526" w:rsidRDefault="001B4810" w:rsidP="001B4810">
            <w:pPr>
              <w:spacing w:after="0"/>
              <w:jc w:val="right"/>
              <w:rPr>
                <w:rFonts w:ascii="Arial" w:hAnsi="Arial" w:cs="Arial"/>
                <w:color w:val="000000"/>
                <w:lang w:val="mk-MK"/>
              </w:rPr>
            </w:pPr>
            <w:r w:rsidRPr="001E6526">
              <w:rPr>
                <w:rFonts w:ascii="Arial" w:hAnsi="Arial" w:cs="Arial"/>
                <w:color w:val="000000"/>
                <w:lang w:val="mk-MK"/>
              </w:rPr>
              <w:t>(</w:t>
            </w:r>
            <w:r w:rsidRPr="00CE3053">
              <w:rPr>
                <w:rFonts w:ascii="Arial" w:hAnsi="Arial" w:cs="Arial"/>
                <w:color w:val="000000"/>
                <w:lang w:val="mk-MK"/>
              </w:rPr>
              <w:t>111</w:t>
            </w:r>
            <w:r w:rsidRPr="001E6526">
              <w:rPr>
                <w:rFonts w:ascii="Arial" w:hAnsi="Arial" w:cs="Arial"/>
                <w:color w:val="000000"/>
                <w:lang w:val="mk-MK"/>
              </w:rPr>
              <w:t>)</w:t>
            </w:r>
          </w:p>
        </w:tc>
        <w:tc>
          <w:tcPr>
            <w:tcW w:w="1010" w:type="dxa"/>
            <w:shd w:val="clear" w:color="auto" w:fill="auto"/>
            <w:tcMar>
              <w:left w:w="58" w:type="dxa"/>
              <w:right w:w="58" w:type="dxa"/>
            </w:tcMar>
            <w:vAlign w:val="bottom"/>
          </w:tcPr>
          <w:p w14:paraId="24B92906" w14:textId="2F88E8FE" w:rsidR="001B4810" w:rsidRPr="001E6526" w:rsidRDefault="001B4810" w:rsidP="001B4810">
            <w:pPr>
              <w:spacing w:after="0"/>
              <w:jc w:val="right"/>
              <w:rPr>
                <w:rFonts w:ascii="Arial" w:hAnsi="Arial" w:cs="Arial"/>
                <w:color w:val="000000"/>
                <w:lang w:val="mk-MK"/>
              </w:rPr>
            </w:pPr>
            <w:r w:rsidRPr="001E6526">
              <w:rPr>
                <w:rFonts w:ascii="Arial" w:hAnsi="Arial" w:cs="Arial"/>
                <w:color w:val="000000"/>
                <w:lang w:val="mk-MK"/>
              </w:rPr>
              <w:t>(</w:t>
            </w:r>
            <w:r w:rsidRPr="00CE3053">
              <w:rPr>
                <w:rFonts w:ascii="Arial" w:hAnsi="Arial" w:cs="Arial"/>
                <w:color w:val="000000"/>
                <w:lang w:val="mk-MK"/>
              </w:rPr>
              <w:t>736</w:t>
            </w:r>
            <w:r w:rsidRPr="001E6526">
              <w:rPr>
                <w:rFonts w:ascii="Arial" w:hAnsi="Arial" w:cs="Arial"/>
                <w:color w:val="000000"/>
                <w:lang w:val="mk-MK"/>
              </w:rPr>
              <w:t>)</w:t>
            </w:r>
          </w:p>
        </w:tc>
      </w:tr>
      <w:tr w:rsidR="00F93B95" w:rsidRPr="001E6526" w14:paraId="4767C41A" w14:textId="77777777" w:rsidTr="0025712C">
        <w:trPr>
          <w:trHeight w:val="216"/>
        </w:trPr>
        <w:tc>
          <w:tcPr>
            <w:tcW w:w="3347" w:type="dxa"/>
            <w:tcBorders>
              <w:top w:val="single" w:sz="4" w:space="0" w:color="auto"/>
            </w:tcBorders>
            <w:shd w:val="clear" w:color="auto" w:fill="auto"/>
            <w:tcMar>
              <w:left w:w="58" w:type="dxa"/>
              <w:right w:w="58" w:type="dxa"/>
            </w:tcMar>
            <w:vAlign w:val="bottom"/>
          </w:tcPr>
          <w:p w14:paraId="1763B750" w14:textId="0009C666" w:rsidR="00F93B95" w:rsidRPr="00CE3053" w:rsidRDefault="001B4810" w:rsidP="00F93B95">
            <w:pPr>
              <w:spacing w:after="0"/>
              <w:rPr>
                <w:rFonts w:ascii="Arial" w:hAnsi="Arial" w:cs="Arial"/>
                <w:b/>
                <w:bCs/>
                <w:color w:val="000000"/>
                <w:lang w:val="mk-MK"/>
              </w:rPr>
            </w:pPr>
            <w:proofErr w:type="spellStart"/>
            <w:r w:rsidRPr="001B4810">
              <w:rPr>
                <w:rFonts w:ascii="Arial" w:hAnsi="Arial" w:cs="Arial"/>
                <w:b/>
                <w:bCs/>
                <w:color w:val="000000"/>
                <w:lang w:val="mk-MK"/>
              </w:rPr>
              <w:t>At</w:t>
            </w:r>
            <w:proofErr w:type="spellEnd"/>
            <w:r w:rsidRPr="001B4810">
              <w:rPr>
                <w:rFonts w:ascii="Arial" w:hAnsi="Arial" w:cs="Arial"/>
                <w:b/>
                <w:bCs/>
                <w:color w:val="000000"/>
                <w:lang w:val="mk-MK"/>
              </w:rPr>
              <w:t xml:space="preserve"> 31 </w:t>
            </w:r>
            <w:proofErr w:type="spellStart"/>
            <w:r w:rsidRPr="001B4810">
              <w:rPr>
                <w:rFonts w:ascii="Arial" w:hAnsi="Arial" w:cs="Arial"/>
                <w:b/>
                <w:bCs/>
                <w:color w:val="000000"/>
                <w:lang w:val="mk-MK"/>
              </w:rPr>
              <w:t>December</w:t>
            </w:r>
            <w:proofErr w:type="spellEnd"/>
            <w:r w:rsidRPr="001B4810">
              <w:rPr>
                <w:rFonts w:ascii="Arial" w:hAnsi="Arial" w:cs="Arial"/>
                <w:b/>
                <w:bCs/>
                <w:color w:val="000000"/>
                <w:lang w:val="mk-MK"/>
              </w:rPr>
              <w:t xml:space="preserve"> 2021</w:t>
            </w:r>
          </w:p>
        </w:tc>
        <w:tc>
          <w:tcPr>
            <w:tcW w:w="1100" w:type="dxa"/>
            <w:tcBorders>
              <w:top w:val="single" w:sz="4" w:space="0" w:color="auto"/>
            </w:tcBorders>
            <w:shd w:val="clear" w:color="auto" w:fill="auto"/>
            <w:tcMar>
              <w:left w:w="58" w:type="dxa"/>
              <w:right w:w="58" w:type="dxa"/>
            </w:tcMar>
            <w:vAlign w:val="bottom"/>
          </w:tcPr>
          <w:p w14:paraId="677C367A" w14:textId="21421A9A"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1</w:t>
            </w:r>
            <w:r w:rsidR="007B7B61" w:rsidRPr="00CE3053">
              <w:rPr>
                <w:rFonts w:ascii="Arial" w:hAnsi="Arial" w:cs="Arial"/>
                <w:b/>
                <w:bCs/>
                <w:color w:val="000000"/>
                <w:lang w:val="mk-MK"/>
              </w:rPr>
              <w:t>3</w:t>
            </w:r>
            <w:r w:rsidRPr="001E6526">
              <w:rPr>
                <w:rFonts w:ascii="Arial" w:hAnsi="Arial" w:cs="Arial"/>
                <w:b/>
                <w:bCs/>
                <w:color w:val="000000"/>
                <w:lang w:val="mk-MK"/>
              </w:rPr>
              <w:t>,</w:t>
            </w:r>
            <w:r w:rsidR="007B7B61" w:rsidRPr="00CE3053">
              <w:rPr>
                <w:rFonts w:ascii="Arial" w:hAnsi="Arial" w:cs="Arial"/>
                <w:b/>
                <w:bCs/>
                <w:color w:val="000000"/>
                <w:lang w:val="mk-MK"/>
              </w:rPr>
              <w:t>70</w:t>
            </w:r>
            <w:r w:rsidR="007471D7" w:rsidRPr="00CE3053">
              <w:rPr>
                <w:rFonts w:ascii="Arial" w:hAnsi="Arial" w:cs="Arial"/>
                <w:b/>
                <w:bCs/>
                <w:color w:val="000000"/>
                <w:lang w:val="mk-MK"/>
              </w:rPr>
              <w:t>5</w:t>
            </w:r>
          </w:p>
        </w:tc>
        <w:tc>
          <w:tcPr>
            <w:tcW w:w="1127" w:type="dxa"/>
            <w:tcBorders>
              <w:top w:val="single" w:sz="4" w:space="0" w:color="auto"/>
            </w:tcBorders>
            <w:shd w:val="clear" w:color="auto" w:fill="auto"/>
            <w:tcMar>
              <w:left w:w="58" w:type="dxa"/>
              <w:right w:w="58" w:type="dxa"/>
            </w:tcMar>
            <w:vAlign w:val="bottom"/>
          </w:tcPr>
          <w:p w14:paraId="2342CBED" w14:textId="06A603F1"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1,</w:t>
            </w:r>
            <w:r w:rsidR="00352F8B" w:rsidRPr="00CE3053">
              <w:rPr>
                <w:rFonts w:ascii="Arial" w:hAnsi="Arial" w:cs="Arial"/>
                <w:b/>
                <w:bCs/>
                <w:color w:val="000000"/>
                <w:lang w:val="mk-MK"/>
              </w:rPr>
              <w:t>038</w:t>
            </w:r>
          </w:p>
        </w:tc>
        <w:tc>
          <w:tcPr>
            <w:tcW w:w="1042" w:type="dxa"/>
            <w:tcBorders>
              <w:top w:val="single" w:sz="4" w:space="0" w:color="auto"/>
            </w:tcBorders>
            <w:vAlign w:val="bottom"/>
          </w:tcPr>
          <w:p w14:paraId="54960243" w14:textId="77777777"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1,814</w:t>
            </w:r>
          </w:p>
        </w:tc>
        <w:tc>
          <w:tcPr>
            <w:tcW w:w="1014" w:type="dxa"/>
            <w:tcBorders>
              <w:top w:val="single" w:sz="4" w:space="0" w:color="auto"/>
            </w:tcBorders>
            <w:shd w:val="clear" w:color="auto" w:fill="auto"/>
            <w:tcMar>
              <w:left w:w="58" w:type="dxa"/>
              <w:right w:w="58" w:type="dxa"/>
            </w:tcMar>
            <w:vAlign w:val="bottom"/>
          </w:tcPr>
          <w:p w14:paraId="19E1A2E7" w14:textId="5C53173F"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3,</w:t>
            </w:r>
            <w:r w:rsidR="00244494" w:rsidRPr="00CE3053">
              <w:rPr>
                <w:rFonts w:ascii="Arial" w:hAnsi="Arial" w:cs="Arial"/>
                <w:b/>
                <w:bCs/>
                <w:color w:val="000000"/>
                <w:lang w:val="mk-MK"/>
              </w:rPr>
              <w:t>085</w:t>
            </w:r>
          </w:p>
        </w:tc>
        <w:tc>
          <w:tcPr>
            <w:tcW w:w="1010" w:type="dxa"/>
            <w:tcBorders>
              <w:top w:val="single" w:sz="4" w:space="0" w:color="auto"/>
            </w:tcBorders>
            <w:shd w:val="clear" w:color="auto" w:fill="auto"/>
            <w:tcMar>
              <w:left w:w="58" w:type="dxa"/>
              <w:right w:w="58" w:type="dxa"/>
            </w:tcMar>
            <w:vAlign w:val="bottom"/>
          </w:tcPr>
          <w:p w14:paraId="0033343D" w14:textId="441F87CC"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19,</w:t>
            </w:r>
            <w:r w:rsidR="00244494" w:rsidRPr="00CE3053">
              <w:rPr>
                <w:rFonts w:ascii="Arial" w:hAnsi="Arial" w:cs="Arial"/>
                <w:b/>
                <w:bCs/>
                <w:color w:val="000000"/>
                <w:lang w:val="mk-MK"/>
              </w:rPr>
              <w:t>64</w:t>
            </w:r>
            <w:r w:rsidR="007471D7" w:rsidRPr="00CE3053">
              <w:rPr>
                <w:rFonts w:ascii="Arial" w:hAnsi="Arial" w:cs="Arial"/>
                <w:b/>
                <w:bCs/>
                <w:color w:val="000000"/>
                <w:lang w:val="mk-MK"/>
              </w:rPr>
              <w:t>2</w:t>
            </w:r>
          </w:p>
        </w:tc>
      </w:tr>
      <w:tr w:rsidR="00F93B95" w:rsidRPr="001E6526" w14:paraId="20B90FDD" w14:textId="77777777" w:rsidTr="0025712C">
        <w:trPr>
          <w:trHeight w:val="216"/>
        </w:trPr>
        <w:tc>
          <w:tcPr>
            <w:tcW w:w="3347" w:type="dxa"/>
            <w:shd w:val="clear" w:color="auto" w:fill="auto"/>
            <w:tcMar>
              <w:left w:w="58" w:type="dxa"/>
              <w:right w:w="58" w:type="dxa"/>
            </w:tcMar>
            <w:vAlign w:val="bottom"/>
          </w:tcPr>
          <w:p w14:paraId="72DAFF46" w14:textId="77777777" w:rsidR="00F93B95" w:rsidRPr="00CE3053" w:rsidRDefault="00F93B95" w:rsidP="00F93B95">
            <w:pPr>
              <w:pStyle w:val="TableText"/>
              <w:spacing w:before="0" w:after="0"/>
              <w:rPr>
                <w:rFonts w:ascii="Arial" w:hAnsi="Arial"/>
                <w:bCs/>
                <w:sz w:val="18"/>
                <w:lang w:val="mk-MK"/>
              </w:rPr>
            </w:pPr>
          </w:p>
        </w:tc>
        <w:tc>
          <w:tcPr>
            <w:tcW w:w="1100" w:type="dxa"/>
            <w:shd w:val="clear" w:color="auto" w:fill="auto"/>
            <w:tcMar>
              <w:left w:w="58" w:type="dxa"/>
              <w:right w:w="58" w:type="dxa"/>
            </w:tcMar>
            <w:vAlign w:val="bottom"/>
          </w:tcPr>
          <w:p w14:paraId="568002E2" w14:textId="77777777" w:rsidR="00F93B95" w:rsidRPr="00CE3053" w:rsidRDefault="00F93B95" w:rsidP="00F93B95">
            <w:pPr>
              <w:pStyle w:val="TableText"/>
              <w:spacing w:before="0" w:after="0"/>
              <w:jc w:val="right"/>
              <w:rPr>
                <w:rFonts w:ascii="Arial" w:hAnsi="Arial"/>
                <w:color w:val="000000"/>
                <w:sz w:val="18"/>
                <w:lang w:val="mk-MK"/>
              </w:rPr>
            </w:pPr>
          </w:p>
        </w:tc>
        <w:tc>
          <w:tcPr>
            <w:tcW w:w="1127" w:type="dxa"/>
            <w:shd w:val="clear" w:color="auto" w:fill="auto"/>
            <w:tcMar>
              <w:left w:w="58" w:type="dxa"/>
              <w:right w:w="58" w:type="dxa"/>
            </w:tcMar>
            <w:vAlign w:val="bottom"/>
          </w:tcPr>
          <w:p w14:paraId="07FB8C05" w14:textId="77777777" w:rsidR="00F93B95" w:rsidRPr="00CE3053" w:rsidRDefault="00F93B95" w:rsidP="00F93B95">
            <w:pPr>
              <w:pStyle w:val="TableText"/>
              <w:spacing w:before="0" w:after="0"/>
              <w:jc w:val="right"/>
              <w:rPr>
                <w:rFonts w:ascii="Arial" w:hAnsi="Arial"/>
                <w:color w:val="000000"/>
                <w:sz w:val="18"/>
                <w:lang w:val="mk-MK"/>
              </w:rPr>
            </w:pPr>
          </w:p>
        </w:tc>
        <w:tc>
          <w:tcPr>
            <w:tcW w:w="1042" w:type="dxa"/>
            <w:vAlign w:val="bottom"/>
          </w:tcPr>
          <w:p w14:paraId="58374F37" w14:textId="77777777" w:rsidR="00F93B95" w:rsidRPr="00CE3053" w:rsidRDefault="00F93B95" w:rsidP="00F93B95">
            <w:pPr>
              <w:pStyle w:val="TableText"/>
              <w:spacing w:before="0" w:after="0"/>
              <w:jc w:val="right"/>
              <w:rPr>
                <w:rFonts w:ascii="Arial" w:hAnsi="Arial"/>
                <w:color w:val="000000"/>
                <w:sz w:val="18"/>
                <w:lang w:val="mk-MK"/>
              </w:rPr>
            </w:pPr>
          </w:p>
        </w:tc>
        <w:tc>
          <w:tcPr>
            <w:tcW w:w="1014" w:type="dxa"/>
            <w:shd w:val="clear" w:color="auto" w:fill="auto"/>
            <w:tcMar>
              <w:left w:w="58" w:type="dxa"/>
              <w:right w:w="58" w:type="dxa"/>
            </w:tcMar>
            <w:vAlign w:val="bottom"/>
          </w:tcPr>
          <w:p w14:paraId="5CE6E20C" w14:textId="77777777" w:rsidR="00F93B95" w:rsidRPr="00CE3053" w:rsidRDefault="00F93B95" w:rsidP="00F93B95">
            <w:pPr>
              <w:pStyle w:val="TableText"/>
              <w:spacing w:before="0" w:after="0"/>
              <w:jc w:val="right"/>
              <w:rPr>
                <w:rFonts w:ascii="Arial" w:hAnsi="Arial"/>
                <w:color w:val="000000"/>
                <w:sz w:val="18"/>
                <w:lang w:val="mk-MK"/>
              </w:rPr>
            </w:pPr>
          </w:p>
        </w:tc>
        <w:tc>
          <w:tcPr>
            <w:tcW w:w="1010" w:type="dxa"/>
            <w:shd w:val="clear" w:color="auto" w:fill="auto"/>
            <w:tcMar>
              <w:left w:w="58" w:type="dxa"/>
              <w:right w:w="58" w:type="dxa"/>
            </w:tcMar>
            <w:vAlign w:val="bottom"/>
          </w:tcPr>
          <w:p w14:paraId="207AC3DF" w14:textId="77777777" w:rsidR="00F93B95" w:rsidRPr="00CE3053" w:rsidRDefault="00F93B95" w:rsidP="00F93B95">
            <w:pPr>
              <w:pStyle w:val="TableText"/>
              <w:spacing w:before="0" w:after="0"/>
              <w:jc w:val="right"/>
              <w:rPr>
                <w:rFonts w:ascii="Arial" w:hAnsi="Arial"/>
                <w:color w:val="000000"/>
                <w:sz w:val="18"/>
                <w:lang w:val="mk-MK"/>
              </w:rPr>
            </w:pPr>
          </w:p>
        </w:tc>
      </w:tr>
      <w:tr w:rsidR="00F93B95" w:rsidRPr="001E6526" w14:paraId="1C8C7FF7" w14:textId="77777777" w:rsidTr="0025712C">
        <w:trPr>
          <w:trHeight w:val="216"/>
        </w:trPr>
        <w:tc>
          <w:tcPr>
            <w:tcW w:w="3347" w:type="dxa"/>
            <w:shd w:val="clear" w:color="auto" w:fill="auto"/>
            <w:tcMar>
              <w:left w:w="58" w:type="dxa"/>
              <w:right w:w="58" w:type="dxa"/>
            </w:tcMar>
            <w:vAlign w:val="bottom"/>
          </w:tcPr>
          <w:p w14:paraId="76A2608E" w14:textId="2B62E69D" w:rsidR="00F93B95" w:rsidRPr="00CE3053" w:rsidRDefault="001464D1" w:rsidP="00F93B95">
            <w:pPr>
              <w:pStyle w:val="TableText"/>
              <w:spacing w:before="0" w:after="0"/>
              <w:rPr>
                <w:rFonts w:ascii="Arial" w:hAnsi="Arial"/>
                <w:b/>
                <w:sz w:val="18"/>
                <w:lang w:val="mk-MK"/>
              </w:rPr>
            </w:pPr>
            <w:proofErr w:type="spellStart"/>
            <w:r w:rsidRPr="001464D1">
              <w:rPr>
                <w:rFonts w:ascii="Arial" w:hAnsi="Arial"/>
                <w:b/>
                <w:sz w:val="18"/>
                <w:lang w:val="mk-MK"/>
              </w:rPr>
              <w:t>Net</w:t>
            </w:r>
            <w:proofErr w:type="spellEnd"/>
            <w:r w:rsidRPr="001464D1">
              <w:rPr>
                <w:rFonts w:ascii="Arial" w:hAnsi="Arial"/>
                <w:b/>
                <w:sz w:val="18"/>
                <w:lang w:val="mk-MK"/>
              </w:rPr>
              <w:t xml:space="preserve"> </w:t>
            </w:r>
            <w:proofErr w:type="spellStart"/>
            <w:r w:rsidRPr="001464D1">
              <w:rPr>
                <w:rFonts w:ascii="Arial" w:hAnsi="Arial"/>
                <w:b/>
                <w:sz w:val="18"/>
                <w:lang w:val="mk-MK"/>
              </w:rPr>
              <w:t>carrying</w:t>
            </w:r>
            <w:proofErr w:type="spellEnd"/>
            <w:r w:rsidRPr="001464D1">
              <w:rPr>
                <w:rFonts w:ascii="Arial" w:hAnsi="Arial"/>
                <w:b/>
                <w:sz w:val="18"/>
                <w:lang w:val="mk-MK"/>
              </w:rPr>
              <w:t xml:space="preserve"> </w:t>
            </w:r>
            <w:proofErr w:type="spellStart"/>
            <w:r w:rsidRPr="001464D1">
              <w:rPr>
                <w:rFonts w:ascii="Arial" w:hAnsi="Arial"/>
                <w:b/>
                <w:sz w:val="18"/>
                <w:lang w:val="mk-MK"/>
              </w:rPr>
              <w:t>value</w:t>
            </w:r>
            <w:proofErr w:type="spellEnd"/>
          </w:p>
        </w:tc>
        <w:tc>
          <w:tcPr>
            <w:tcW w:w="1100" w:type="dxa"/>
            <w:shd w:val="clear" w:color="auto" w:fill="auto"/>
            <w:tcMar>
              <w:left w:w="58" w:type="dxa"/>
              <w:right w:w="58" w:type="dxa"/>
            </w:tcMar>
            <w:vAlign w:val="bottom"/>
          </w:tcPr>
          <w:p w14:paraId="4E5F2E88" w14:textId="77777777" w:rsidR="00F93B95" w:rsidRPr="00CE3053" w:rsidRDefault="00F93B95" w:rsidP="00F93B95">
            <w:pPr>
              <w:pStyle w:val="TableText"/>
              <w:spacing w:before="0" w:after="0"/>
              <w:jc w:val="right"/>
              <w:rPr>
                <w:rFonts w:ascii="Arial" w:hAnsi="Arial"/>
                <w:b/>
                <w:color w:val="000000"/>
                <w:sz w:val="18"/>
                <w:lang w:val="mk-MK"/>
              </w:rPr>
            </w:pPr>
          </w:p>
        </w:tc>
        <w:tc>
          <w:tcPr>
            <w:tcW w:w="1127" w:type="dxa"/>
            <w:shd w:val="clear" w:color="auto" w:fill="auto"/>
            <w:tcMar>
              <w:left w:w="58" w:type="dxa"/>
              <w:right w:w="58" w:type="dxa"/>
            </w:tcMar>
            <w:vAlign w:val="bottom"/>
          </w:tcPr>
          <w:p w14:paraId="3488F67E" w14:textId="77777777" w:rsidR="00F93B95" w:rsidRPr="00CE3053" w:rsidRDefault="00F93B95" w:rsidP="00F93B95">
            <w:pPr>
              <w:pStyle w:val="TableText"/>
              <w:spacing w:before="0" w:after="0"/>
              <w:jc w:val="right"/>
              <w:rPr>
                <w:rFonts w:ascii="Arial" w:hAnsi="Arial"/>
                <w:b/>
                <w:color w:val="000000"/>
                <w:sz w:val="18"/>
                <w:lang w:val="mk-MK"/>
              </w:rPr>
            </w:pPr>
          </w:p>
        </w:tc>
        <w:tc>
          <w:tcPr>
            <w:tcW w:w="1042" w:type="dxa"/>
            <w:vAlign w:val="bottom"/>
          </w:tcPr>
          <w:p w14:paraId="05650682" w14:textId="77777777" w:rsidR="00F93B95" w:rsidRPr="00CE3053" w:rsidRDefault="00F93B95" w:rsidP="00F93B95">
            <w:pPr>
              <w:pStyle w:val="TableText"/>
              <w:spacing w:before="0" w:after="0"/>
              <w:jc w:val="right"/>
              <w:rPr>
                <w:rFonts w:ascii="Arial" w:hAnsi="Arial"/>
                <w:b/>
                <w:color w:val="000000"/>
                <w:sz w:val="18"/>
                <w:lang w:val="mk-MK"/>
              </w:rPr>
            </w:pPr>
          </w:p>
        </w:tc>
        <w:tc>
          <w:tcPr>
            <w:tcW w:w="1014" w:type="dxa"/>
            <w:shd w:val="clear" w:color="auto" w:fill="auto"/>
            <w:tcMar>
              <w:left w:w="58" w:type="dxa"/>
              <w:right w:w="58" w:type="dxa"/>
            </w:tcMar>
            <w:vAlign w:val="bottom"/>
          </w:tcPr>
          <w:p w14:paraId="0FB76EB0" w14:textId="77777777" w:rsidR="00F93B95" w:rsidRPr="00CE3053" w:rsidRDefault="00F93B95" w:rsidP="00F93B95">
            <w:pPr>
              <w:pStyle w:val="TableText"/>
              <w:spacing w:before="0" w:after="0"/>
              <w:jc w:val="right"/>
              <w:rPr>
                <w:rFonts w:ascii="Arial" w:hAnsi="Arial"/>
                <w:b/>
                <w:color w:val="000000"/>
                <w:sz w:val="18"/>
                <w:lang w:val="mk-MK"/>
              </w:rPr>
            </w:pPr>
          </w:p>
        </w:tc>
        <w:tc>
          <w:tcPr>
            <w:tcW w:w="1010" w:type="dxa"/>
            <w:shd w:val="clear" w:color="auto" w:fill="auto"/>
            <w:tcMar>
              <w:left w:w="58" w:type="dxa"/>
              <w:right w:w="58" w:type="dxa"/>
            </w:tcMar>
            <w:vAlign w:val="bottom"/>
          </w:tcPr>
          <w:p w14:paraId="0B1E1807" w14:textId="77777777" w:rsidR="00F93B95" w:rsidRPr="00CE3053" w:rsidRDefault="00F93B95" w:rsidP="00F93B95">
            <w:pPr>
              <w:pStyle w:val="TableText"/>
              <w:spacing w:before="0" w:after="0"/>
              <w:jc w:val="right"/>
              <w:rPr>
                <w:rFonts w:ascii="Arial" w:hAnsi="Arial"/>
                <w:b/>
                <w:color w:val="000000"/>
                <w:sz w:val="18"/>
                <w:lang w:val="mk-MK"/>
              </w:rPr>
            </w:pPr>
          </w:p>
        </w:tc>
      </w:tr>
      <w:tr w:rsidR="00F93B95" w:rsidRPr="001E6526" w14:paraId="6E7D2AAA" w14:textId="77777777" w:rsidTr="0025712C">
        <w:trPr>
          <w:trHeight w:val="216"/>
        </w:trPr>
        <w:tc>
          <w:tcPr>
            <w:tcW w:w="3347" w:type="dxa"/>
            <w:shd w:val="clear" w:color="auto" w:fill="auto"/>
            <w:tcMar>
              <w:left w:w="58" w:type="dxa"/>
              <w:right w:w="58" w:type="dxa"/>
            </w:tcMar>
            <w:vAlign w:val="bottom"/>
          </w:tcPr>
          <w:p w14:paraId="5515DBC7" w14:textId="18A4BC13" w:rsidR="00F93B95" w:rsidRPr="00CE3053" w:rsidRDefault="001464D1" w:rsidP="00F93B95">
            <w:pPr>
              <w:pStyle w:val="TableText"/>
              <w:spacing w:before="0" w:after="0"/>
              <w:rPr>
                <w:rFonts w:ascii="Arial" w:hAnsi="Arial"/>
                <w:bCs/>
                <w:sz w:val="18"/>
                <w:lang w:val="mk-MK"/>
              </w:rPr>
            </w:pPr>
            <w:proofErr w:type="spellStart"/>
            <w:r w:rsidRPr="001464D1">
              <w:rPr>
                <w:rFonts w:ascii="Arial" w:hAnsi="Arial"/>
                <w:bCs/>
                <w:sz w:val="18"/>
                <w:lang w:val="mk-MK"/>
              </w:rPr>
              <w:t>At</w:t>
            </w:r>
            <w:proofErr w:type="spellEnd"/>
            <w:r w:rsidRPr="001464D1">
              <w:rPr>
                <w:rFonts w:ascii="Arial" w:hAnsi="Arial"/>
                <w:bCs/>
                <w:sz w:val="18"/>
                <w:lang w:val="mk-MK"/>
              </w:rPr>
              <w:t xml:space="preserve"> 01 </w:t>
            </w:r>
            <w:proofErr w:type="spellStart"/>
            <w:r w:rsidRPr="001464D1">
              <w:rPr>
                <w:rFonts w:ascii="Arial" w:hAnsi="Arial"/>
                <w:bCs/>
                <w:sz w:val="18"/>
                <w:lang w:val="mk-MK"/>
              </w:rPr>
              <w:t>January</w:t>
            </w:r>
            <w:proofErr w:type="spellEnd"/>
            <w:r w:rsidRPr="001464D1">
              <w:rPr>
                <w:rFonts w:ascii="Arial" w:hAnsi="Arial"/>
                <w:bCs/>
                <w:sz w:val="18"/>
                <w:lang w:val="mk-MK"/>
              </w:rPr>
              <w:t xml:space="preserve"> 2020</w:t>
            </w:r>
          </w:p>
        </w:tc>
        <w:tc>
          <w:tcPr>
            <w:tcW w:w="1100" w:type="dxa"/>
            <w:shd w:val="clear" w:color="auto" w:fill="auto"/>
            <w:tcMar>
              <w:left w:w="58" w:type="dxa"/>
              <w:right w:w="58" w:type="dxa"/>
            </w:tcMar>
            <w:vAlign w:val="bottom"/>
          </w:tcPr>
          <w:p w14:paraId="429D5236" w14:textId="284BB4C2" w:rsidR="00F93B95" w:rsidRPr="00CE3053" w:rsidRDefault="00F93B95" w:rsidP="00F93B95">
            <w:pPr>
              <w:spacing w:after="0"/>
              <w:jc w:val="right"/>
              <w:rPr>
                <w:rFonts w:ascii="Arial" w:hAnsi="Arial" w:cs="Arial"/>
                <w:bCs/>
                <w:color w:val="000000"/>
                <w:lang w:val="mk-MK"/>
              </w:rPr>
            </w:pPr>
            <w:r w:rsidRPr="00CE3053">
              <w:rPr>
                <w:rFonts w:ascii="Arial" w:hAnsi="Arial" w:cs="Arial"/>
                <w:bCs/>
                <w:color w:val="000000"/>
                <w:lang w:val="mk-MK"/>
              </w:rPr>
              <w:t>2</w:t>
            </w:r>
            <w:r w:rsidR="00E01A71" w:rsidRPr="00CE3053">
              <w:rPr>
                <w:rFonts w:ascii="Arial" w:hAnsi="Arial" w:cs="Arial"/>
                <w:bCs/>
                <w:color w:val="000000"/>
                <w:lang w:val="mk-MK"/>
              </w:rPr>
              <w:t>0</w:t>
            </w:r>
            <w:r w:rsidRPr="00CE3053">
              <w:rPr>
                <w:rFonts w:ascii="Arial" w:hAnsi="Arial" w:cs="Arial"/>
                <w:bCs/>
                <w:color w:val="000000"/>
                <w:lang w:val="mk-MK"/>
              </w:rPr>
              <w:t>,</w:t>
            </w:r>
            <w:r w:rsidR="00E01A71" w:rsidRPr="00CE3053">
              <w:rPr>
                <w:rFonts w:ascii="Arial" w:hAnsi="Arial" w:cs="Arial"/>
                <w:bCs/>
                <w:color w:val="000000"/>
                <w:lang w:val="mk-MK"/>
              </w:rPr>
              <w:t>262</w:t>
            </w:r>
          </w:p>
        </w:tc>
        <w:tc>
          <w:tcPr>
            <w:tcW w:w="1127" w:type="dxa"/>
            <w:shd w:val="clear" w:color="auto" w:fill="auto"/>
            <w:tcMar>
              <w:left w:w="58" w:type="dxa"/>
              <w:right w:w="58" w:type="dxa"/>
            </w:tcMar>
            <w:vAlign w:val="bottom"/>
          </w:tcPr>
          <w:p w14:paraId="2867B131" w14:textId="7527B295" w:rsidR="00F93B95" w:rsidRPr="00CE3053" w:rsidRDefault="00352F8B" w:rsidP="00F93B95">
            <w:pPr>
              <w:spacing w:after="0"/>
              <w:jc w:val="right"/>
              <w:rPr>
                <w:rFonts w:ascii="Arial" w:hAnsi="Arial" w:cs="Arial"/>
                <w:bCs/>
                <w:color w:val="000000"/>
                <w:lang w:val="mk-MK"/>
              </w:rPr>
            </w:pPr>
            <w:r w:rsidRPr="00CE3053">
              <w:rPr>
                <w:rFonts w:ascii="Arial" w:hAnsi="Arial" w:cs="Arial"/>
                <w:bCs/>
                <w:color w:val="000000"/>
                <w:lang w:val="mk-MK"/>
              </w:rPr>
              <w:t>447</w:t>
            </w:r>
          </w:p>
        </w:tc>
        <w:tc>
          <w:tcPr>
            <w:tcW w:w="1042" w:type="dxa"/>
            <w:vAlign w:val="bottom"/>
          </w:tcPr>
          <w:p w14:paraId="2D057AE5" w14:textId="70EDABB2" w:rsidR="00F93B95" w:rsidRPr="00CE3053" w:rsidRDefault="00CD150D" w:rsidP="00F93B95">
            <w:pPr>
              <w:spacing w:after="0"/>
              <w:jc w:val="right"/>
              <w:rPr>
                <w:rFonts w:ascii="Arial" w:hAnsi="Arial" w:cs="Arial"/>
                <w:bCs/>
                <w:color w:val="000000"/>
                <w:lang w:val="mk-MK"/>
              </w:rPr>
            </w:pPr>
            <w:r w:rsidRPr="00CE3053">
              <w:rPr>
                <w:rFonts w:ascii="Arial" w:hAnsi="Arial" w:cs="Arial"/>
                <w:bCs/>
                <w:color w:val="000000"/>
                <w:lang w:val="mk-MK"/>
              </w:rPr>
              <w:t>114</w:t>
            </w:r>
          </w:p>
        </w:tc>
        <w:tc>
          <w:tcPr>
            <w:tcW w:w="1014" w:type="dxa"/>
            <w:shd w:val="clear" w:color="auto" w:fill="auto"/>
            <w:tcMar>
              <w:left w:w="58" w:type="dxa"/>
              <w:right w:w="58" w:type="dxa"/>
            </w:tcMar>
            <w:vAlign w:val="bottom"/>
          </w:tcPr>
          <w:p w14:paraId="464871B7" w14:textId="0E8CD076" w:rsidR="00F93B95" w:rsidRPr="00CE3053" w:rsidRDefault="00547E43" w:rsidP="00F93B95">
            <w:pPr>
              <w:spacing w:after="0"/>
              <w:jc w:val="right"/>
              <w:rPr>
                <w:rFonts w:ascii="Arial" w:hAnsi="Arial" w:cs="Arial"/>
                <w:bCs/>
                <w:color w:val="000000"/>
                <w:lang w:val="mk-MK"/>
              </w:rPr>
            </w:pPr>
            <w:r w:rsidRPr="00CE3053">
              <w:rPr>
                <w:rFonts w:ascii="Arial" w:hAnsi="Arial" w:cs="Arial"/>
                <w:bCs/>
                <w:color w:val="000000"/>
                <w:lang w:val="mk-MK"/>
              </w:rPr>
              <w:t>98</w:t>
            </w:r>
          </w:p>
        </w:tc>
        <w:tc>
          <w:tcPr>
            <w:tcW w:w="1010" w:type="dxa"/>
            <w:shd w:val="clear" w:color="auto" w:fill="auto"/>
            <w:tcMar>
              <w:left w:w="58" w:type="dxa"/>
              <w:right w:w="58" w:type="dxa"/>
            </w:tcMar>
            <w:vAlign w:val="bottom"/>
          </w:tcPr>
          <w:p w14:paraId="643F611B" w14:textId="3BCA79A9" w:rsidR="00F93B95" w:rsidRPr="00CE3053" w:rsidRDefault="00F93B95" w:rsidP="00F93B95">
            <w:pPr>
              <w:spacing w:after="0"/>
              <w:jc w:val="right"/>
              <w:rPr>
                <w:rFonts w:ascii="Arial" w:hAnsi="Arial" w:cs="Arial"/>
                <w:bCs/>
                <w:color w:val="000000"/>
                <w:lang w:val="mk-MK"/>
              </w:rPr>
            </w:pPr>
            <w:r w:rsidRPr="00CE3053">
              <w:rPr>
                <w:rFonts w:ascii="Arial" w:hAnsi="Arial" w:cs="Arial"/>
                <w:bCs/>
                <w:color w:val="000000"/>
                <w:lang w:val="mk-MK"/>
              </w:rPr>
              <w:t>2</w:t>
            </w:r>
            <w:r w:rsidR="00547E43" w:rsidRPr="00CE3053">
              <w:rPr>
                <w:rFonts w:ascii="Arial" w:hAnsi="Arial" w:cs="Arial"/>
                <w:bCs/>
                <w:color w:val="000000"/>
                <w:lang w:val="mk-MK"/>
              </w:rPr>
              <w:t>0.921</w:t>
            </w:r>
          </w:p>
        </w:tc>
      </w:tr>
      <w:tr w:rsidR="00F93B95" w:rsidRPr="001E6526" w14:paraId="071F3299" w14:textId="77777777" w:rsidTr="0025712C">
        <w:trPr>
          <w:trHeight w:val="216"/>
        </w:trPr>
        <w:tc>
          <w:tcPr>
            <w:tcW w:w="3347" w:type="dxa"/>
            <w:tcBorders>
              <w:bottom w:val="single" w:sz="4" w:space="0" w:color="auto"/>
            </w:tcBorders>
            <w:shd w:val="clear" w:color="auto" w:fill="auto"/>
            <w:tcMar>
              <w:left w:w="58" w:type="dxa"/>
              <w:right w:w="58" w:type="dxa"/>
            </w:tcMar>
            <w:vAlign w:val="bottom"/>
          </w:tcPr>
          <w:p w14:paraId="52DA9E23" w14:textId="31EB28EF" w:rsidR="00F93B95" w:rsidRPr="00CE3053" w:rsidRDefault="001464D1" w:rsidP="00F93B95">
            <w:pPr>
              <w:pStyle w:val="TableText"/>
              <w:spacing w:before="0" w:after="0"/>
              <w:rPr>
                <w:rFonts w:ascii="Arial" w:hAnsi="Arial"/>
                <w:bCs/>
                <w:sz w:val="18"/>
                <w:lang w:val="mk-MK"/>
              </w:rPr>
            </w:pPr>
            <w:proofErr w:type="spellStart"/>
            <w:r w:rsidRPr="001464D1">
              <w:rPr>
                <w:rFonts w:ascii="Arial" w:hAnsi="Arial"/>
                <w:b/>
                <w:sz w:val="18"/>
                <w:lang w:val="mk-MK"/>
              </w:rPr>
              <w:t>At</w:t>
            </w:r>
            <w:proofErr w:type="spellEnd"/>
            <w:r w:rsidRPr="001464D1">
              <w:rPr>
                <w:rFonts w:ascii="Arial" w:hAnsi="Arial"/>
                <w:b/>
                <w:sz w:val="18"/>
                <w:lang w:val="mk-MK"/>
              </w:rPr>
              <w:t xml:space="preserve"> 31 </w:t>
            </w:r>
            <w:proofErr w:type="spellStart"/>
            <w:r w:rsidRPr="001464D1">
              <w:rPr>
                <w:rFonts w:ascii="Arial" w:hAnsi="Arial"/>
                <w:b/>
                <w:sz w:val="18"/>
                <w:lang w:val="mk-MK"/>
              </w:rPr>
              <w:t>December</w:t>
            </w:r>
            <w:proofErr w:type="spellEnd"/>
            <w:r w:rsidRPr="001464D1">
              <w:rPr>
                <w:rFonts w:ascii="Arial" w:hAnsi="Arial"/>
                <w:b/>
                <w:sz w:val="18"/>
                <w:lang w:val="mk-MK"/>
              </w:rPr>
              <w:t xml:space="preserve"> 2020</w:t>
            </w:r>
          </w:p>
        </w:tc>
        <w:tc>
          <w:tcPr>
            <w:tcW w:w="1100" w:type="dxa"/>
            <w:tcBorders>
              <w:bottom w:val="single" w:sz="4" w:space="0" w:color="auto"/>
            </w:tcBorders>
            <w:shd w:val="clear" w:color="auto" w:fill="auto"/>
            <w:tcMar>
              <w:left w:w="58" w:type="dxa"/>
              <w:right w:w="58" w:type="dxa"/>
            </w:tcMar>
            <w:vAlign w:val="bottom"/>
          </w:tcPr>
          <w:p w14:paraId="27F19196" w14:textId="279E4CFA" w:rsidR="00F93B95" w:rsidRPr="00CE3053" w:rsidRDefault="00E01A71" w:rsidP="00F93B95">
            <w:pPr>
              <w:spacing w:after="0"/>
              <w:jc w:val="right"/>
              <w:rPr>
                <w:rFonts w:ascii="Arial" w:hAnsi="Arial" w:cs="Arial"/>
                <w:b/>
                <w:bCs/>
                <w:color w:val="000000"/>
                <w:lang w:val="mk-MK"/>
              </w:rPr>
            </w:pPr>
            <w:r w:rsidRPr="00CE3053">
              <w:rPr>
                <w:rFonts w:ascii="Arial" w:hAnsi="Arial" w:cs="Arial"/>
                <w:b/>
                <w:bCs/>
                <w:color w:val="000000"/>
                <w:lang w:val="mk-MK"/>
              </w:rPr>
              <w:t>19.453</w:t>
            </w:r>
          </w:p>
        </w:tc>
        <w:tc>
          <w:tcPr>
            <w:tcW w:w="1127" w:type="dxa"/>
            <w:tcBorders>
              <w:bottom w:val="single" w:sz="4" w:space="0" w:color="auto"/>
            </w:tcBorders>
            <w:shd w:val="clear" w:color="auto" w:fill="auto"/>
            <w:tcMar>
              <w:left w:w="58" w:type="dxa"/>
              <w:right w:w="58" w:type="dxa"/>
            </w:tcMar>
            <w:vAlign w:val="bottom"/>
          </w:tcPr>
          <w:p w14:paraId="796AFE68" w14:textId="3433437C" w:rsidR="00F93B95" w:rsidRPr="00CE3053" w:rsidRDefault="00CD150D" w:rsidP="00F93B95">
            <w:pPr>
              <w:spacing w:after="0"/>
              <w:jc w:val="right"/>
              <w:rPr>
                <w:rFonts w:ascii="Arial" w:hAnsi="Arial" w:cs="Arial"/>
                <w:b/>
                <w:bCs/>
                <w:color w:val="000000"/>
                <w:lang w:val="mk-MK"/>
              </w:rPr>
            </w:pPr>
            <w:r w:rsidRPr="00CE3053">
              <w:rPr>
                <w:rFonts w:ascii="Arial" w:hAnsi="Arial" w:cs="Arial"/>
                <w:b/>
                <w:bCs/>
                <w:color w:val="000000"/>
                <w:lang w:val="mk-MK"/>
              </w:rPr>
              <w:t>322</w:t>
            </w:r>
          </w:p>
        </w:tc>
        <w:tc>
          <w:tcPr>
            <w:tcW w:w="1042" w:type="dxa"/>
            <w:tcBorders>
              <w:bottom w:val="single" w:sz="4" w:space="0" w:color="auto"/>
            </w:tcBorders>
            <w:vAlign w:val="bottom"/>
          </w:tcPr>
          <w:p w14:paraId="18AED099" w14:textId="6FC4C68C" w:rsidR="00F93B95" w:rsidRPr="00CE3053" w:rsidRDefault="00CD150D" w:rsidP="00F93B95">
            <w:pPr>
              <w:spacing w:after="0"/>
              <w:jc w:val="right"/>
              <w:rPr>
                <w:rFonts w:ascii="Arial" w:hAnsi="Arial" w:cs="Arial"/>
                <w:b/>
                <w:bCs/>
                <w:color w:val="000000"/>
                <w:lang w:val="mk-MK"/>
              </w:rPr>
            </w:pPr>
            <w:r w:rsidRPr="00CE3053">
              <w:rPr>
                <w:rFonts w:ascii="Arial" w:hAnsi="Arial" w:cs="Arial"/>
                <w:b/>
                <w:bCs/>
                <w:color w:val="000000"/>
                <w:lang w:val="mk-MK"/>
              </w:rPr>
              <w:t>-</w:t>
            </w:r>
          </w:p>
        </w:tc>
        <w:tc>
          <w:tcPr>
            <w:tcW w:w="1014" w:type="dxa"/>
            <w:tcBorders>
              <w:bottom w:val="single" w:sz="4" w:space="0" w:color="auto"/>
            </w:tcBorders>
            <w:shd w:val="clear" w:color="auto" w:fill="auto"/>
            <w:tcMar>
              <w:left w:w="58" w:type="dxa"/>
              <w:right w:w="58" w:type="dxa"/>
            </w:tcMar>
            <w:vAlign w:val="bottom"/>
          </w:tcPr>
          <w:p w14:paraId="058537F4" w14:textId="537D2661" w:rsidR="00F93B95" w:rsidRPr="00CE3053" w:rsidRDefault="00547E43" w:rsidP="00F93B95">
            <w:pPr>
              <w:spacing w:after="0"/>
              <w:jc w:val="right"/>
              <w:rPr>
                <w:rFonts w:ascii="Arial" w:hAnsi="Arial" w:cs="Arial"/>
                <w:b/>
                <w:bCs/>
                <w:color w:val="000000"/>
                <w:lang w:val="mk-MK"/>
              </w:rPr>
            </w:pPr>
            <w:r w:rsidRPr="00CE3053">
              <w:rPr>
                <w:rFonts w:ascii="Arial" w:hAnsi="Arial" w:cs="Arial"/>
                <w:b/>
                <w:bCs/>
                <w:color w:val="000000"/>
                <w:lang w:val="mk-MK"/>
              </w:rPr>
              <w:t>68</w:t>
            </w:r>
          </w:p>
        </w:tc>
        <w:tc>
          <w:tcPr>
            <w:tcW w:w="1010" w:type="dxa"/>
            <w:tcBorders>
              <w:bottom w:val="single" w:sz="4" w:space="0" w:color="auto"/>
            </w:tcBorders>
            <w:shd w:val="clear" w:color="auto" w:fill="auto"/>
            <w:tcMar>
              <w:left w:w="58" w:type="dxa"/>
              <w:right w:w="58" w:type="dxa"/>
            </w:tcMar>
            <w:vAlign w:val="bottom"/>
          </w:tcPr>
          <w:p w14:paraId="62C05239" w14:textId="465863B0" w:rsidR="00F93B95" w:rsidRPr="00CE3053" w:rsidRDefault="00547E43" w:rsidP="00F93B95">
            <w:pPr>
              <w:spacing w:after="0"/>
              <w:jc w:val="right"/>
              <w:rPr>
                <w:rFonts w:ascii="Arial" w:hAnsi="Arial" w:cs="Arial"/>
                <w:b/>
                <w:bCs/>
                <w:color w:val="000000"/>
                <w:lang w:val="mk-MK"/>
              </w:rPr>
            </w:pPr>
            <w:r w:rsidRPr="00CE3053">
              <w:rPr>
                <w:rFonts w:ascii="Arial" w:hAnsi="Arial" w:cs="Arial"/>
                <w:b/>
                <w:bCs/>
                <w:color w:val="000000"/>
                <w:lang w:val="mk-MK"/>
              </w:rPr>
              <w:t>19,843</w:t>
            </w:r>
          </w:p>
        </w:tc>
      </w:tr>
      <w:tr w:rsidR="00F93B95" w:rsidRPr="001E6526" w14:paraId="047116A2" w14:textId="77777777" w:rsidTr="0025712C">
        <w:trPr>
          <w:trHeight w:val="216"/>
        </w:trPr>
        <w:tc>
          <w:tcPr>
            <w:tcW w:w="3347" w:type="dxa"/>
            <w:tcBorders>
              <w:top w:val="single" w:sz="4" w:space="0" w:color="auto"/>
              <w:bottom w:val="double" w:sz="4" w:space="0" w:color="auto"/>
            </w:tcBorders>
            <w:shd w:val="clear" w:color="auto" w:fill="auto"/>
            <w:tcMar>
              <w:left w:w="58" w:type="dxa"/>
              <w:right w:w="58" w:type="dxa"/>
            </w:tcMar>
            <w:vAlign w:val="bottom"/>
          </w:tcPr>
          <w:p w14:paraId="52E4BB8C" w14:textId="7115AABA" w:rsidR="00F93B95" w:rsidRPr="00CE3053" w:rsidRDefault="001464D1" w:rsidP="00F93B95">
            <w:pPr>
              <w:pStyle w:val="TableText"/>
              <w:spacing w:before="0" w:after="0"/>
              <w:rPr>
                <w:rFonts w:ascii="Arial" w:hAnsi="Arial"/>
                <w:b/>
                <w:sz w:val="18"/>
                <w:lang w:val="mk-MK"/>
              </w:rPr>
            </w:pPr>
            <w:proofErr w:type="spellStart"/>
            <w:r w:rsidRPr="001464D1">
              <w:rPr>
                <w:rFonts w:ascii="Arial" w:hAnsi="Arial"/>
                <w:b/>
                <w:sz w:val="18"/>
                <w:lang w:val="mk-MK"/>
              </w:rPr>
              <w:t>At</w:t>
            </w:r>
            <w:proofErr w:type="spellEnd"/>
            <w:r w:rsidRPr="001464D1">
              <w:rPr>
                <w:rFonts w:ascii="Arial" w:hAnsi="Arial"/>
                <w:b/>
                <w:sz w:val="18"/>
                <w:lang w:val="mk-MK"/>
              </w:rPr>
              <w:t xml:space="preserve"> 31 </w:t>
            </w:r>
            <w:proofErr w:type="spellStart"/>
            <w:r w:rsidRPr="001464D1">
              <w:rPr>
                <w:rFonts w:ascii="Arial" w:hAnsi="Arial"/>
                <w:b/>
                <w:sz w:val="18"/>
                <w:lang w:val="mk-MK"/>
              </w:rPr>
              <w:t>December</w:t>
            </w:r>
            <w:proofErr w:type="spellEnd"/>
            <w:r w:rsidRPr="001464D1">
              <w:rPr>
                <w:rFonts w:ascii="Arial" w:hAnsi="Arial"/>
                <w:b/>
                <w:sz w:val="18"/>
                <w:lang w:val="mk-MK"/>
              </w:rPr>
              <w:t xml:space="preserve"> 2021</w:t>
            </w:r>
          </w:p>
        </w:tc>
        <w:tc>
          <w:tcPr>
            <w:tcW w:w="1100" w:type="dxa"/>
            <w:tcBorders>
              <w:top w:val="single" w:sz="4" w:space="0" w:color="auto"/>
              <w:bottom w:val="double" w:sz="4" w:space="0" w:color="auto"/>
            </w:tcBorders>
            <w:shd w:val="clear" w:color="auto" w:fill="auto"/>
            <w:tcMar>
              <w:left w:w="58" w:type="dxa"/>
              <w:right w:w="58" w:type="dxa"/>
            </w:tcMar>
            <w:vAlign w:val="bottom"/>
          </w:tcPr>
          <w:p w14:paraId="2BFBCAE5" w14:textId="1A3F8D8F" w:rsidR="00F93B95" w:rsidRPr="00CE3053" w:rsidRDefault="008B0B4F" w:rsidP="00F93B95">
            <w:pPr>
              <w:spacing w:after="0"/>
              <w:jc w:val="right"/>
              <w:rPr>
                <w:rFonts w:ascii="Arial" w:hAnsi="Arial" w:cs="Arial"/>
                <w:b/>
                <w:bCs/>
                <w:color w:val="000000"/>
                <w:lang w:val="mk-MK"/>
              </w:rPr>
            </w:pPr>
            <w:r w:rsidRPr="00CE3053">
              <w:rPr>
                <w:rFonts w:ascii="Arial" w:hAnsi="Arial" w:cs="Arial"/>
                <w:b/>
                <w:bCs/>
                <w:color w:val="000000"/>
                <w:lang w:val="mk-MK"/>
              </w:rPr>
              <w:t>18,64</w:t>
            </w:r>
            <w:r w:rsidR="007471D7" w:rsidRPr="00CE3053">
              <w:rPr>
                <w:rFonts w:ascii="Arial" w:hAnsi="Arial" w:cs="Arial"/>
                <w:b/>
                <w:bCs/>
                <w:color w:val="000000"/>
                <w:lang w:val="mk-MK"/>
              </w:rPr>
              <w:t>5</w:t>
            </w:r>
          </w:p>
        </w:tc>
        <w:tc>
          <w:tcPr>
            <w:tcW w:w="1127" w:type="dxa"/>
            <w:tcBorders>
              <w:top w:val="single" w:sz="4" w:space="0" w:color="auto"/>
              <w:bottom w:val="double" w:sz="4" w:space="0" w:color="auto"/>
            </w:tcBorders>
            <w:shd w:val="clear" w:color="auto" w:fill="auto"/>
            <w:tcMar>
              <w:left w:w="58" w:type="dxa"/>
              <w:right w:w="58" w:type="dxa"/>
            </w:tcMar>
            <w:vAlign w:val="bottom"/>
          </w:tcPr>
          <w:p w14:paraId="75A36F48" w14:textId="33CD711C" w:rsidR="00F93B95" w:rsidRPr="001E6526" w:rsidRDefault="00CD150D" w:rsidP="00F93B95">
            <w:pPr>
              <w:spacing w:after="0"/>
              <w:jc w:val="right"/>
              <w:rPr>
                <w:rFonts w:ascii="Arial" w:hAnsi="Arial" w:cs="Arial"/>
                <w:b/>
                <w:bCs/>
                <w:color w:val="000000"/>
                <w:lang w:val="mk-MK"/>
              </w:rPr>
            </w:pPr>
            <w:r w:rsidRPr="00CE3053">
              <w:rPr>
                <w:rFonts w:ascii="Arial" w:hAnsi="Arial" w:cs="Arial"/>
                <w:b/>
                <w:bCs/>
                <w:color w:val="000000"/>
                <w:lang w:val="mk-MK"/>
              </w:rPr>
              <w:t>334</w:t>
            </w:r>
          </w:p>
        </w:tc>
        <w:tc>
          <w:tcPr>
            <w:tcW w:w="1042" w:type="dxa"/>
            <w:tcBorders>
              <w:top w:val="single" w:sz="4" w:space="0" w:color="auto"/>
              <w:bottom w:val="double" w:sz="4" w:space="0" w:color="auto"/>
            </w:tcBorders>
            <w:vAlign w:val="bottom"/>
          </w:tcPr>
          <w:p w14:paraId="19F110EC" w14:textId="77777777"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w:t>
            </w:r>
          </w:p>
        </w:tc>
        <w:tc>
          <w:tcPr>
            <w:tcW w:w="1014" w:type="dxa"/>
            <w:tcBorders>
              <w:top w:val="single" w:sz="4" w:space="0" w:color="auto"/>
              <w:bottom w:val="double" w:sz="4" w:space="0" w:color="auto"/>
            </w:tcBorders>
            <w:shd w:val="clear" w:color="auto" w:fill="auto"/>
            <w:tcMar>
              <w:left w:w="58" w:type="dxa"/>
              <w:right w:w="58" w:type="dxa"/>
            </w:tcMar>
            <w:vAlign w:val="bottom"/>
          </w:tcPr>
          <w:p w14:paraId="5022F9A3" w14:textId="0DA51AA2" w:rsidR="00F93B95" w:rsidRPr="001E6526" w:rsidRDefault="00547E43" w:rsidP="00F93B95">
            <w:pPr>
              <w:spacing w:after="0"/>
              <w:jc w:val="right"/>
              <w:rPr>
                <w:rFonts w:ascii="Arial" w:hAnsi="Arial" w:cs="Arial"/>
                <w:b/>
                <w:bCs/>
                <w:color w:val="000000"/>
                <w:lang w:val="mk-MK"/>
              </w:rPr>
            </w:pPr>
            <w:r w:rsidRPr="00CE3053">
              <w:rPr>
                <w:rFonts w:ascii="Arial" w:hAnsi="Arial" w:cs="Arial"/>
                <w:b/>
                <w:bCs/>
                <w:color w:val="000000"/>
                <w:lang w:val="mk-MK"/>
              </w:rPr>
              <w:t>1</w:t>
            </w:r>
            <w:r w:rsidR="00834146" w:rsidRPr="00CE3053">
              <w:rPr>
                <w:rFonts w:ascii="Arial" w:hAnsi="Arial" w:cs="Arial"/>
                <w:b/>
                <w:bCs/>
                <w:color w:val="000000"/>
                <w:lang w:val="mk-MK"/>
              </w:rPr>
              <w:t>22</w:t>
            </w:r>
          </w:p>
        </w:tc>
        <w:tc>
          <w:tcPr>
            <w:tcW w:w="1010" w:type="dxa"/>
            <w:tcBorders>
              <w:top w:val="single" w:sz="4" w:space="0" w:color="auto"/>
              <w:bottom w:val="double" w:sz="4" w:space="0" w:color="auto"/>
            </w:tcBorders>
            <w:shd w:val="clear" w:color="auto" w:fill="auto"/>
            <w:tcMar>
              <w:left w:w="58" w:type="dxa"/>
              <w:right w:w="58" w:type="dxa"/>
            </w:tcMar>
            <w:vAlign w:val="bottom"/>
          </w:tcPr>
          <w:p w14:paraId="68CFBC20" w14:textId="684C4996"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19,</w:t>
            </w:r>
            <w:r w:rsidR="00547E43" w:rsidRPr="00CE3053">
              <w:rPr>
                <w:rFonts w:ascii="Arial" w:hAnsi="Arial" w:cs="Arial"/>
                <w:b/>
                <w:bCs/>
                <w:color w:val="000000"/>
                <w:lang w:val="mk-MK"/>
              </w:rPr>
              <w:t>1</w:t>
            </w:r>
            <w:r w:rsidR="00834146" w:rsidRPr="00CE3053">
              <w:rPr>
                <w:rFonts w:ascii="Arial" w:hAnsi="Arial" w:cs="Arial"/>
                <w:b/>
                <w:bCs/>
                <w:color w:val="000000"/>
                <w:lang w:val="mk-MK"/>
              </w:rPr>
              <w:t>0</w:t>
            </w:r>
            <w:r w:rsidR="007471D7" w:rsidRPr="00CE3053">
              <w:rPr>
                <w:rFonts w:ascii="Arial" w:hAnsi="Arial" w:cs="Arial"/>
                <w:b/>
                <w:bCs/>
                <w:color w:val="000000"/>
                <w:lang w:val="mk-MK"/>
              </w:rPr>
              <w:t>1</w:t>
            </w:r>
          </w:p>
        </w:tc>
      </w:tr>
    </w:tbl>
    <w:p w14:paraId="017DF3C3" w14:textId="77777777" w:rsidR="00F93B95" w:rsidRPr="00CE3053" w:rsidRDefault="00F93B95" w:rsidP="00F93B95">
      <w:pPr>
        <w:pStyle w:val="BodyText"/>
        <w:spacing w:after="0"/>
        <w:rPr>
          <w:rFonts w:ascii="Arial" w:hAnsi="Arial" w:cs="Arial"/>
          <w:lang w:val="mk-MK"/>
        </w:rPr>
      </w:pPr>
    </w:p>
    <w:p w14:paraId="57FD2813" w14:textId="1183ACF6" w:rsidR="00F93B95" w:rsidRPr="00CE3053" w:rsidRDefault="00071372" w:rsidP="00F93B95">
      <w:pPr>
        <w:pStyle w:val="BodyText"/>
        <w:rPr>
          <w:rFonts w:ascii="Arial" w:hAnsi="Arial" w:cs="Arial"/>
          <w:lang w:val="mk-MK"/>
        </w:rPr>
      </w:pPr>
      <w:proofErr w:type="spellStart"/>
      <w:r w:rsidRPr="00071372">
        <w:rPr>
          <w:rFonts w:ascii="Arial" w:hAnsi="Arial" w:cs="Arial"/>
          <w:lang w:val="mk-MK"/>
        </w:rPr>
        <w:t>December</w:t>
      </w:r>
      <w:proofErr w:type="spellEnd"/>
      <w:r w:rsidRPr="00071372">
        <w:rPr>
          <w:rFonts w:ascii="Arial" w:hAnsi="Arial" w:cs="Arial"/>
          <w:lang w:val="mk-MK"/>
        </w:rPr>
        <w:t xml:space="preserve"> 202</w:t>
      </w:r>
      <w:r>
        <w:rPr>
          <w:rFonts w:ascii="Arial" w:hAnsi="Arial" w:cs="Arial"/>
          <w:lang w:val="en-US"/>
        </w:rPr>
        <w:t>1</w:t>
      </w:r>
      <w:r w:rsidRPr="00071372">
        <w:rPr>
          <w:rFonts w:ascii="Arial" w:hAnsi="Arial" w:cs="Arial"/>
          <w:lang w:val="mk-MK"/>
        </w:rPr>
        <w:t xml:space="preserve"> </w:t>
      </w:r>
      <w:proofErr w:type="spellStart"/>
      <w:r w:rsidRPr="00071372">
        <w:rPr>
          <w:rFonts w:ascii="Arial" w:hAnsi="Arial" w:cs="Arial"/>
          <w:lang w:val="mk-MK"/>
        </w:rPr>
        <w:t>and</w:t>
      </w:r>
      <w:proofErr w:type="spellEnd"/>
      <w:r w:rsidRPr="00071372">
        <w:rPr>
          <w:rFonts w:ascii="Arial" w:hAnsi="Arial" w:cs="Arial"/>
          <w:lang w:val="mk-MK"/>
        </w:rPr>
        <w:t xml:space="preserve"> 20</w:t>
      </w:r>
      <w:r>
        <w:rPr>
          <w:rFonts w:ascii="Arial" w:hAnsi="Arial" w:cs="Arial"/>
          <w:lang w:val="en-US"/>
        </w:rPr>
        <w:t>20</w:t>
      </w:r>
      <w:r w:rsidRPr="00071372">
        <w:rPr>
          <w:rFonts w:ascii="Arial" w:hAnsi="Arial" w:cs="Arial"/>
          <w:lang w:val="mk-MK"/>
        </w:rPr>
        <w:t xml:space="preserve">, </w:t>
      </w:r>
      <w:proofErr w:type="spellStart"/>
      <w:r w:rsidRPr="00071372">
        <w:rPr>
          <w:rFonts w:ascii="Arial" w:hAnsi="Arial" w:cs="Arial"/>
          <w:lang w:val="mk-MK"/>
        </w:rPr>
        <w:t>all</w:t>
      </w:r>
      <w:proofErr w:type="spellEnd"/>
      <w:r w:rsidRPr="00071372">
        <w:rPr>
          <w:rFonts w:ascii="Arial" w:hAnsi="Arial" w:cs="Arial"/>
          <w:lang w:val="mk-MK"/>
        </w:rPr>
        <w:t xml:space="preserve"> </w:t>
      </w:r>
      <w:proofErr w:type="spellStart"/>
      <w:r w:rsidRPr="00071372">
        <w:rPr>
          <w:rFonts w:ascii="Arial" w:hAnsi="Arial" w:cs="Arial"/>
          <w:lang w:val="mk-MK"/>
        </w:rPr>
        <w:t>property</w:t>
      </w:r>
      <w:proofErr w:type="spellEnd"/>
      <w:r w:rsidRPr="00071372">
        <w:rPr>
          <w:rFonts w:ascii="Arial" w:hAnsi="Arial" w:cs="Arial"/>
          <w:lang w:val="mk-MK"/>
        </w:rPr>
        <w:t xml:space="preserve"> </w:t>
      </w:r>
      <w:proofErr w:type="spellStart"/>
      <w:r w:rsidRPr="00071372">
        <w:rPr>
          <w:rFonts w:ascii="Arial" w:hAnsi="Arial" w:cs="Arial"/>
          <w:lang w:val="mk-MK"/>
        </w:rPr>
        <w:t>and</w:t>
      </w:r>
      <w:proofErr w:type="spellEnd"/>
      <w:r w:rsidRPr="00071372">
        <w:rPr>
          <w:rFonts w:ascii="Arial" w:hAnsi="Arial" w:cs="Arial"/>
          <w:lang w:val="mk-MK"/>
        </w:rPr>
        <w:t xml:space="preserve"> </w:t>
      </w:r>
      <w:proofErr w:type="spellStart"/>
      <w:r w:rsidRPr="00071372">
        <w:rPr>
          <w:rFonts w:ascii="Arial" w:hAnsi="Arial" w:cs="Arial"/>
          <w:lang w:val="mk-MK"/>
        </w:rPr>
        <w:t>equipment</w:t>
      </w:r>
      <w:proofErr w:type="spellEnd"/>
      <w:r w:rsidRPr="00071372">
        <w:rPr>
          <w:rFonts w:ascii="Arial" w:hAnsi="Arial" w:cs="Arial"/>
          <w:lang w:val="mk-MK"/>
        </w:rPr>
        <w:t xml:space="preserve"> </w:t>
      </w:r>
      <w:proofErr w:type="spellStart"/>
      <w:r w:rsidRPr="00071372">
        <w:rPr>
          <w:rFonts w:ascii="Arial" w:hAnsi="Arial" w:cs="Arial"/>
          <w:lang w:val="mk-MK"/>
        </w:rPr>
        <w:t>are</w:t>
      </w:r>
      <w:proofErr w:type="spellEnd"/>
      <w:r w:rsidRPr="00071372">
        <w:rPr>
          <w:rFonts w:ascii="Arial" w:hAnsi="Arial" w:cs="Arial"/>
          <w:lang w:val="mk-MK"/>
        </w:rPr>
        <w:t xml:space="preserve"> </w:t>
      </w:r>
      <w:proofErr w:type="spellStart"/>
      <w:r w:rsidRPr="00071372">
        <w:rPr>
          <w:rFonts w:ascii="Arial" w:hAnsi="Arial" w:cs="Arial"/>
          <w:lang w:val="mk-MK"/>
        </w:rPr>
        <w:t>owned</w:t>
      </w:r>
      <w:proofErr w:type="spellEnd"/>
      <w:r w:rsidRPr="00071372">
        <w:rPr>
          <w:rFonts w:ascii="Arial" w:hAnsi="Arial" w:cs="Arial"/>
          <w:lang w:val="mk-MK"/>
        </w:rPr>
        <w:t xml:space="preserve"> </w:t>
      </w:r>
      <w:proofErr w:type="spellStart"/>
      <w:r w:rsidRPr="00071372">
        <w:rPr>
          <w:rFonts w:ascii="Arial" w:hAnsi="Arial" w:cs="Arial"/>
          <w:lang w:val="mk-MK"/>
        </w:rPr>
        <w:t>by</w:t>
      </w:r>
      <w:proofErr w:type="spellEnd"/>
      <w:r w:rsidRPr="00071372">
        <w:rPr>
          <w:rFonts w:ascii="Arial" w:hAnsi="Arial" w:cs="Arial"/>
          <w:lang w:val="mk-MK"/>
        </w:rPr>
        <w:t xml:space="preserve"> </w:t>
      </w:r>
      <w:proofErr w:type="spellStart"/>
      <w:r w:rsidRPr="00071372">
        <w:rPr>
          <w:rFonts w:ascii="Arial" w:hAnsi="Arial" w:cs="Arial"/>
          <w:lang w:val="mk-MK"/>
        </w:rPr>
        <w:t>the</w:t>
      </w:r>
      <w:proofErr w:type="spellEnd"/>
      <w:r w:rsidRPr="00071372">
        <w:rPr>
          <w:rFonts w:ascii="Arial" w:hAnsi="Arial" w:cs="Arial"/>
          <w:lang w:val="mk-MK"/>
        </w:rPr>
        <w:t xml:space="preserve"> </w:t>
      </w:r>
      <w:proofErr w:type="spellStart"/>
      <w:r w:rsidRPr="00071372">
        <w:rPr>
          <w:rFonts w:ascii="Arial" w:hAnsi="Arial" w:cs="Arial"/>
          <w:lang w:val="mk-MK"/>
        </w:rPr>
        <w:t>Fund</w:t>
      </w:r>
      <w:proofErr w:type="spellEnd"/>
      <w:r w:rsidRPr="00071372">
        <w:rPr>
          <w:rFonts w:ascii="Arial" w:hAnsi="Arial" w:cs="Arial"/>
          <w:lang w:val="mk-MK"/>
        </w:rPr>
        <w:t xml:space="preserve">. </w:t>
      </w:r>
      <w:proofErr w:type="spellStart"/>
      <w:r w:rsidRPr="00071372">
        <w:rPr>
          <w:rFonts w:ascii="Arial" w:hAnsi="Arial" w:cs="Arial"/>
          <w:lang w:val="mk-MK"/>
        </w:rPr>
        <w:t>The</w:t>
      </w:r>
      <w:proofErr w:type="spellEnd"/>
      <w:r w:rsidRPr="00071372">
        <w:rPr>
          <w:rFonts w:ascii="Arial" w:hAnsi="Arial" w:cs="Arial"/>
          <w:lang w:val="mk-MK"/>
        </w:rPr>
        <w:t xml:space="preserve"> </w:t>
      </w:r>
      <w:proofErr w:type="spellStart"/>
      <w:r w:rsidRPr="00071372">
        <w:rPr>
          <w:rFonts w:ascii="Arial" w:hAnsi="Arial" w:cs="Arial"/>
          <w:lang w:val="mk-MK"/>
        </w:rPr>
        <w:t>Fund</w:t>
      </w:r>
      <w:proofErr w:type="spellEnd"/>
      <w:r w:rsidRPr="00071372">
        <w:rPr>
          <w:rFonts w:ascii="Arial" w:hAnsi="Arial" w:cs="Arial"/>
          <w:lang w:val="mk-MK"/>
        </w:rPr>
        <w:t xml:space="preserve"> </w:t>
      </w:r>
      <w:proofErr w:type="spellStart"/>
      <w:r w:rsidRPr="00071372">
        <w:rPr>
          <w:rFonts w:ascii="Arial" w:hAnsi="Arial" w:cs="Arial"/>
          <w:lang w:val="mk-MK"/>
        </w:rPr>
        <w:t>has</w:t>
      </w:r>
      <w:proofErr w:type="spellEnd"/>
      <w:r w:rsidRPr="00071372">
        <w:rPr>
          <w:rFonts w:ascii="Arial" w:hAnsi="Arial" w:cs="Arial"/>
          <w:lang w:val="mk-MK"/>
        </w:rPr>
        <w:t xml:space="preserve"> </w:t>
      </w:r>
      <w:proofErr w:type="spellStart"/>
      <w:r w:rsidRPr="00071372">
        <w:rPr>
          <w:rFonts w:ascii="Arial" w:hAnsi="Arial" w:cs="Arial"/>
          <w:lang w:val="mk-MK"/>
        </w:rPr>
        <w:t>no</w:t>
      </w:r>
      <w:proofErr w:type="spellEnd"/>
      <w:r w:rsidRPr="00071372">
        <w:rPr>
          <w:rFonts w:ascii="Arial" w:hAnsi="Arial" w:cs="Arial"/>
          <w:lang w:val="mk-MK"/>
        </w:rPr>
        <w:t xml:space="preserve"> </w:t>
      </w:r>
      <w:proofErr w:type="spellStart"/>
      <w:r w:rsidRPr="00071372">
        <w:rPr>
          <w:rFonts w:ascii="Arial" w:hAnsi="Arial" w:cs="Arial"/>
          <w:lang w:val="mk-MK"/>
        </w:rPr>
        <w:t>mortgages</w:t>
      </w:r>
      <w:proofErr w:type="spellEnd"/>
      <w:r w:rsidRPr="00071372">
        <w:rPr>
          <w:rFonts w:ascii="Arial" w:hAnsi="Arial" w:cs="Arial"/>
          <w:lang w:val="mk-MK"/>
        </w:rPr>
        <w:t xml:space="preserve"> </w:t>
      </w:r>
      <w:proofErr w:type="spellStart"/>
      <w:r w:rsidRPr="00071372">
        <w:rPr>
          <w:rFonts w:ascii="Arial" w:hAnsi="Arial" w:cs="Arial"/>
          <w:lang w:val="mk-MK"/>
        </w:rPr>
        <w:t>or</w:t>
      </w:r>
      <w:proofErr w:type="spellEnd"/>
      <w:r w:rsidRPr="00071372">
        <w:rPr>
          <w:rFonts w:ascii="Arial" w:hAnsi="Arial" w:cs="Arial"/>
          <w:lang w:val="mk-MK"/>
        </w:rPr>
        <w:t xml:space="preserve"> </w:t>
      </w:r>
      <w:proofErr w:type="spellStart"/>
      <w:r w:rsidRPr="00071372">
        <w:rPr>
          <w:rFonts w:ascii="Arial" w:hAnsi="Arial" w:cs="Arial"/>
          <w:lang w:val="mk-MK"/>
        </w:rPr>
        <w:t>other</w:t>
      </w:r>
      <w:proofErr w:type="spellEnd"/>
      <w:r w:rsidRPr="00071372">
        <w:rPr>
          <w:rFonts w:ascii="Arial" w:hAnsi="Arial" w:cs="Arial"/>
          <w:lang w:val="mk-MK"/>
        </w:rPr>
        <w:t xml:space="preserve"> </w:t>
      </w:r>
      <w:proofErr w:type="spellStart"/>
      <w:r w:rsidRPr="00071372">
        <w:rPr>
          <w:rFonts w:ascii="Arial" w:hAnsi="Arial" w:cs="Arial"/>
          <w:lang w:val="mk-MK"/>
        </w:rPr>
        <w:t>encumbrances</w:t>
      </w:r>
      <w:proofErr w:type="spellEnd"/>
      <w:r w:rsidRPr="00071372">
        <w:rPr>
          <w:rFonts w:ascii="Arial" w:hAnsi="Arial" w:cs="Arial"/>
          <w:lang w:val="mk-MK"/>
        </w:rPr>
        <w:t xml:space="preserve"> </w:t>
      </w:r>
      <w:proofErr w:type="spellStart"/>
      <w:r w:rsidRPr="00071372">
        <w:rPr>
          <w:rFonts w:ascii="Arial" w:hAnsi="Arial" w:cs="Arial"/>
          <w:lang w:val="mk-MK"/>
        </w:rPr>
        <w:t>over</w:t>
      </w:r>
      <w:proofErr w:type="spellEnd"/>
      <w:r w:rsidRPr="00071372">
        <w:rPr>
          <w:rFonts w:ascii="Arial" w:hAnsi="Arial" w:cs="Arial"/>
          <w:lang w:val="mk-MK"/>
        </w:rPr>
        <w:t xml:space="preserve"> </w:t>
      </w:r>
      <w:proofErr w:type="spellStart"/>
      <w:r w:rsidRPr="00071372">
        <w:rPr>
          <w:rFonts w:ascii="Arial" w:hAnsi="Arial" w:cs="Arial"/>
          <w:lang w:val="mk-MK"/>
        </w:rPr>
        <w:t>its</w:t>
      </w:r>
      <w:proofErr w:type="spellEnd"/>
      <w:r w:rsidRPr="00071372">
        <w:rPr>
          <w:rFonts w:ascii="Arial" w:hAnsi="Arial" w:cs="Arial"/>
          <w:lang w:val="mk-MK"/>
        </w:rPr>
        <w:t xml:space="preserve"> </w:t>
      </w:r>
      <w:proofErr w:type="spellStart"/>
      <w:r w:rsidRPr="00071372">
        <w:rPr>
          <w:rFonts w:ascii="Arial" w:hAnsi="Arial" w:cs="Arial"/>
          <w:lang w:val="mk-MK"/>
        </w:rPr>
        <w:t>property</w:t>
      </w:r>
      <w:proofErr w:type="spellEnd"/>
      <w:r w:rsidRPr="00071372">
        <w:rPr>
          <w:rFonts w:ascii="Arial" w:hAnsi="Arial" w:cs="Arial"/>
          <w:lang w:val="mk-MK"/>
        </w:rPr>
        <w:t xml:space="preserve"> </w:t>
      </w:r>
      <w:proofErr w:type="spellStart"/>
      <w:r w:rsidRPr="00071372">
        <w:rPr>
          <w:rFonts w:ascii="Arial" w:hAnsi="Arial" w:cs="Arial"/>
          <w:lang w:val="mk-MK"/>
        </w:rPr>
        <w:t>and</w:t>
      </w:r>
      <w:proofErr w:type="spellEnd"/>
      <w:r w:rsidRPr="00071372">
        <w:rPr>
          <w:rFonts w:ascii="Arial" w:hAnsi="Arial" w:cs="Arial"/>
          <w:lang w:val="mk-MK"/>
        </w:rPr>
        <w:t xml:space="preserve"> </w:t>
      </w:r>
      <w:proofErr w:type="spellStart"/>
      <w:r w:rsidRPr="00071372">
        <w:rPr>
          <w:rFonts w:ascii="Arial" w:hAnsi="Arial" w:cs="Arial"/>
          <w:lang w:val="mk-MK"/>
        </w:rPr>
        <w:t>equipment</w:t>
      </w:r>
      <w:proofErr w:type="spellEnd"/>
      <w:r w:rsidRPr="00071372">
        <w:rPr>
          <w:rFonts w:ascii="Arial" w:hAnsi="Arial" w:cs="Arial"/>
          <w:lang w:val="mk-MK"/>
        </w:rPr>
        <w:t>.</w:t>
      </w:r>
    </w:p>
    <w:p w14:paraId="166B133F" w14:textId="24CE1ACD" w:rsidR="0087627A" w:rsidRPr="00CE3053" w:rsidRDefault="0087627A" w:rsidP="00F93B95">
      <w:pPr>
        <w:pStyle w:val="BodyText"/>
        <w:rPr>
          <w:rFonts w:ascii="Arial" w:hAnsi="Arial" w:cs="Arial"/>
          <w:lang w:val="mk-MK"/>
        </w:rPr>
      </w:pPr>
    </w:p>
    <w:p w14:paraId="11E6E5D2" w14:textId="1A20EE39" w:rsidR="0087627A" w:rsidRPr="00CE3053" w:rsidRDefault="0087627A" w:rsidP="00F93B95">
      <w:pPr>
        <w:pStyle w:val="BodyText"/>
        <w:rPr>
          <w:rFonts w:ascii="Arial" w:hAnsi="Arial" w:cs="Arial"/>
          <w:lang w:val="mk-MK"/>
        </w:rPr>
      </w:pPr>
    </w:p>
    <w:p w14:paraId="7C5FD05A" w14:textId="77777777" w:rsidR="00456E84" w:rsidRPr="00CE3053" w:rsidRDefault="00456E84" w:rsidP="00F93B95">
      <w:pPr>
        <w:pStyle w:val="BodyText"/>
        <w:rPr>
          <w:rFonts w:ascii="Arial" w:hAnsi="Arial" w:cs="Arial"/>
          <w:lang w:val="mk-MK"/>
        </w:rPr>
      </w:pPr>
    </w:p>
    <w:p w14:paraId="3B6147A8" w14:textId="1E06C56F" w:rsidR="00FB340D" w:rsidRPr="00CE3053" w:rsidRDefault="00FB340D" w:rsidP="00F93B95">
      <w:pPr>
        <w:pStyle w:val="BodyText"/>
        <w:rPr>
          <w:rFonts w:ascii="Arial" w:hAnsi="Arial" w:cs="Arial"/>
          <w:lang w:val="mk-MK"/>
        </w:rPr>
      </w:pPr>
    </w:p>
    <w:tbl>
      <w:tblPr>
        <w:tblW w:w="8640" w:type="dxa"/>
        <w:tblInd w:w="86" w:type="dxa"/>
        <w:tblLook w:val="01E0" w:firstRow="1" w:lastRow="1" w:firstColumn="1" w:lastColumn="1" w:noHBand="0" w:noVBand="0"/>
      </w:tblPr>
      <w:tblGrid>
        <w:gridCol w:w="4102"/>
        <w:gridCol w:w="1151"/>
        <w:gridCol w:w="1146"/>
        <w:gridCol w:w="1121"/>
        <w:gridCol w:w="1120"/>
      </w:tblGrid>
      <w:tr w:rsidR="00F30EF8" w:rsidRPr="001E6526" w14:paraId="79C29885" w14:textId="77777777" w:rsidTr="001543D0">
        <w:trPr>
          <w:trHeight w:val="216"/>
        </w:trPr>
        <w:tc>
          <w:tcPr>
            <w:tcW w:w="4102" w:type="dxa"/>
            <w:shd w:val="clear" w:color="auto" w:fill="auto"/>
            <w:tcMar>
              <w:left w:w="58" w:type="dxa"/>
              <w:right w:w="58" w:type="dxa"/>
            </w:tcMar>
            <w:vAlign w:val="bottom"/>
          </w:tcPr>
          <w:p w14:paraId="2C959A40" w14:textId="4C69DFF3" w:rsidR="00F30EF8" w:rsidRPr="001E6526" w:rsidRDefault="00F30EF8" w:rsidP="00F30EF8">
            <w:pPr>
              <w:pStyle w:val="NumberedHeading1"/>
              <w:numPr>
                <w:ilvl w:val="0"/>
                <w:numId w:val="0"/>
              </w:numPr>
              <w:spacing w:before="0" w:after="0" w:line="260" w:lineRule="atLeast"/>
              <w:rPr>
                <w:rFonts w:ascii="Arial" w:hAnsi="Arial" w:cs="Arial"/>
                <w:b/>
                <w:color w:val="4F2D7F"/>
                <w:sz w:val="18"/>
                <w:lang w:val="mk-MK"/>
              </w:rPr>
            </w:pPr>
          </w:p>
        </w:tc>
        <w:tc>
          <w:tcPr>
            <w:tcW w:w="4538" w:type="dxa"/>
            <w:gridSpan w:val="4"/>
            <w:shd w:val="clear" w:color="auto" w:fill="auto"/>
            <w:tcMar>
              <w:left w:w="58" w:type="dxa"/>
              <w:right w:w="58" w:type="dxa"/>
            </w:tcMar>
            <w:vAlign w:val="bottom"/>
          </w:tcPr>
          <w:p w14:paraId="4C47CE4F" w14:textId="3E388AA7" w:rsidR="00F30EF8" w:rsidRPr="00CE3053" w:rsidRDefault="00F30EF8" w:rsidP="00F93B95">
            <w:pPr>
              <w:pStyle w:val="TableText"/>
              <w:spacing w:after="0"/>
              <w:jc w:val="right"/>
              <w:rPr>
                <w:rFonts w:ascii="Arial" w:hAnsi="Arial"/>
                <w:sz w:val="18"/>
                <w:lang w:val="mk-MK"/>
              </w:rPr>
            </w:pPr>
          </w:p>
        </w:tc>
      </w:tr>
      <w:tr w:rsidR="00F93B95" w:rsidRPr="001E6526" w14:paraId="1FFA0C46" w14:textId="77777777" w:rsidTr="0025712C">
        <w:trPr>
          <w:trHeight w:val="216"/>
        </w:trPr>
        <w:tc>
          <w:tcPr>
            <w:tcW w:w="4102" w:type="dxa"/>
            <w:shd w:val="clear" w:color="auto" w:fill="auto"/>
            <w:tcMar>
              <w:left w:w="58" w:type="dxa"/>
              <w:right w:w="58" w:type="dxa"/>
            </w:tcMar>
            <w:vAlign w:val="bottom"/>
          </w:tcPr>
          <w:p w14:paraId="1BB1A457" w14:textId="43DDA0E5" w:rsidR="00F93B95" w:rsidRPr="00CE3053" w:rsidRDefault="00071372" w:rsidP="006E26B2">
            <w:pPr>
              <w:pStyle w:val="NumberedHeading1"/>
              <w:numPr>
                <w:ilvl w:val="0"/>
                <w:numId w:val="22"/>
              </w:numPr>
              <w:spacing w:before="0" w:after="0" w:line="260" w:lineRule="atLeast"/>
              <w:rPr>
                <w:rFonts w:ascii="Arial" w:hAnsi="Arial"/>
                <w:b/>
                <w:sz w:val="18"/>
                <w:lang w:val="mk-MK"/>
              </w:rPr>
            </w:pPr>
            <w:r>
              <w:rPr>
                <w:rFonts w:ascii="Arial" w:hAnsi="Arial" w:cs="Arial"/>
                <w:b/>
                <w:color w:val="4F2D7F"/>
                <w:sz w:val="18"/>
                <w:lang w:val="en-US"/>
              </w:rPr>
              <w:t>Intangible assets</w:t>
            </w:r>
          </w:p>
        </w:tc>
        <w:tc>
          <w:tcPr>
            <w:tcW w:w="1151" w:type="dxa"/>
            <w:shd w:val="clear" w:color="auto" w:fill="auto"/>
            <w:tcMar>
              <w:left w:w="58" w:type="dxa"/>
              <w:right w:w="58" w:type="dxa"/>
            </w:tcMar>
            <w:vAlign w:val="bottom"/>
          </w:tcPr>
          <w:p w14:paraId="08FA51FC" w14:textId="77777777" w:rsidR="00F93B95" w:rsidRPr="00CE3053" w:rsidRDefault="00F93B95" w:rsidP="00F93B95">
            <w:pPr>
              <w:pStyle w:val="TableText"/>
              <w:spacing w:after="0"/>
              <w:jc w:val="right"/>
              <w:rPr>
                <w:rFonts w:ascii="Arial" w:hAnsi="Arial"/>
                <w:b/>
                <w:sz w:val="18"/>
                <w:lang w:val="mk-MK"/>
              </w:rPr>
            </w:pPr>
          </w:p>
        </w:tc>
        <w:tc>
          <w:tcPr>
            <w:tcW w:w="1146" w:type="dxa"/>
            <w:shd w:val="clear" w:color="auto" w:fill="auto"/>
            <w:tcMar>
              <w:left w:w="58" w:type="dxa"/>
              <w:right w:w="58" w:type="dxa"/>
            </w:tcMar>
            <w:vAlign w:val="bottom"/>
          </w:tcPr>
          <w:p w14:paraId="0627E2C1" w14:textId="77777777" w:rsidR="00F93B95" w:rsidRPr="00CE3053" w:rsidRDefault="00F93B95" w:rsidP="00F93B95">
            <w:pPr>
              <w:pStyle w:val="TableText"/>
              <w:spacing w:after="0"/>
              <w:jc w:val="right"/>
              <w:rPr>
                <w:rFonts w:ascii="Arial" w:hAnsi="Arial"/>
                <w:b/>
                <w:sz w:val="18"/>
                <w:lang w:val="mk-MK"/>
              </w:rPr>
            </w:pPr>
          </w:p>
        </w:tc>
        <w:tc>
          <w:tcPr>
            <w:tcW w:w="1121" w:type="dxa"/>
            <w:shd w:val="clear" w:color="auto" w:fill="auto"/>
            <w:tcMar>
              <w:left w:w="58" w:type="dxa"/>
              <w:right w:w="58" w:type="dxa"/>
            </w:tcMar>
            <w:vAlign w:val="bottom"/>
          </w:tcPr>
          <w:p w14:paraId="4332AE0D" w14:textId="77777777" w:rsidR="00F93B95" w:rsidRPr="00CE3053" w:rsidRDefault="00F93B95" w:rsidP="00F93B95">
            <w:pPr>
              <w:pStyle w:val="TableText"/>
              <w:spacing w:after="0"/>
              <w:jc w:val="right"/>
              <w:rPr>
                <w:rFonts w:ascii="Arial" w:hAnsi="Arial"/>
                <w:b/>
                <w:sz w:val="18"/>
                <w:lang w:val="mk-MK"/>
              </w:rPr>
            </w:pPr>
          </w:p>
        </w:tc>
        <w:tc>
          <w:tcPr>
            <w:tcW w:w="1120" w:type="dxa"/>
            <w:shd w:val="clear" w:color="auto" w:fill="auto"/>
            <w:tcMar>
              <w:left w:w="58" w:type="dxa"/>
              <w:right w:w="58" w:type="dxa"/>
            </w:tcMar>
            <w:vAlign w:val="bottom"/>
          </w:tcPr>
          <w:p w14:paraId="0A4BFB72" w14:textId="2D81FE9F" w:rsidR="00F93B95" w:rsidRPr="00CE3053" w:rsidRDefault="00F93B95" w:rsidP="00F93B95">
            <w:pPr>
              <w:pStyle w:val="TableText"/>
              <w:spacing w:after="0"/>
              <w:jc w:val="right"/>
              <w:rPr>
                <w:rFonts w:ascii="Arial" w:hAnsi="Arial"/>
                <w:bCs/>
                <w:sz w:val="18"/>
                <w:lang w:val="mk-MK"/>
              </w:rPr>
            </w:pPr>
          </w:p>
        </w:tc>
      </w:tr>
      <w:tr w:rsidR="00AB4AE5" w:rsidRPr="001E6526" w14:paraId="49950861" w14:textId="77777777" w:rsidTr="0025712C">
        <w:trPr>
          <w:trHeight w:val="216"/>
        </w:trPr>
        <w:tc>
          <w:tcPr>
            <w:tcW w:w="4102" w:type="dxa"/>
            <w:shd w:val="clear" w:color="auto" w:fill="auto"/>
            <w:tcMar>
              <w:left w:w="58" w:type="dxa"/>
              <w:right w:w="58" w:type="dxa"/>
            </w:tcMar>
            <w:vAlign w:val="bottom"/>
          </w:tcPr>
          <w:p w14:paraId="48E39FAE" w14:textId="77777777" w:rsidR="00AB4AE5" w:rsidRPr="00CE3053" w:rsidRDefault="00AB4AE5" w:rsidP="00F93B95">
            <w:pPr>
              <w:pStyle w:val="TableText"/>
              <w:spacing w:before="0" w:after="0"/>
              <w:rPr>
                <w:rFonts w:ascii="Arial" w:hAnsi="Arial"/>
                <w:b/>
                <w:sz w:val="18"/>
                <w:lang w:val="mk-MK"/>
              </w:rPr>
            </w:pPr>
          </w:p>
        </w:tc>
        <w:tc>
          <w:tcPr>
            <w:tcW w:w="1151" w:type="dxa"/>
            <w:shd w:val="clear" w:color="auto" w:fill="auto"/>
            <w:tcMar>
              <w:left w:w="58" w:type="dxa"/>
              <w:right w:w="58" w:type="dxa"/>
            </w:tcMar>
            <w:vAlign w:val="bottom"/>
          </w:tcPr>
          <w:p w14:paraId="5F71C0AF" w14:textId="77777777" w:rsidR="00AB4AE5" w:rsidRPr="00CE3053" w:rsidRDefault="00AB4AE5" w:rsidP="00F93B95">
            <w:pPr>
              <w:pStyle w:val="TableText"/>
              <w:spacing w:before="0" w:after="0"/>
              <w:jc w:val="right"/>
              <w:rPr>
                <w:rFonts w:ascii="Arial" w:hAnsi="Arial"/>
                <w:b/>
                <w:sz w:val="18"/>
                <w:lang w:val="mk-MK"/>
              </w:rPr>
            </w:pPr>
          </w:p>
        </w:tc>
        <w:tc>
          <w:tcPr>
            <w:tcW w:w="1146" w:type="dxa"/>
            <w:shd w:val="clear" w:color="auto" w:fill="auto"/>
            <w:tcMar>
              <w:left w:w="58" w:type="dxa"/>
              <w:right w:w="58" w:type="dxa"/>
            </w:tcMar>
            <w:vAlign w:val="bottom"/>
          </w:tcPr>
          <w:p w14:paraId="29F9D7B0" w14:textId="77777777" w:rsidR="00AB4AE5" w:rsidRPr="00CE3053" w:rsidRDefault="00AB4AE5" w:rsidP="00F93B95">
            <w:pPr>
              <w:pStyle w:val="TableText"/>
              <w:spacing w:before="0" w:after="0"/>
              <w:jc w:val="right"/>
              <w:rPr>
                <w:rFonts w:ascii="Arial" w:hAnsi="Arial"/>
                <w:b/>
                <w:sz w:val="18"/>
                <w:lang w:val="mk-MK"/>
              </w:rPr>
            </w:pPr>
          </w:p>
        </w:tc>
        <w:tc>
          <w:tcPr>
            <w:tcW w:w="1121" w:type="dxa"/>
            <w:shd w:val="clear" w:color="auto" w:fill="auto"/>
            <w:tcMar>
              <w:left w:w="58" w:type="dxa"/>
              <w:right w:w="58" w:type="dxa"/>
            </w:tcMar>
            <w:vAlign w:val="bottom"/>
          </w:tcPr>
          <w:p w14:paraId="70D433CE" w14:textId="77777777" w:rsidR="00AB4AE5" w:rsidRPr="00CE3053" w:rsidRDefault="00AB4AE5" w:rsidP="00F93B95">
            <w:pPr>
              <w:pStyle w:val="TableText"/>
              <w:spacing w:before="0" w:after="0"/>
              <w:jc w:val="right"/>
              <w:rPr>
                <w:rFonts w:ascii="Arial" w:hAnsi="Arial"/>
                <w:b/>
                <w:sz w:val="18"/>
                <w:lang w:val="mk-MK"/>
              </w:rPr>
            </w:pPr>
          </w:p>
        </w:tc>
        <w:tc>
          <w:tcPr>
            <w:tcW w:w="1120" w:type="dxa"/>
            <w:shd w:val="clear" w:color="auto" w:fill="auto"/>
            <w:tcMar>
              <w:left w:w="58" w:type="dxa"/>
              <w:right w:w="58" w:type="dxa"/>
            </w:tcMar>
            <w:vAlign w:val="bottom"/>
          </w:tcPr>
          <w:p w14:paraId="17D460DF" w14:textId="368CFFB6" w:rsidR="00AB4AE5" w:rsidRPr="00CE3053" w:rsidRDefault="00AB4AE5" w:rsidP="00F93B95">
            <w:pPr>
              <w:pStyle w:val="TableText"/>
              <w:spacing w:before="0" w:after="0"/>
              <w:jc w:val="right"/>
              <w:rPr>
                <w:rFonts w:ascii="Arial" w:hAnsi="Arial"/>
                <w:bCs/>
                <w:sz w:val="18"/>
                <w:lang w:val="mk-MK"/>
              </w:rPr>
            </w:pPr>
            <w:r w:rsidRPr="00CE3053">
              <w:rPr>
                <w:rFonts w:ascii="Arial" w:hAnsi="Arial"/>
                <w:sz w:val="18"/>
                <w:lang w:val="mk-MK"/>
              </w:rPr>
              <w:t xml:space="preserve">(000 </w:t>
            </w:r>
            <w:proofErr w:type="spellStart"/>
            <w:r w:rsidR="00071372">
              <w:rPr>
                <w:rFonts w:ascii="Arial" w:hAnsi="Arial"/>
                <w:sz w:val="18"/>
                <w:lang w:val="en-US"/>
              </w:rPr>
              <w:t>mkd</w:t>
            </w:r>
            <w:proofErr w:type="spellEnd"/>
            <w:r w:rsidRPr="00CE3053">
              <w:rPr>
                <w:rFonts w:ascii="Arial" w:hAnsi="Arial"/>
                <w:sz w:val="18"/>
                <w:lang w:val="mk-MK"/>
              </w:rPr>
              <w:t>)</w:t>
            </w:r>
          </w:p>
        </w:tc>
      </w:tr>
      <w:tr w:rsidR="00F93B95" w:rsidRPr="001E6526" w14:paraId="2425A787" w14:textId="77777777" w:rsidTr="0025712C">
        <w:trPr>
          <w:trHeight w:val="216"/>
        </w:trPr>
        <w:tc>
          <w:tcPr>
            <w:tcW w:w="4102" w:type="dxa"/>
            <w:shd w:val="clear" w:color="auto" w:fill="auto"/>
            <w:tcMar>
              <w:left w:w="58" w:type="dxa"/>
              <w:right w:w="58" w:type="dxa"/>
            </w:tcMar>
            <w:vAlign w:val="bottom"/>
          </w:tcPr>
          <w:p w14:paraId="56B59453" w14:textId="77777777" w:rsidR="00F93B95" w:rsidRPr="00CE3053" w:rsidRDefault="00F93B95" w:rsidP="00F93B95">
            <w:pPr>
              <w:pStyle w:val="TableText"/>
              <w:spacing w:before="0" w:after="0"/>
              <w:rPr>
                <w:rFonts w:ascii="Arial" w:hAnsi="Arial"/>
                <w:b/>
                <w:sz w:val="18"/>
                <w:lang w:val="mk-MK"/>
              </w:rPr>
            </w:pPr>
          </w:p>
        </w:tc>
        <w:tc>
          <w:tcPr>
            <w:tcW w:w="1151" w:type="dxa"/>
            <w:shd w:val="clear" w:color="auto" w:fill="auto"/>
            <w:tcMar>
              <w:left w:w="58" w:type="dxa"/>
              <w:right w:w="58" w:type="dxa"/>
            </w:tcMar>
            <w:vAlign w:val="bottom"/>
          </w:tcPr>
          <w:p w14:paraId="0F080527" w14:textId="77777777" w:rsidR="00F93B95" w:rsidRPr="00CE3053" w:rsidRDefault="00F93B95" w:rsidP="00F93B95">
            <w:pPr>
              <w:pStyle w:val="TableText"/>
              <w:spacing w:before="0" w:after="0"/>
              <w:jc w:val="right"/>
              <w:rPr>
                <w:rFonts w:ascii="Arial" w:hAnsi="Arial"/>
                <w:b/>
                <w:sz w:val="18"/>
                <w:lang w:val="mk-MK"/>
              </w:rPr>
            </w:pPr>
          </w:p>
        </w:tc>
        <w:tc>
          <w:tcPr>
            <w:tcW w:w="1146" w:type="dxa"/>
            <w:shd w:val="clear" w:color="auto" w:fill="auto"/>
            <w:tcMar>
              <w:left w:w="58" w:type="dxa"/>
              <w:right w:w="58" w:type="dxa"/>
            </w:tcMar>
            <w:vAlign w:val="bottom"/>
          </w:tcPr>
          <w:p w14:paraId="41BA6A35" w14:textId="77777777" w:rsidR="00F93B95" w:rsidRPr="00CE3053" w:rsidRDefault="00F93B95" w:rsidP="00F93B95">
            <w:pPr>
              <w:pStyle w:val="TableText"/>
              <w:spacing w:before="0" w:after="0"/>
              <w:jc w:val="right"/>
              <w:rPr>
                <w:rFonts w:ascii="Arial" w:hAnsi="Arial"/>
                <w:b/>
                <w:sz w:val="18"/>
                <w:lang w:val="mk-MK"/>
              </w:rPr>
            </w:pPr>
          </w:p>
        </w:tc>
        <w:tc>
          <w:tcPr>
            <w:tcW w:w="1121" w:type="dxa"/>
            <w:shd w:val="clear" w:color="auto" w:fill="auto"/>
            <w:tcMar>
              <w:left w:w="58" w:type="dxa"/>
              <w:right w:w="58" w:type="dxa"/>
            </w:tcMar>
            <w:vAlign w:val="bottom"/>
          </w:tcPr>
          <w:p w14:paraId="27894035" w14:textId="77777777" w:rsidR="00F93B95" w:rsidRPr="00CE3053" w:rsidRDefault="00F93B95" w:rsidP="00F93B95">
            <w:pPr>
              <w:pStyle w:val="TableText"/>
              <w:spacing w:before="0" w:after="0"/>
              <w:jc w:val="right"/>
              <w:rPr>
                <w:rFonts w:ascii="Arial" w:hAnsi="Arial"/>
                <w:b/>
                <w:sz w:val="18"/>
                <w:lang w:val="mk-MK"/>
              </w:rPr>
            </w:pPr>
          </w:p>
        </w:tc>
        <w:tc>
          <w:tcPr>
            <w:tcW w:w="1120" w:type="dxa"/>
            <w:shd w:val="clear" w:color="auto" w:fill="auto"/>
            <w:tcMar>
              <w:left w:w="58" w:type="dxa"/>
              <w:right w:w="58" w:type="dxa"/>
            </w:tcMar>
            <w:vAlign w:val="bottom"/>
          </w:tcPr>
          <w:p w14:paraId="5770F9A2" w14:textId="314B515F" w:rsidR="00F93B95" w:rsidRPr="00071372" w:rsidRDefault="00071372" w:rsidP="00F93B95">
            <w:pPr>
              <w:pStyle w:val="TableText"/>
              <w:spacing w:before="0" w:after="0"/>
              <w:jc w:val="right"/>
              <w:rPr>
                <w:rFonts w:ascii="Arial" w:hAnsi="Arial"/>
                <w:b/>
                <w:sz w:val="18"/>
                <w:lang w:val="en-US"/>
              </w:rPr>
            </w:pPr>
            <w:r>
              <w:rPr>
                <w:rFonts w:ascii="Arial" w:hAnsi="Arial"/>
                <w:b/>
                <w:sz w:val="18"/>
                <w:lang w:val="en-US"/>
              </w:rPr>
              <w:t>Software</w:t>
            </w:r>
          </w:p>
        </w:tc>
      </w:tr>
      <w:tr w:rsidR="00F93B95" w:rsidRPr="001E6526" w14:paraId="7B5E1B4A" w14:textId="77777777" w:rsidTr="0025712C">
        <w:trPr>
          <w:trHeight w:val="216"/>
        </w:trPr>
        <w:tc>
          <w:tcPr>
            <w:tcW w:w="4102" w:type="dxa"/>
            <w:shd w:val="clear" w:color="auto" w:fill="auto"/>
            <w:tcMar>
              <w:left w:w="58" w:type="dxa"/>
              <w:right w:w="58" w:type="dxa"/>
            </w:tcMar>
            <w:vAlign w:val="bottom"/>
          </w:tcPr>
          <w:p w14:paraId="53989A31" w14:textId="63BAFB81" w:rsidR="00F93B95" w:rsidRPr="00CE3053" w:rsidRDefault="00071372" w:rsidP="00F93B95">
            <w:pPr>
              <w:spacing w:after="0"/>
              <w:rPr>
                <w:rFonts w:ascii="Arial" w:hAnsi="Arial" w:cs="Arial"/>
                <w:color w:val="000000"/>
                <w:lang w:val="mk-MK"/>
              </w:rPr>
            </w:pPr>
            <w:proofErr w:type="spellStart"/>
            <w:r w:rsidRPr="00071372">
              <w:rPr>
                <w:rFonts w:ascii="Arial" w:hAnsi="Arial" w:cs="Arial"/>
                <w:color w:val="000000"/>
                <w:lang w:val="mk-MK"/>
              </w:rPr>
              <w:t>At</w:t>
            </w:r>
            <w:proofErr w:type="spellEnd"/>
            <w:r w:rsidRPr="00071372">
              <w:rPr>
                <w:rFonts w:ascii="Arial" w:hAnsi="Arial" w:cs="Arial"/>
                <w:color w:val="000000"/>
                <w:lang w:val="mk-MK"/>
              </w:rPr>
              <w:t xml:space="preserve"> 01 </w:t>
            </w:r>
            <w:proofErr w:type="spellStart"/>
            <w:r w:rsidRPr="00071372">
              <w:rPr>
                <w:rFonts w:ascii="Arial" w:hAnsi="Arial" w:cs="Arial"/>
                <w:color w:val="000000"/>
                <w:lang w:val="mk-MK"/>
              </w:rPr>
              <w:t>January</w:t>
            </w:r>
            <w:proofErr w:type="spellEnd"/>
            <w:r w:rsidRPr="00071372">
              <w:rPr>
                <w:rFonts w:ascii="Arial" w:hAnsi="Arial" w:cs="Arial"/>
                <w:color w:val="000000"/>
                <w:lang w:val="mk-MK"/>
              </w:rPr>
              <w:t xml:space="preserve"> 2020</w:t>
            </w:r>
          </w:p>
        </w:tc>
        <w:tc>
          <w:tcPr>
            <w:tcW w:w="1151" w:type="dxa"/>
            <w:shd w:val="clear" w:color="auto" w:fill="auto"/>
            <w:tcMar>
              <w:left w:w="58" w:type="dxa"/>
              <w:right w:w="58" w:type="dxa"/>
            </w:tcMar>
            <w:vAlign w:val="bottom"/>
          </w:tcPr>
          <w:p w14:paraId="206033D4" w14:textId="77777777" w:rsidR="00F93B95" w:rsidRPr="00CE3053" w:rsidRDefault="00F93B95" w:rsidP="00F93B95">
            <w:pPr>
              <w:spacing w:after="0"/>
              <w:jc w:val="right"/>
              <w:rPr>
                <w:rFonts w:ascii="Arial" w:hAnsi="Arial" w:cs="Arial"/>
                <w:color w:val="000000"/>
                <w:lang w:val="mk-MK"/>
              </w:rPr>
            </w:pPr>
          </w:p>
        </w:tc>
        <w:tc>
          <w:tcPr>
            <w:tcW w:w="1146" w:type="dxa"/>
            <w:shd w:val="clear" w:color="auto" w:fill="auto"/>
            <w:tcMar>
              <w:left w:w="58" w:type="dxa"/>
              <w:right w:w="58" w:type="dxa"/>
            </w:tcMar>
            <w:vAlign w:val="bottom"/>
          </w:tcPr>
          <w:p w14:paraId="25B10051" w14:textId="77777777" w:rsidR="00F93B95" w:rsidRPr="00CE3053" w:rsidRDefault="00F93B95" w:rsidP="00F93B95">
            <w:pPr>
              <w:spacing w:after="0"/>
              <w:jc w:val="right"/>
              <w:rPr>
                <w:rFonts w:ascii="Arial" w:hAnsi="Arial" w:cs="Arial"/>
                <w:color w:val="000000"/>
                <w:lang w:val="mk-MK"/>
              </w:rPr>
            </w:pPr>
          </w:p>
        </w:tc>
        <w:tc>
          <w:tcPr>
            <w:tcW w:w="1121" w:type="dxa"/>
            <w:shd w:val="clear" w:color="auto" w:fill="auto"/>
            <w:tcMar>
              <w:left w:w="58" w:type="dxa"/>
              <w:right w:w="58" w:type="dxa"/>
            </w:tcMar>
            <w:vAlign w:val="bottom"/>
          </w:tcPr>
          <w:p w14:paraId="1265F507" w14:textId="77777777" w:rsidR="00F93B95" w:rsidRPr="00CE3053" w:rsidRDefault="00F93B95" w:rsidP="00F93B95">
            <w:pPr>
              <w:spacing w:after="0"/>
              <w:jc w:val="right"/>
              <w:rPr>
                <w:rFonts w:ascii="Arial" w:hAnsi="Arial" w:cs="Arial"/>
                <w:color w:val="000000"/>
                <w:lang w:val="mk-MK"/>
              </w:rPr>
            </w:pPr>
          </w:p>
        </w:tc>
        <w:tc>
          <w:tcPr>
            <w:tcW w:w="1120" w:type="dxa"/>
            <w:shd w:val="clear" w:color="auto" w:fill="auto"/>
            <w:tcMar>
              <w:left w:w="58" w:type="dxa"/>
              <w:right w:w="58" w:type="dxa"/>
            </w:tcMar>
            <w:vAlign w:val="bottom"/>
          </w:tcPr>
          <w:p w14:paraId="6C75B999" w14:textId="77777777" w:rsidR="00F93B95" w:rsidRPr="00CE3053" w:rsidRDefault="00F93B95" w:rsidP="00F93B95">
            <w:pPr>
              <w:spacing w:after="0"/>
              <w:jc w:val="right"/>
              <w:rPr>
                <w:rFonts w:ascii="Arial" w:hAnsi="Arial" w:cs="Arial"/>
                <w:color w:val="000000"/>
                <w:lang w:val="mk-MK"/>
              </w:rPr>
            </w:pPr>
            <w:r w:rsidRPr="00CE3053">
              <w:rPr>
                <w:rFonts w:ascii="Arial" w:hAnsi="Arial" w:cs="Arial"/>
                <w:color w:val="000000"/>
                <w:lang w:val="mk-MK"/>
              </w:rPr>
              <w:t>923</w:t>
            </w:r>
          </w:p>
        </w:tc>
      </w:tr>
      <w:tr w:rsidR="00F93B95" w:rsidRPr="001E6526" w14:paraId="0A2D9C7D" w14:textId="77777777" w:rsidTr="0025712C">
        <w:trPr>
          <w:trHeight w:val="216"/>
        </w:trPr>
        <w:tc>
          <w:tcPr>
            <w:tcW w:w="4102" w:type="dxa"/>
            <w:tcBorders>
              <w:top w:val="single" w:sz="4" w:space="0" w:color="auto"/>
            </w:tcBorders>
            <w:shd w:val="clear" w:color="auto" w:fill="auto"/>
            <w:tcMar>
              <w:left w:w="58" w:type="dxa"/>
              <w:right w:w="58" w:type="dxa"/>
            </w:tcMar>
            <w:vAlign w:val="bottom"/>
          </w:tcPr>
          <w:p w14:paraId="6449D7B2" w14:textId="50EEA038" w:rsidR="00F93B95" w:rsidRPr="00CE3053" w:rsidRDefault="00071372" w:rsidP="00F93B95">
            <w:pPr>
              <w:spacing w:after="0"/>
              <w:rPr>
                <w:rFonts w:ascii="Arial" w:hAnsi="Arial" w:cs="Arial"/>
                <w:b/>
                <w:bCs/>
                <w:color w:val="000000"/>
                <w:lang w:val="mk-MK"/>
              </w:rPr>
            </w:pPr>
            <w:proofErr w:type="spellStart"/>
            <w:r w:rsidRPr="00071372">
              <w:rPr>
                <w:rFonts w:ascii="Arial" w:hAnsi="Arial" w:cs="Arial"/>
                <w:b/>
                <w:bCs/>
                <w:color w:val="000000"/>
                <w:lang w:val="mk-MK"/>
              </w:rPr>
              <w:t>At</w:t>
            </w:r>
            <w:proofErr w:type="spellEnd"/>
            <w:r w:rsidRPr="00071372">
              <w:rPr>
                <w:rFonts w:ascii="Arial" w:hAnsi="Arial" w:cs="Arial"/>
                <w:b/>
                <w:bCs/>
                <w:color w:val="000000"/>
                <w:lang w:val="mk-MK"/>
              </w:rPr>
              <w:t xml:space="preserve"> 31 </w:t>
            </w:r>
            <w:proofErr w:type="spellStart"/>
            <w:r w:rsidRPr="00071372">
              <w:rPr>
                <w:rFonts w:ascii="Arial" w:hAnsi="Arial" w:cs="Arial"/>
                <w:b/>
                <w:bCs/>
                <w:color w:val="000000"/>
                <w:lang w:val="mk-MK"/>
              </w:rPr>
              <w:t>December</w:t>
            </w:r>
            <w:proofErr w:type="spellEnd"/>
            <w:r w:rsidRPr="00071372">
              <w:rPr>
                <w:rFonts w:ascii="Arial" w:hAnsi="Arial" w:cs="Arial"/>
                <w:b/>
                <w:bCs/>
                <w:color w:val="000000"/>
                <w:lang w:val="mk-MK"/>
              </w:rPr>
              <w:t xml:space="preserve"> 2020</w:t>
            </w:r>
          </w:p>
        </w:tc>
        <w:tc>
          <w:tcPr>
            <w:tcW w:w="1151" w:type="dxa"/>
            <w:tcBorders>
              <w:top w:val="single" w:sz="4" w:space="0" w:color="auto"/>
            </w:tcBorders>
            <w:shd w:val="clear" w:color="auto" w:fill="auto"/>
            <w:tcMar>
              <w:left w:w="58" w:type="dxa"/>
              <w:right w:w="58" w:type="dxa"/>
            </w:tcMar>
            <w:vAlign w:val="bottom"/>
          </w:tcPr>
          <w:p w14:paraId="7FE4C491" w14:textId="77777777" w:rsidR="00F93B95" w:rsidRPr="00CE3053" w:rsidRDefault="00F93B95" w:rsidP="00F93B95">
            <w:pPr>
              <w:spacing w:after="0"/>
              <w:jc w:val="right"/>
              <w:rPr>
                <w:rFonts w:ascii="Arial" w:hAnsi="Arial" w:cs="Arial"/>
                <w:b/>
                <w:bCs/>
                <w:color w:val="000000"/>
                <w:lang w:val="mk-MK"/>
              </w:rPr>
            </w:pPr>
          </w:p>
        </w:tc>
        <w:tc>
          <w:tcPr>
            <w:tcW w:w="1146" w:type="dxa"/>
            <w:tcBorders>
              <w:top w:val="single" w:sz="4" w:space="0" w:color="auto"/>
            </w:tcBorders>
            <w:shd w:val="clear" w:color="auto" w:fill="auto"/>
            <w:tcMar>
              <w:left w:w="58" w:type="dxa"/>
              <w:right w:w="58" w:type="dxa"/>
            </w:tcMar>
            <w:vAlign w:val="bottom"/>
          </w:tcPr>
          <w:p w14:paraId="0655E704" w14:textId="77777777" w:rsidR="00F93B95" w:rsidRPr="00CE3053" w:rsidRDefault="00F93B95" w:rsidP="00F93B95">
            <w:pPr>
              <w:spacing w:after="0"/>
              <w:jc w:val="right"/>
              <w:rPr>
                <w:rFonts w:ascii="Arial" w:hAnsi="Arial" w:cs="Arial"/>
                <w:b/>
                <w:bCs/>
                <w:color w:val="000000"/>
                <w:lang w:val="mk-MK"/>
              </w:rPr>
            </w:pPr>
          </w:p>
        </w:tc>
        <w:tc>
          <w:tcPr>
            <w:tcW w:w="1121" w:type="dxa"/>
            <w:tcBorders>
              <w:top w:val="single" w:sz="4" w:space="0" w:color="auto"/>
            </w:tcBorders>
            <w:shd w:val="clear" w:color="auto" w:fill="auto"/>
            <w:tcMar>
              <w:left w:w="58" w:type="dxa"/>
              <w:right w:w="58" w:type="dxa"/>
            </w:tcMar>
            <w:vAlign w:val="bottom"/>
          </w:tcPr>
          <w:p w14:paraId="288C2D24" w14:textId="77777777" w:rsidR="00F93B95" w:rsidRPr="00CE3053" w:rsidRDefault="00F93B95" w:rsidP="00F93B95">
            <w:pPr>
              <w:spacing w:after="0"/>
              <w:jc w:val="right"/>
              <w:rPr>
                <w:rFonts w:ascii="Arial" w:hAnsi="Arial" w:cs="Arial"/>
                <w:b/>
                <w:bCs/>
                <w:color w:val="000000"/>
                <w:lang w:val="mk-MK"/>
              </w:rPr>
            </w:pPr>
          </w:p>
        </w:tc>
        <w:tc>
          <w:tcPr>
            <w:tcW w:w="1120" w:type="dxa"/>
            <w:tcBorders>
              <w:top w:val="single" w:sz="4" w:space="0" w:color="auto"/>
            </w:tcBorders>
            <w:shd w:val="clear" w:color="auto" w:fill="auto"/>
            <w:tcMar>
              <w:left w:w="58" w:type="dxa"/>
              <w:right w:w="58" w:type="dxa"/>
            </w:tcMar>
            <w:vAlign w:val="bottom"/>
          </w:tcPr>
          <w:p w14:paraId="24AC89C2" w14:textId="77777777" w:rsidR="00F93B95" w:rsidRPr="00CE3053" w:rsidRDefault="00F93B95" w:rsidP="00F93B95">
            <w:pPr>
              <w:spacing w:after="0"/>
              <w:jc w:val="right"/>
              <w:rPr>
                <w:rFonts w:ascii="Arial" w:hAnsi="Arial" w:cs="Arial"/>
                <w:b/>
                <w:bCs/>
                <w:color w:val="000000"/>
                <w:lang w:val="mk-MK"/>
              </w:rPr>
            </w:pPr>
            <w:r w:rsidRPr="00CE3053">
              <w:rPr>
                <w:rFonts w:ascii="Arial" w:hAnsi="Arial" w:cs="Arial"/>
                <w:b/>
                <w:bCs/>
                <w:color w:val="000000"/>
                <w:lang w:val="mk-MK"/>
              </w:rPr>
              <w:t>923</w:t>
            </w:r>
          </w:p>
        </w:tc>
      </w:tr>
      <w:tr w:rsidR="00F93B95" w:rsidRPr="001E6526" w14:paraId="4CE77E37" w14:textId="77777777" w:rsidTr="0025712C">
        <w:trPr>
          <w:trHeight w:val="216"/>
        </w:trPr>
        <w:tc>
          <w:tcPr>
            <w:tcW w:w="4102" w:type="dxa"/>
            <w:shd w:val="clear" w:color="auto" w:fill="auto"/>
            <w:tcMar>
              <w:left w:w="58" w:type="dxa"/>
              <w:right w:w="58" w:type="dxa"/>
            </w:tcMar>
            <w:vAlign w:val="bottom"/>
          </w:tcPr>
          <w:p w14:paraId="12D9260E" w14:textId="77777777" w:rsidR="00F93B95" w:rsidRPr="00CE3053" w:rsidRDefault="00F93B95" w:rsidP="00F93B95">
            <w:pPr>
              <w:pStyle w:val="TableText"/>
              <w:spacing w:before="0" w:after="0"/>
              <w:rPr>
                <w:rFonts w:ascii="Arial" w:hAnsi="Arial"/>
                <w:b/>
                <w:sz w:val="18"/>
                <w:lang w:val="mk-MK"/>
              </w:rPr>
            </w:pPr>
          </w:p>
        </w:tc>
        <w:tc>
          <w:tcPr>
            <w:tcW w:w="1151" w:type="dxa"/>
            <w:shd w:val="clear" w:color="auto" w:fill="auto"/>
            <w:tcMar>
              <w:left w:w="58" w:type="dxa"/>
              <w:right w:w="58" w:type="dxa"/>
            </w:tcMar>
            <w:vAlign w:val="bottom"/>
          </w:tcPr>
          <w:p w14:paraId="2F9594DE" w14:textId="77777777" w:rsidR="00F93B95" w:rsidRPr="00CE3053" w:rsidRDefault="00F93B95" w:rsidP="00F93B95">
            <w:pPr>
              <w:pStyle w:val="TableText"/>
              <w:spacing w:before="0" w:after="0"/>
              <w:jc w:val="right"/>
              <w:rPr>
                <w:rFonts w:ascii="Arial" w:hAnsi="Arial"/>
                <w:b/>
                <w:bCs/>
                <w:color w:val="000000"/>
                <w:sz w:val="18"/>
                <w:lang w:val="mk-MK"/>
              </w:rPr>
            </w:pPr>
          </w:p>
        </w:tc>
        <w:tc>
          <w:tcPr>
            <w:tcW w:w="1146" w:type="dxa"/>
            <w:shd w:val="clear" w:color="auto" w:fill="auto"/>
            <w:tcMar>
              <w:left w:w="58" w:type="dxa"/>
              <w:right w:w="58" w:type="dxa"/>
            </w:tcMar>
            <w:vAlign w:val="bottom"/>
          </w:tcPr>
          <w:p w14:paraId="187CE1D1" w14:textId="77777777" w:rsidR="00F93B95" w:rsidRPr="00CE3053" w:rsidRDefault="00F93B95" w:rsidP="00F93B95">
            <w:pPr>
              <w:pStyle w:val="TableText"/>
              <w:spacing w:before="0" w:after="0"/>
              <w:jc w:val="right"/>
              <w:rPr>
                <w:rFonts w:ascii="Arial" w:hAnsi="Arial"/>
                <w:b/>
                <w:bCs/>
                <w:color w:val="000000"/>
                <w:sz w:val="18"/>
                <w:lang w:val="mk-MK"/>
              </w:rPr>
            </w:pPr>
          </w:p>
        </w:tc>
        <w:tc>
          <w:tcPr>
            <w:tcW w:w="1121" w:type="dxa"/>
            <w:shd w:val="clear" w:color="auto" w:fill="auto"/>
            <w:tcMar>
              <w:left w:w="58" w:type="dxa"/>
              <w:right w:w="58" w:type="dxa"/>
            </w:tcMar>
            <w:vAlign w:val="bottom"/>
          </w:tcPr>
          <w:p w14:paraId="09EFC840" w14:textId="77777777" w:rsidR="00F93B95" w:rsidRPr="00CE3053" w:rsidRDefault="00F93B95" w:rsidP="00F93B95">
            <w:pPr>
              <w:pStyle w:val="TableText"/>
              <w:spacing w:before="0" w:after="0"/>
              <w:jc w:val="right"/>
              <w:rPr>
                <w:rFonts w:ascii="Arial" w:hAnsi="Arial"/>
                <w:b/>
                <w:bCs/>
                <w:color w:val="000000"/>
                <w:sz w:val="18"/>
                <w:lang w:val="mk-MK"/>
              </w:rPr>
            </w:pPr>
          </w:p>
        </w:tc>
        <w:tc>
          <w:tcPr>
            <w:tcW w:w="1120" w:type="dxa"/>
            <w:shd w:val="clear" w:color="auto" w:fill="auto"/>
            <w:tcMar>
              <w:left w:w="58" w:type="dxa"/>
              <w:right w:w="58" w:type="dxa"/>
            </w:tcMar>
            <w:vAlign w:val="bottom"/>
          </w:tcPr>
          <w:p w14:paraId="4EE1F100" w14:textId="77777777" w:rsidR="00F93B95" w:rsidRPr="00CE3053" w:rsidRDefault="00F93B95" w:rsidP="00F93B95">
            <w:pPr>
              <w:pStyle w:val="TableText"/>
              <w:spacing w:before="0" w:after="0"/>
              <w:jc w:val="right"/>
              <w:rPr>
                <w:rFonts w:ascii="Arial" w:hAnsi="Arial"/>
                <w:b/>
                <w:bCs/>
                <w:color w:val="000000"/>
                <w:sz w:val="18"/>
                <w:lang w:val="mk-MK"/>
              </w:rPr>
            </w:pPr>
          </w:p>
        </w:tc>
      </w:tr>
      <w:tr w:rsidR="00F93B95" w:rsidRPr="001E6526" w14:paraId="74FAD34D" w14:textId="77777777" w:rsidTr="0025712C">
        <w:trPr>
          <w:trHeight w:val="216"/>
        </w:trPr>
        <w:tc>
          <w:tcPr>
            <w:tcW w:w="4102" w:type="dxa"/>
            <w:shd w:val="clear" w:color="auto" w:fill="auto"/>
            <w:tcMar>
              <w:left w:w="58" w:type="dxa"/>
              <w:right w:w="58" w:type="dxa"/>
            </w:tcMar>
            <w:vAlign w:val="bottom"/>
          </w:tcPr>
          <w:p w14:paraId="67E1EF6D" w14:textId="1A6CD8C3" w:rsidR="00F93B95" w:rsidRPr="005A3DD2" w:rsidRDefault="005A3DD2" w:rsidP="00F93B95">
            <w:pPr>
              <w:spacing w:after="0"/>
              <w:rPr>
                <w:rFonts w:ascii="Arial" w:hAnsi="Arial" w:cs="Arial"/>
                <w:b/>
                <w:bCs/>
                <w:color w:val="000000"/>
              </w:rPr>
            </w:pPr>
            <w:proofErr w:type="spellStart"/>
            <w:r w:rsidRPr="005A3DD2">
              <w:rPr>
                <w:rFonts w:ascii="Arial" w:hAnsi="Arial" w:cs="Arial"/>
                <w:b/>
                <w:bCs/>
                <w:color w:val="000000"/>
                <w:lang w:val="mk-MK"/>
              </w:rPr>
              <w:t>At</w:t>
            </w:r>
            <w:proofErr w:type="spellEnd"/>
            <w:r w:rsidRPr="005A3DD2">
              <w:rPr>
                <w:rFonts w:ascii="Arial" w:hAnsi="Arial" w:cs="Arial"/>
                <w:b/>
                <w:bCs/>
                <w:color w:val="000000"/>
                <w:lang w:val="mk-MK"/>
              </w:rPr>
              <w:t xml:space="preserve"> 01 </w:t>
            </w:r>
            <w:proofErr w:type="spellStart"/>
            <w:r w:rsidRPr="005A3DD2">
              <w:rPr>
                <w:rFonts w:ascii="Arial" w:hAnsi="Arial" w:cs="Arial"/>
                <w:b/>
                <w:bCs/>
                <w:color w:val="000000"/>
                <w:lang w:val="mk-MK"/>
              </w:rPr>
              <w:t>January</w:t>
            </w:r>
            <w:proofErr w:type="spellEnd"/>
            <w:r w:rsidRPr="005A3DD2">
              <w:rPr>
                <w:rFonts w:ascii="Arial" w:hAnsi="Arial" w:cs="Arial"/>
                <w:b/>
                <w:bCs/>
                <w:color w:val="000000"/>
                <w:lang w:val="mk-MK"/>
              </w:rPr>
              <w:t xml:space="preserve"> </w:t>
            </w:r>
            <w:r w:rsidR="00F93B95" w:rsidRPr="00CE3053">
              <w:rPr>
                <w:rFonts w:ascii="Arial" w:hAnsi="Arial" w:cs="Arial"/>
                <w:b/>
                <w:bCs/>
                <w:color w:val="000000"/>
                <w:lang w:val="mk-MK"/>
              </w:rPr>
              <w:t>202</w:t>
            </w:r>
            <w:r w:rsidR="00C550F0" w:rsidRPr="00CE3053">
              <w:rPr>
                <w:rFonts w:ascii="Arial" w:hAnsi="Arial" w:cs="Arial"/>
                <w:b/>
                <w:bCs/>
                <w:color w:val="000000"/>
                <w:lang w:val="mk-MK"/>
              </w:rPr>
              <w:t>1</w:t>
            </w:r>
          </w:p>
        </w:tc>
        <w:tc>
          <w:tcPr>
            <w:tcW w:w="1151" w:type="dxa"/>
            <w:shd w:val="clear" w:color="auto" w:fill="auto"/>
            <w:tcMar>
              <w:left w:w="58" w:type="dxa"/>
              <w:right w:w="58" w:type="dxa"/>
            </w:tcMar>
            <w:vAlign w:val="bottom"/>
          </w:tcPr>
          <w:p w14:paraId="61AB1491" w14:textId="77777777" w:rsidR="00F93B95" w:rsidRPr="00CE3053" w:rsidRDefault="00F93B95" w:rsidP="00F93B95">
            <w:pPr>
              <w:spacing w:after="0"/>
              <w:jc w:val="right"/>
              <w:rPr>
                <w:rFonts w:ascii="Arial" w:hAnsi="Arial" w:cs="Arial"/>
                <w:b/>
                <w:bCs/>
                <w:color w:val="000000"/>
                <w:lang w:val="mk-MK"/>
              </w:rPr>
            </w:pPr>
          </w:p>
        </w:tc>
        <w:tc>
          <w:tcPr>
            <w:tcW w:w="1146" w:type="dxa"/>
            <w:shd w:val="clear" w:color="auto" w:fill="auto"/>
            <w:tcMar>
              <w:left w:w="58" w:type="dxa"/>
              <w:right w:w="58" w:type="dxa"/>
            </w:tcMar>
            <w:vAlign w:val="bottom"/>
          </w:tcPr>
          <w:p w14:paraId="7B40F50F" w14:textId="77777777" w:rsidR="00F93B95" w:rsidRPr="00CE3053" w:rsidRDefault="00F93B95" w:rsidP="00F93B95">
            <w:pPr>
              <w:spacing w:after="0"/>
              <w:jc w:val="right"/>
              <w:rPr>
                <w:rFonts w:ascii="Arial" w:hAnsi="Arial" w:cs="Arial"/>
                <w:b/>
                <w:bCs/>
                <w:color w:val="000000"/>
                <w:lang w:val="mk-MK"/>
              </w:rPr>
            </w:pPr>
          </w:p>
        </w:tc>
        <w:tc>
          <w:tcPr>
            <w:tcW w:w="1121" w:type="dxa"/>
            <w:shd w:val="clear" w:color="auto" w:fill="auto"/>
            <w:tcMar>
              <w:left w:w="58" w:type="dxa"/>
              <w:right w:w="58" w:type="dxa"/>
            </w:tcMar>
            <w:vAlign w:val="bottom"/>
          </w:tcPr>
          <w:p w14:paraId="0606405B" w14:textId="77777777" w:rsidR="00F93B95" w:rsidRPr="00CE3053" w:rsidRDefault="00F93B95" w:rsidP="00F93B95">
            <w:pPr>
              <w:spacing w:after="0"/>
              <w:jc w:val="right"/>
              <w:rPr>
                <w:rFonts w:ascii="Arial" w:hAnsi="Arial" w:cs="Arial"/>
                <w:b/>
                <w:bCs/>
                <w:color w:val="000000"/>
                <w:lang w:val="mk-MK"/>
              </w:rPr>
            </w:pPr>
          </w:p>
        </w:tc>
        <w:tc>
          <w:tcPr>
            <w:tcW w:w="1120" w:type="dxa"/>
            <w:shd w:val="clear" w:color="auto" w:fill="auto"/>
            <w:tcMar>
              <w:left w:w="58" w:type="dxa"/>
              <w:right w:w="58" w:type="dxa"/>
            </w:tcMar>
            <w:vAlign w:val="bottom"/>
          </w:tcPr>
          <w:p w14:paraId="38DF98EF" w14:textId="77777777"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923</w:t>
            </w:r>
          </w:p>
        </w:tc>
      </w:tr>
      <w:tr w:rsidR="00F93B95" w:rsidRPr="001E6526" w14:paraId="21D2428E" w14:textId="77777777" w:rsidTr="0025712C">
        <w:trPr>
          <w:trHeight w:val="216"/>
        </w:trPr>
        <w:tc>
          <w:tcPr>
            <w:tcW w:w="4102" w:type="dxa"/>
            <w:tcBorders>
              <w:top w:val="single" w:sz="4" w:space="0" w:color="auto"/>
            </w:tcBorders>
            <w:shd w:val="clear" w:color="auto" w:fill="auto"/>
            <w:tcMar>
              <w:left w:w="58" w:type="dxa"/>
              <w:right w:w="58" w:type="dxa"/>
            </w:tcMar>
            <w:vAlign w:val="bottom"/>
          </w:tcPr>
          <w:p w14:paraId="55891FF1" w14:textId="303ED96E" w:rsidR="00F93B95" w:rsidRPr="00CE3053" w:rsidRDefault="005A3DD2" w:rsidP="00F93B95">
            <w:pPr>
              <w:spacing w:after="0"/>
              <w:rPr>
                <w:rFonts w:ascii="Arial" w:hAnsi="Arial" w:cs="Arial"/>
                <w:b/>
                <w:bCs/>
                <w:color w:val="000000"/>
                <w:lang w:val="mk-MK"/>
              </w:rPr>
            </w:pPr>
            <w:proofErr w:type="spellStart"/>
            <w:r w:rsidRPr="005A3DD2">
              <w:rPr>
                <w:rFonts w:ascii="Arial" w:hAnsi="Arial" w:cs="Arial"/>
                <w:b/>
                <w:bCs/>
                <w:color w:val="000000"/>
                <w:lang w:val="mk-MK"/>
              </w:rPr>
              <w:t>At</w:t>
            </w:r>
            <w:proofErr w:type="spellEnd"/>
            <w:r w:rsidRPr="005A3DD2">
              <w:rPr>
                <w:rFonts w:ascii="Arial" w:hAnsi="Arial" w:cs="Arial"/>
                <w:b/>
                <w:bCs/>
                <w:color w:val="000000"/>
                <w:lang w:val="mk-MK"/>
              </w:rPr>
              <w:t xml:space="preserve"> 31 </w:t>
            </w:r>
            <w:proofErr w:type="spellStart"/>
            <w:r w:rsidRPr="005A3DD2">
              <w:rPr>
                <w:rFonts w:ascii="Arial" w:hAnsi="Arial" w:cs="Arial"/>
                <w:b/>
                <w:bCs/>
                <w:color w:val="000000"/>
                <w:lang w:val="mk-MK"/>
              </w:rPr>
              <w:t>December</w:t>
            </w:r>
            <w:proofErr w:type="spellEnd"/>
            <w:r w:rsidRPr="005A3DD2">
              <w:rPr>
                <w:rFonts w:ascii="Arial" w:hAnsi="Arial" w:cs="Arial"/>
                <w:b/>
                <w:bCs/>
                <w:color w:val="000000"/>
                <w:lang w:val="mk-MK"/>
              </w:rPr>
              <w:t xml:space="preserve"> 2021</w:t>
            </w:r>
          </w:p>
        </w:tc>
        <w:tc>
          <w:tcPr>
            <w:tcW w:w="1151" w:type="dxa"/>
            <w:tcBorders>
              <w:top w:val="single" w:sz="4" w:space="0" w:color="auto"/>
            </w:tcBorders>
            <w:shd w:val="clear" w:color="auto" w:fill="auto"/>
            <w:tcMar>
              <w:left w:w="58" w:type="dxa"/>
              <w:right w:w="58" w:type="dxa"/>
            </w:tcMar>
            <w:vAlign w:val="bottom"/>
          </w:tcPr>
          <w:p w14:paraId="089B3AD8" w14:textId="77777777" w:rsidR="00F93B95" w:rsidRPr="00CE3053" w:rsidRDefault="00F93B95" w:rsidP="00F93B95">
            <w:pPr>
              <w:spacing w:after="0"/>
              <w:jc w:val="right"/>
              <w:rPr>
                <w:rFonts w:ascii="Arial" w:hAnsi="Arial" w:cs="Arial"/>
                <w:b/>
                <w:bCs/>
                <w:color w:val="000000"/>
                <w:lang w:val="mk-MK"/>
              </w:rPr>
            </w:pPr>
          </w:p>
        </w:tc>
        <w:tc>
          <w:tcPr>
            <w:tcW w:w="1146" w:type="dxa"/>
            <w:tcBorders>
              <w:top w:val="single" w:sz="4" w:space="0" w:color="auto"/>
            </w:tcBorders>
            <w:shd w:val="clear" w:color="auto" w:fill="auto"/>
            <w:tcMar>
              <w:left w:w="58" w:type="dxa"/>
              <w:right w:w="58" w:type="dxa"/>
            </w:tcMar>
            <w:vAlign w:val="bottom"/>
          </w:tcPr>
          <w:p w14:paraId="462D1F39" w14:textId="77777777" w:rsidR="00F93B95" w:rsidRPr="00CE3053" w:rsidRDefault="00F93B95" w:rsidP="00F93B95">
            <w:pPr>
              <w:spacing w:after="0"/>
              <w:jc w:val="right"/>
              <w:rPr>
                <w:rFonts w:ascii="Arial" w:hAnsi="Arial" w:cs="Arial"/>
                <w:b/>
                <w:bCs/>
                <w:color w:val="000000"/>
                <w:lang w:val="mk-MK"/>
              </w:rPr>
            </w:pPr>
          </w:p>
        </w:tc>
        <w:tc>
          <w:tcPr>
            <w:tcW w:w="1121" w:type="dxa"/>
            <w:tcBorders>
              <w:top w:val="single" w:sz="4" w:space="0" w:color="auto"/>
            </w:tcBorders>
            <w:shd w:val="clear" w:color="auto" w:fill="auto"/>
            <w:tcMar>
              <w:left w:w="58" w:type="dxa"/>
              <w:right w:w="58" w:type="dxa"/>
            </w:tcMar>
            <w:vAlign w:val="bottom"/>
          </w:tcPr>
          <w:p w14:paraId="4C13B4BC" w14:textId="77777777" w:rsidR="00F93B95" w:rsidRPr="00CE3053" w:rsidRDefault="00F93B95" w:rsidP="00F93B95">
            <w:pPr>
              <w:spacing w:after="0"/>
              <w:jc w:val="right"/>
              <w:rPr>
                <w:rFonts w:ascii="Arial" w:hAnsi="Arial" w:cs="Arial"/>
                <w:b/>
                <w:bCs/>
                <w:color w:val="000000"/>
                <w:lang w:val="mk-MK"/>
              </w:rPr>
            </w:pPr>
          </w:p>
        </w:tc>
        <w:tc>
          <w:tcPr>
            <w:tcW w:w="1120" w:type="dxa"/>
            <w:tcBorders>
              <w:top w:val="single" w:sz="4" w:space="0" w:color="auto"/>
            </w:tcBorders>
            <w:shd w:val="clear" w:color="auto" w:fill="auto"/>
            <w:tcMar>
              <w:left w:w="58" w:type="dxa"/>
              <w:right w:w="58" w:type="dxa"/>
            </w:tcMar>
            <w:vAlign w:val="bottom"/>
          </w:tcPr>
          <w:p w14:paraId="2B0960C5" w14:textId="77777777"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923</w:t>
            </w:r>
          </w:p>
        </w:tc>
      </w:tr>
      <w:tr w:rsidR="00F93B95" w:rsidRPr="001E6526" w14:paraId="4F521FC2" w14:textId="77777777" w:rsidTr="0025712C">
        <w:trPr>
          <w:trHeight w:val="216"/>
        </w:trPr>
        <w:tc>
          <w:tcPr>
            <w:tcW w:w="4102" w:type="dxa"/>
            <w:shd w:val="clear" w:color="auto" w:fill="auto"/>
            <w:tcMar>
              <w:left w:w="58" w:type="dxa"/>
              <w:right w:w="58" w:type="dxa"/>
            </w:tcMar>
            <w:vAlign w:val="bottom"/>
          </w:tcPr>
          <w:p w14:paraId="1A500506" w14:textId="77777777" w:rsidR="00F93B95" w:rsidRPr="00CE3053" w:rsidRDefault="00F93B95" w:rsidP="00F93B95">
            <w:pPr>
              <w:pStyle w:val="TableText"/>
              <w:spacing w:before="0" w:after="0"/>
              <w:rPr>
                <w:rFonts w:ascii="Arial" w:hAnsi="Arial"/>
                <w:bCs/>
                <w:sz w:val="18"/>
                <w:lang w:val="mk-MK"/>
              </w:rPr>
            </w:pPr>
          </w:p>
        </w:tc>
        <w:tc>
          <w:tcPr>
            <w:tcW w:w="1151" w:type="dxa"/>
            <w:shd w:val="clear" w:color="auto" w:fill="auto"/>
            <w:tcMar>
              <w:left w:w="58" w:type="dxa"/>
              <w:right w:w="58" w:type="dxa"/>
            </w:tcMar>
            <w:vAlign w:val="bottom"/>
          </w:tcPr>
          <w:p w14:paraId="0ADD7CF1" w14:textId="77777777" w:rsidR="00F93B95" w:rsidRPr="00CE3053" w:rsidRDefault="00F93B95" w:rsidP="00F93B95">
            <w:pPr>
              <w:pStyle w:val="TableText"/>
              <w:spacing w:before="0" w:after="0"/>
              <w:jc w:val="right"/>
              <w:rPr>
                <w:rFonts w:ascii="Arial" w:hAnsi="Arial"/>
                <w:color w:val="000000"/>
                <w:sz w:val="18"/>
                <w:lang w:val="mk-MK"/>
              </w:rPr>
            </w:pPr>
          </w:p>
        </w:tc>
        <w:tc>
          <w:tcPr>
            <w:tcW w:w="1146" w:type="dxa"/>
            <w:shd w:val="clear" w:color="auto" w:fill="auto"/>
            <w:tcMar>
              <w:left w:w="58" w:type="dxa"/>
              <w:right w:w="58" w:type="dxa"/>
            </w:tcMar>
            <w:vAlign w:val="bottom"/>
          </w:tcPr>
          <w:p w14:paraId="6E0EE125" w14:textId="77777777" w:rsidR="00F93B95" w:rsidRPr="00CE3053" w:rsidRDefault="00F93B95" w:rsidP="00F93B95">
            <w:pPr>
              <w:pStyle w:val="TableText"/>
              <w:spacing w:before="0" w:after="0"/>
              <w:jc w:val="right"/>
              <w:rPr>
                <w:rFonts w:ascii="Arial" w:hAnsi="Arial"/>
                <w:color w:val="000000"/>
                <w:sz w:val="18"/>
                <w:lang w:val="mk-MK"/>
              </w:rPr>
            </w:pPr>
          </w:p>
        </w:tc>
        <w:tc>
          <w:tcPr>
            <w:tcW w:w="1121" w:type="dxa"/>
            <w:shd w:val="clear" w:color="auto" w:fill="auto"/>
            <w:tcMar>
              <w:left w:w="58" w:type="dxa"/>
              <w:right w:w="58" w:type="dxa"/>
            </w:tcMar>
            <w:vAlign w:val="bottom"/>
          </w:tcPr>
          <w:p w14:paraId="4BE0401A" w14:textId="77777777" w:rsidR="00F93B95" w:rsidRPr="00CE3053" w:rsidRDefault="00F93B95" w:rsidP="00F93B95">
            <w:pPr>
              <w:pStyle w:val="TableText"/>
              <w:spacing w:before="0" w:after="0"/>
              <w:jc w:val="right"/>
              <w:rPr>
                <w:rFonts w:ascii="Arial" w:hAnsi="Arial"/>
                <w:color w:val="000000"/>
                <w:sz w:val="18"/>
                <w:lang w:val="mk-MK"/>
              </w:rPr>
            </w:pPr>
          </w:p>
        </w:tc>
        <w:tc>
          <w:tcPr>
            <w:tcW w:w="1120" w:type="dxa"/>
            <w:shd w:val="clear" w:color="auto" w:fill="auto"/>
            <w:tcMar>
              <w:left w:w="58" w:type="dxa"/>
              <w:right w:w="58" w:type="dxa"/>
            </w:tcMar>
            <w:vAlign w:val="bottom"/>
          </w:tcPr>
          <w:p w14:paraId="7508026E" w14:textId="77777777" w:rsidR="00F93B95" w:rsidRPr="00CE3053" w:rsidRDefault="00F93B95" w:rsidP="00F93B95">
            <w:pPr>
              <w:pStyle w:val="TableText"/>
              <w:spacing w:before="0" w:after="0"/>
              <w:jc w:val="right"/>
              <w:rPr>
                <w:rFonts w:ascii="Arial" w:hAnsi="Arial"/>
                <w:color w:val="000000"/>
                <w:sz w:val="18"/>
                <w:lang w:val="mk-MK"/>
              </w:rPr>
            </w:pPr>
          </w:p>
        </w:tc>
      </w:tr>
      <w:tr w:rsidR="00F93B95" w:rsidRPr="001E6526" w14:paraId="1172042C" w14:textId="77777777" w:rsidTr="0025712C">
        <w:trPr>
          <w:trHeight w:val="216"/>
        </w:trPr>
        <w:tc>
          <w:tcPr>
            <w:tcW w:w="4102" w:type="dxa"/>
            <w:shd w:val="clear" w:color="auto" w:fill="auto"/>
            <w:tcMar>
              <w:left w:w="58" w:type="dxa"/>
              <w:right w:w="58" w:type="dxa"/>
            </w:tcMar>
            <w:vAlign w:val="bottom"/>
          </w:tcPr>
          <w:p w14:paraId="1C99419A" w14:textId="703429B7" w:rsidR="00F93B95" w:rsidRPr="00CE3053" w:rsidRDefault="005A3DD2" w:rsidP="00F93B95">
            <w:pPr>
              <w:spacing w:after="0"/>
              <w:rPr>
                <w:rFonts w:ascii="Arial" w:hAnsi="Arial" w:cs="Arial"/>
                <w:b/>
                <w:bCs/>
                <w:color w:val="000000"/>
                <w:lang w:val="mk-MK"/>
              </w:rPr>
            </w:pPr>
            <w:proofErr w:type="spellStart"/>
            <w:r w:rsidRPr="005A3DD2">
              <w:rPr>
                <w:rFonts w:ascii="Arial" w:hAnsi="Arial" w:cs="Arial"/>
                <w:b/>
                <w:bCs/>
                <w:color w:val="000000"/>
                <w:lang w:val="mk-MK"/>
              </w:rPr>
              <w:t>Accumulated</w:t>
            </w:r>
            <w:proofErr w:type="spellEnd"/>
            <w:r w:rsidRPr="005A3DD2">
              <w:rPr>
                <w:rFonts w:ascii="Arial" w:hAnsi="Arial" w:cs="Arial"/>
                <w:b/>
                <w:bCs/>
                <w:color w:val="000000"/>
                <w:lang w:val="mk-MK"/>
              </w:rPr>
              <w:t xml:space="preserve"> </w:t>
            </w:r>
            <w:proofErr w:type="spellStart"/>
            <w:r w:rsidRPr="005A3DD2">
              <w:rPr>
                <w:rFonts w:ascii="Arial" w:hAnsi="Arial" w:cs="Arial"/>
                <w:b/>
                <w:bCs/>
                <w:color w:val="000000"/>
                <w:lang w:val="mk-MK"/>
              </w:rPr>
              <w:t>depreciation</w:t>
            </w:r>
            <w:proofErr w:type="spellEnd"/>
          </w:p>
        </w:tc>
        <w:tc>
          <w:tcPr>
            <w:tcW w:w="1151" w:type="dxa"/>
            <w:shd w:val="clear" w:color="auto" w:fill="auto"/>
            <w:tcMar>
              <w:left w:w="58" w:type="dxa"/>
              <w:right w:w="58" w:type="dxa"/>
            </w:tcMar>
            <w:vAlign w:val="bottom"/>
          </w:tcPr>
          <w:p w14:paraId="3E76688B" w14:textId="77777777" w:rsidR="00F93B95" w:rsidRPr="00CE3053" w:rsidRDefault="00F93B95" w:rsidP="00F93B95">
            <w:pPr>
              <w:pStyle w:val="TableText"/>
              <w:spacing w:before="0" w:after="0"/>
              <w:jc w:val="right"/>
              <w:rPr>
                <w:rFonts w:ascii="Arial" w:hAnsi="Arial"/>
                <w:b/>
                <w:color w:val="000000"/>
                <w:sz w:val="18"/>
                <w:lang w:val="mk-MK"/>
              </w:rPr>
            </w:pPr>
          </w:p>
        </w:tc>
        <w:tc>
          <w:tcPr>
            <w:tcW w:w="1146" w:type="dxa"/>
            <w:shd w:val="clear" w:color="auto" w:fill="auto"/>
            <w:tcMar>
              <w:left w:w="58" w:type="dxa"/>
              <w:right w:w="58" w:type="dxa"/>
            </w:tcMar>
            <w:vAlign w:val="bottom"/>
          </w:tcPr>
          <w:p w14:paraId="5F956DCB" w14:textId="77777777" w:rsidR="00F93B95" w:rsidRPr="00CE3053" w:rsidRDefault="00F93B95" w:rsidP="00F93B95">
            <w:pPr>
              <w:pStyle w:val="TableText"/>
              <w:spacing w:before="0" w:after="0"/>
              <w:jc w:val="right"/>
              <w:rPr>
                <w:rFonts w:ascii="Arial" w:hAnsi="Arial"/>
                <w:b/>
                <w:color w:val="000000"/>
                <w:sz w:val="18"/>
                <w:lang w:val="mk-MK"/>
              </w:rPr>
            </w:pPr>
          </w:p>
        </w:tc>
        <w:tc>
          <w:tcPr>
            <w:tcW w:w="1121" w:type="dxa"/>
            <w:shd w:val="clear" w:color="auto" w:fill="auto"/>
            <w:tcMar>
              <w:left w:w="58" w:type="dxa"/>
              <w:right w:w="58" w:type="dxa"/>
            </w:tcMar>
            <w:vAlign w:val="bottom"/>
          </w:tcPr>
          <w:p w14:paraId="02A1E1A9" w14:textId="77777777" w:rsidR="00F93B95" w:rsidRPr="00CE3053" w:rsidRDefault="00F93B95" w:rsidP="00F93B95">
            <w:pPr>
              <w:pStyle w:val="TableText"/>
              <w:spacing w:before="0" w:after="0"/>
              <w:jc w:val="right"/>
              <w:rPr>
                <w:rFonts w:ascii="Arial" w:hAnsi="Arial"/>
                <w:b/>
                <w:color w:val="000000"/>
                <w:sz w:val="18"/>
                <w:lang w:val="mk-MK"/>
              </w:rPr>
            </w:pPr>
          </w:p>
        </w:tc>
        <w:tc>
          <w:tcPr>
            <w:tcW w:w="1120" w:type="dxa"/>
            <w:shd w:val="clear" w:color="auto" w:fill="auto"/>
            <w:tcMar>
              <w:left w:w="58" w:type="dxa"/>
              <w:right w:w="58" w:type="dxa"/>
            </w:tcMar>
            <w:vAlign w:val="bottom"/>
          </w:tcPr>
          <w:p w14:paraId="175ACCDD" w14:textId="77777777" w:rsidR="00F93B95" w:rsidRPr="00CE3053" w:rsidRDefault="00F93B95" w:rsidP="00F93B95">
            <w:pPr>
              <w:pStyle w:val="TableText"/>
              <w:spacing w:before="0" w:after="0"/>
              <w:jc w:val="right"/>
              <w:rPr>
                <w:rFonts w:ascii="Arial" w:hAnsi="Arial"/>
                <w:b/>
                <w:color w:val="000000"/>
                <w:sz w:val="18"/>
                <w:lang w:val="mk-MK"/>
              </w:rPr>
            </w:pPr>
          </w:p>
        </w:tc>
      </w:tr>
      <w:tr w:rsidR="00F93B95" w:rsidRPr="001E6526" w14:paraId="6F4F5ABF" w14:textId="77777777" w:rsidTr="0025712C">
        <w:trPr>
          <w:trHeight w:val="216"/>
        </w:trPr>
        <w:tc>
          <w:tcPr>
            <w:tcW w:w="4102" w:type="dxa"/>
            <w:shd w:val="clear" w:color="auto" w:fill="auto"/>
            <w:tcMar>
              <w:left w:w="58" w:type="dxa"/>
              <w:right w:w="58" w:type="dxa"/>
            </w:tcMar>
            <w:vAlign w:val="bottom"/>
          </w:tcPr>
          <w:p w14:paraId="5E16B3D8" w14:textId="70767F67" w:rsidR="00F93B95" w:rsidRPr="00CE3053" w:rsidRDefault="005A3DD2" w:rsidP="00F93B95">
            <w:pPr>
              <w:spacing w:after="0"/>
              <w:rPr>
                <w:rFonts w:ascii="Arial" w:hAnsi="Arial" w:cs="Arial"/>
                <w:color w:val="000000"/>
                <w:lang w:val="mk-MK"/>
              </w:rPr>
            </w:pPr>
            <w:proofErr w:type="spellStart"/>
            <w:r w:rsidRPr="005A3DD2">
              <w:rPr>
                <w:rFonts w:ascii="Arial" w:hAnsi="Arial" w:cs="Arial"/>
                <w:color w:val="000000"/>
                <w:lang w:val="mk-MK"/>
              </w:rPr>
              <w:t>At</w:t>
            </w:r>
            <w:proofErr w:type="spellEnd"/>
            <w:r w:rsidRPr="005A3DD2">
              <w:rPr>
                <w:rFonts w:ascii="Arial" w:hAnsi="Arial" w:cs="Arial"/>
                <w:color w:val="000000"/>
                <w:lang w:val="mk-MK"/>
              </w:rPr>
              <w:t xml:space="preserve"> 01 </w:t>
            </w:r>
            <w:proofErr w:type="spellStart"/>
            <w:r w:rsidRPr="005A3DD2">
              <w:rPr>
                <w:rFonts w:ascii="Arial" w:hAnsi="Arial" w:cs="Arial"/>
                <w:color w:val="000000"/>
                <w:lang w:val="mk-MK"/>
              </w:rPr>
              <w:t>January</w:t>
            </w:r>
            <w:proofErr w:type="spellEnd"/>
            <w:r w:rsidRPr="005A3DD2">
              <w:rPr>
                <w:rFonts w:ascii="Arial" w:hAnsi="Arial" w:cs="Arial"/>
                <w:color w:val="000000"/>
                <w:lang w:val="mk-MK"/>
              </w:rPr>
              <w:t xml:space="preserve"> 2020</w:t>
            </w:r>
          </w:p>
        </w:tc>
        <w:tc>
          <w:tcPr>
            <w:tcW w:w="1151" w:type="dxa"/>
            <w:shd w:val="clear" w:color="auto" w:fill="auto"/>
            <w:tcMar>
              <w:left w:w="58" w:type="dxa"/>
              <w:right w:w="58" w:type="dxa"/>
            </w:tcMar>
            <w:vAlign w:val="bottom"/>
          </w:tcPr>
          <w:p w14:paraId="27FE5796" w14:textId="77777777" w:rsidR="00F93B95" w:rsidRPr="00CE3053" w:rsidRDefault="00F93B95" w:rsidP="00F93B95">
            <w:pPr>
              <w:spacing w:after="0"/>
              <w:jc w:val="right"/>
              <w:rPr>
                <w:rFonts w:ascii="Arial" w:hAnsi="Arial" w:cs="Arial"/>
                <w:color w:val="000000"/>
                <w:lang w:val="mk-MK"/>
              </w:rPr>
            </w:pPr>
          </w:p>
        </w:tc>
        <w:tc>
          <w:tcPr>
            <w:tcW w:w="1146" w:type="dxa"/>
            <w:shd w:val="clear" w:color="auto" w:fill="auto"/>
            <w:tcMar>
              <w:left w:w="58" w:type="dxa"/>
              <w:right w:w="58" w:type="dxa"/>
            </w:tcMar>
            <w:vAlign w:val="bottom"/>
          </w:tcPr>
          <w:p w14:paraId="6372E178" w14:textId="77777777" w:rsidR="00F93B95" w:rsidRPr="00CE3053" w:rsidRDefault="00F93B95" w:rsidP="00F93B95">
            <w:pPr>
              <w:spacing w:after="0"/>
              <w:jc w:val="right"/>
              <w:rPr>
                <w:rFonts w:ascii="Arial" w:hAnsi="Arial" w:cs="Arial"/>
                <w:color w:val="000000"/>
                <w:lang w:val="mk-MK"/>
              </w:rPr>
            </w:pPr>
          </w:p>
        </w:tc>
        <w:tc>
          <w:tcPr>
            <w:tcW w:w="1121" w:type="dxa"/>
            <w:shd w:val="clear" w:color="auto" w:fill="auto"/>
            <w:tcMar>
              <w:left w:w="58" w:type="dxa"/>
              <w:right w:w="58" w:type="dxa"/>
            </w:tcMar>
            <w:vAlign w:val="bottom"/>
          </w:tcPr>
          <w:p w14:paraId="4940997A" w14:textId="77777777" w:rsidR="00F93B95" w:rsidRPr="00CE3053" w:rsidRDefault="00F93B95" w:rsidP="00F93B95">
            <w:pPr>
              <w:spacing w:after="0"/>
              <w:jc w:val="right"/>
              <w:rPr>
                <w:rFonts w:ascii="Arial" w:hAnsi="Arial" w:cs="Arial"/>
                <w:color w:val="000000"/>
                <w:lang w:val="mk-MK"/>
              </w:rPr>
            </w:pPr>
          </w:p>
        </w:tc>
        <w:tc>
          <w:tcPr>
            <w:tcW w:w="1120" w:type="dxa"/>
            <w:shd w:val="clear" w:color="auto" w:fill="auto"/>
            <w:tcMar>
              <w:left w:w="58" w:type="dxa"/>
              <w:right w:w="58" w:type="dxa"/>
            </w:tcMar>
            <w:vAlign w:val="bottom"/>
          </w:tcPr>
          <w:p w14:paraId="4E4CB1D7" w14:textId="5C9C5D89" w:rsidR="00F93B95" w:rsidRPr="00CE3053" w:rsidRDefault="00C550F0" w:rsidP="00F93B95">
            <w:pPr>
              <w:spacing w:after="0"/>
              <w:jc w:val="right"/>
              <w:rPr>
                <w:rFonts w:ascii="Arial" w:hAnsi="Arial" w:cs="Arial"/>
                <w:color w:val="000000"/>
                <w:lang w:val="mk-MK"/>
              </w:rPr>
            </w:pPr>
            <w:r w:rsidRPr="00CE3053">
              <w:rPr>
                <w:rFonts w:ascii="Arial" w:hAnsi="Arial" w:cs="Arial"/>
                <w:color w:val="000000"/>
                <w:lang w:val="mk-MK"/>
              </w:rPr>
              <w:t>711</w:t>
            </w:r>
          </w:p>
        </w:tc>
      </w:tr>
      <w:tr w:rsidR="00F93B95" w:rsidRPr="001E6526" w14:paraId="542993F7" w14:textId="77777777" w:rsidTr="0025712C">
        <w:trPr>
          <w:trHeight w:val="216"/>
        </w:trPr>
        <w:tc>
          <w:tcPr>
            <w:tcW w:w="4102" w:type="dxa"/>
            <w:shd w:val="clear" w:color="auto" w:fill="auto"/>
            <w:tcMar>
              <w:left w:w="58" w:type="dxa"/>
              <w:right w:w="58" w:type="dxa"/>
            </w:tcMar>
            <w:vAlign w:val="bottom"/>
          </w:tcPr>
          <w:p w14:paraId="525942D4" w14:textId="56F142FF" w:rsidR="00F93B95" w:rsidRPr="00CE3053" w:rsidRDefault="005A3DD2" w:rsidP="00F93B95">
            <w:pPr>
              <w:spacing w:after="0"/>
              <w:rPr>
                <w:rFonts w:ascii="Arial" w:hAnsi="Arial" w:cs="Arial"/>
                <w:b/>
                <w:bCs/>
                <w:color w:val="000000"/>
                <w:lang w:val="mk-MK"/>
              </w:rPr>
            </w:pPr>
            <w:proofErr w:type="spellStart"/>
            <w:r w:rsidRPr="005A3DD2">
              <w:rPr>
                <w:rFonts w:ascii="Arial" w:hAnsi="Arial" w:cs="Arial"/>
                <w:color w:val="000000"/>
                <w:lang w:val="mk-MK"/>
              </w:rPr>
              <w:t>Depreciation</w:t>
            </w:r>
            <w:proofErr w:type="spellEnd"/>
            <w:r w:rsidRPr="005A3DD2">
              <w:rPr>
                <w:rFonts w:ascii="Arial" w:hAnsi="Arial" w:cs="Arial"/>
                <w:color w:val="000000"/>
                <w:lang w:val="mk-MK"/>
              </w:rPr>
              <w:t xml:space="preserve"> </w:t>
            </w:r>
            <w:proofErr w:type="spellStart"/>
            <w:r w:rsidRPr="005A3DD2">
              <w:rPr>
                <w:rFonts w:ascii="Arial" w:hAnsi="Arial" w:cs="Arial"/>
                <w:color w:val="000000"/>
                <w:lang w:val="mk-MK"/>
              </w:rPr>
              <w:t>for</w:t>
            </w:r>
            <w:proofErr w:type="spellEnd"/>
            <w:r w:rsidRPr="005A3DD2">
              <w:rPr>
                <w:rFonts w:ascii="Arial" w:hAnsi="Arial" w:cs="Arial"/>
                <w:color w:val="000000"/>
                <w:lang w:val="mk-MK"/>
              </w:rPr>
              <w:t xml:space="preserve"> </w:t>
            </w:r>
            <w:proofErr w:type="spellStart"/>
            <w:r w:rsidRPr="005A3DD2">
              <w:rPr>
                <w:rFonts w:ascii="Arial" w:hAnsi="Arial" w:cs="Arial"/>
                <w:color w:val="000000"/>
                <w:lang w:val="mk-MK"/>
              </w:rPr>
              <w:t>the</w:t>
            </w:r>
            <w:proofErr w:type="spellEnd"/>
            <w:r w:rsidRPr="005A3DD2">
              <w:rPr>
                <w:rFonts w:ascii="Arial" w:hAnsi="Arial" w:cs="Arial"/>
                <w:color w:val="000000"/>
                <w:lang w:val="mk-MK"/>
              </w:rPr>
              <w:t xml:space="preserve"> </w:t>
            </w:r>
            <w:proofErr w:type="spellStart"/>
            <w:r w:rsidRPr="005A3DD2">
              <w:rPr>
                <w:rFonts w:ascii="Arial" w:hAnsi="Arial" w:cs="Arial"/>
                <w:color w:val="000000"/>
                <w:lang w:val="mk-MK"/>
              </w:rPr>
              <w:t>year</w:t>
            </w:r>
            <w:proofErr w:type="spellEnd"/>
          </w:p>
        </w:tc>
        <w:tc>
          <w:tcPr>
            <w:tcW w:w="1151" w:type="dxa"/>
            <w:shd w:val="clear" w:color="auto" w:fill="auto"/>
            <w:tcMar>
              <w:left w:w="58" w:type="dxa"/>
              <w:right w:w="58" w:type="dxa"/>
            </w:tcMar>
            <w:vAlign w:val="bottom"/>
          </w:tcPr>
          <w:p w14:paraId="45659928" w14:textId="77777777" w:rsidR="00F93B95" w:rsidRPr="00CE3053" w:rsidRDefault="00F93B95" w:rsidP="00F93B95">
            <w:pPr>
              <w:spacing w:after="0"/>
              <w:jc w:val="right"/>
              <w:rPr>
                <w:rFonts w:ascii="Arial" w:hAnsi="Arial" w:cs="Arial"/>
                <w:b/>
                <w:bCs/>
                <w:color w:val="000000"/>
                <w:lang w:val="mk-MK"/>
              </w:rPr>
            </w:pPr>
          </w:p>
        </w:tc>
        <w:tc>
          <w:tcPr>
            <w:tcW w:w="1146" w:type="dxa"/>
            <w:shd w:val="clear" w:color="auto" w:fill="auto"/>
            <w:tcMar>
              <w:left w:w="58" w:type="dxa"/>
              <w:right w:w="58" w:type="dxa"/>
            </w:tcMar>
            <w:vAlign w:val="bottom"/>
          </w:tcPr>
          <w:p w14:paraId="65B15AB6" w14:textId="77777777" w:rsidR="00F93B95" w:rsidRPr="00CE3053" w:rsidRDefault="00F93B95" w:rsidP="00F93B95">
            <w:pPr>
              <w:spacing w:after="0"/>
              <w:jc w:val="right"/>
              <w:rPr>
                <w:rFonts w:ascii="Arial" w:hAnsi="Arial" w:cs="Arial"/>
                <w:b/>
                <w:bCs/>
                <w:color w:val="000000"/>
                <w:lang w:val="mk-MK"/>
              </w:rPr>
            </w:pPr>
          </w:p>
        </w:tc>
        <w:tc>
          <w:tcPr>
            <w:tcW w:w="1121" w:type="dxa"/>
            <w:shd w:val="clear" w:color="auto" w:fill="auto"/>
            <w:tcMar>
              <w:left w:w="58" w:type="dxa"/>
              <w:right w:w="58" w:type="dxa"/>
            </w:tcMar>
            <w:vAlign w:val="bottom"/>
          </w:tcPr>
          <w:p w14:paraId="5FF1E762" w14:textId="77777777" w:rsidR="00F93B95" w:rsidRPr="00CE3053" w:rsidRDefault="00F93B95" w:rsidP="00F93B95">
            <w:pPr>
              <w:spacing w:after="0"/>
              <w:jc w:val="right"/>
              <w:rPr>
                <w:rFonts w:ascii="Arial" w:hAnsi="Arial" w:cs="Arial"/>
                <w:b/>
                <w:bCs/>
                <w:color w:val="000000"/>
                <w:lang w:val="mk-MK"/>
              </w:rPr>
            </w:pPr>
          </w:p>
        </w:tc>
        <w:tc>
          <w:tcPr>
            <w:tcW w:w="1120" w:type="dxa"/>
            <w:shd w:val="clear" w:color="auto" w:fill="auto"/>
            <w:tcMar>
              <w:left w:w="58" w:type="dxa"/>
              <w:right w:w="58" w:type="dxa"/>
            </w:tcMar>
            <w:vAlign w:val="bottom"/>
          </w:tcPr>
          <w:p w14:paraId="5E4690B0" w14:textId="53CDDEFD" w:rsidR="00F93B95" w:rsidRPr="00CE3053" w:rsidRDefault="00F93B95" w:rsidP="00F93B95">
            <w:pPr>
              <w:spacing w:after="0"/>
              <w:jc w:val="right"/>
              <w:rPr>
                <w:rFonts w:ascii="Arial" w:hAnsi="Arial" w:cs="Arial"/>
                <w:color w:val="000000"/>
                <w:lang w:val="mk-MK"/>
              </w:rPr>
            </w:pPr>
            <w:r w:rsidRPr="001E6526">
              <w:rPr>
                <w:rFonts w:ascii="Arial" w:hAnsi="Arial" w:cs="Arial"/>
                <w:color w:val="000000"/>
                <w:lang w:val="mk-MK"/>
              </w:rPr>
              <w:t>2</w:t>
            </w:r>
            <w:r w:rsidR="00C550F0" w:rsidRPr="00CE3053">
              <w:rPr>
                <w:rFonts w:ascii="Arial" w:hAnsi="Arial" w:cs="Arial"/>
                <w:color w:val="000000"/>
                <w:lang w:val="mk-MK"/>
              </w:rPr>
              <w:t>12</w:t>
            </w:r>
          </w:p>
        </w:tc>
      </w:tr>
      <w:tr w:rsidR="00F93B95" w:rsidRPr="001E6526" w14:paraId="2F3C41B0" w14:textId="77777777" w:rsidTr="0025712C">
        <w:trPr>
          <w:trHeight w:val="216"/>
        </w:trPr>
        <w:tc>
          <w:tcPr>
            <w:tcW w:w="4102" w:type="dxa"/>
            <w:tcBorders>
              <w:top w:val="single" w:sz="4" w:space="0" w:color="auto"/>
            </w:tcBorders>
            <w:shd w:val="clear" w:color="auto" w:fill="auto"/>
            <w:tcMar>
              <w:left w:w="58" w:type="dxa"/>
              <w:right w:w="58" w:type="dxa"/>
            </w:tcMar>
            <w:vAlign w:val="bottom"/>
          </w:tcPr>
          <w:p w14:paraId="5A1E5760" w14:textId="433936DC" w:rsidR="00F93B95" w:rsidRPr="00CE3053" w:rsidRDefault="005A3DD2" w:rsidP="00F93B95">
            <w:pPr>
              <w:spacing w:after="0"/>
              <w:rPr>
                <w:rFonts w:ascii="Arial" w:hAnsi="Arial" w:cs="Arial"/>
                <w:b/>
                <w:bCs/>
                <w:color w:val="000000"/>
                <w:lang w:val="mk-MK"/>
              </w:rPr>
            </w:pPr>
            <w:proofErr w:type="spellStart"/>
            <w:r w:rsidRPr="005A3DD2">
              <w:rPr>
                <w:rFonts w:ascii="Arial" w:hAnsi="Arial" w:cs="Arial"/>
                <w:b/>
                <w:bCs/>
                <w:color w:val="000000"/>
                <w:lang w:val="mk-MK"/>
              </w:rPr>
              <w:t>At</w:t>
            </w:r>
            <w:proofErr w:type="spellEnd"/>
            <w:r w:rsidRPr="005A3DD2">
              <w:rPr>
                <w:rFonts w:ascii="Arial" w:hAnsi="Arial" w:cs="Arial"/>
                <w:b/>
                <w:bCs/>
                <w:color w:val="000000"/>
                <w:lang w:val="mk-MK"/>
              </w:rPr>
              <w:t xml:space="preserve"> 31 </w:t>
            </w:r>
            <w:proofErr w:type="spellStart"/>
            <w:r w:rsidRPr="005A3DD2">
              <w:rPr>
                <w:rFonts w:ascii="Arial" w:hAnsi="Arial" w:cs="Arial"/>
                <w:b/>
                <w:bCs/>
                <w:color w:val="000000"/>
                <w:lang w:val="mk-MK"/>
              </w:rPr>
              <w:t>December</w:t>
            </w:r>
            <w:proofErr w:type="spellEnd"/>
            <w:r w:rsidRPr="005A3DD2">
              <w:rPr>
                <w:rFonts w:ascii="Arial" w:hAnsi="Arial" w:cs="Arial"/>
                <w:b/>
                <w:bCs/>
                <w:color w:val="000000"/>
                <w:lang w:val="mk-MK"/>
              </w:rPr>
              <w:t xml:space="preserve"> 2020</w:t>
            </w:r>
          </w:p>
        </w:tc>
        <w:tc>
          <w:tcPr>
            <w:tcW w:w="1151" w:type="dxa"/>
            <w:tcBorders>
              <w:top w:val="single" w:sz="4" w:space="0" w:color="auto"/>
            </w:tcBorders>
            <w:shd w:val="clear" w:color="auto" w:fill="auto"/>
            <w:tcMar>
              <w:left w:w="58" w:type="dxa"/>
              <w:right w:w="58" w:type="dxa"/>
            </w:tcMar>
            <w:vAlign w:val="bottom"/>
          </w:tcPr>
          <w:p w14:paraId="590AE640" w14:textId="77777777" w:rsidR="00F93B95" w:rsidRPr="00CE3053" w:rsidRDefault="00F93B95" w:rsidP="00F93B95">
            <w:pPr>
              <w:spacing w:after="0"/>
              <w:jc w:val="right"/>
              <w:rPr>
                <w:rFonts w:ascii="Arial" w:hAnsi="Arial" w:cs="Arial"/>
                <w:b/>
                <w:bCs/>
                <w:color w:val="000000"/>
                <w:lang w:val="mk-MK"/>
              </w:rPr>
            </w:pPr>
          </w:p>
        </w:tc>
        <w:tc>
          <w:tcPr>
            <w:tcW w:w="1146" w:type="dxa"/>
            <w:tcBorders>
              <w:top w:val="single" w:sz="4" w:space="0" w:color="auto"/>
            </w:tcBorders>
            <w:shd w:val="clear" w:color="auto" w:fill="auto"/>
            <w:tcMar>
              <w:left w:w="58" w:type="dxa"/>
              <w:right w:w="58" w:type="dxa"/>
            </w:tcMar>
            <w:vAlign w:val="bottom"/>
          </w:tcPr>
          <w:p w14:paraId="12300011" w14:textId="77777777" w:rsidR="00F93B95" w:rsidRPr="00CE3053" w:rsidRDefault="00F93B95" w:rsidP="00F93B95">
            <w:pPr>
              <w:spacing w:after="0"/>
              <w:jc w:val="right"/>
              <w:rPr>
                <w:rFonts w:ascii="Arial" w:hAnsi="Arial" w:cs="Arial"/>
                <w:b/>
                <w:bCs/>
                <w:color w:val="000000"/>
                <w:lang w:val="mk-MK"/>
              </w:rPr>
            </w:pPr>
          </w:p>
        </w:tc>
        <w:tc>
          <w:tcPr>
            <w:tcW w:w="1121" w:type="dxa"/>
            <w:tcBorders>
              <w:top w:val="single" w:sz="4" w:space="0" w:color="auto"/>
            </w:tcBorders>
            <w:shd w:val="clear" w:color="auto" w:fill="auto"/>
            <w:tcMar>
              <w:left w:w="58" w:type="dxa"/>
              <w:right w:w="58" w:type="dxa"/>
            </w:tcMar>
            <w:vAlign w:val="bottom"/>
          </w:tcPr>
          <w:p w14:paraId="567F4558" w14:textId="77777777" w:rsidR="00F93B95" w:rsidRPr="00CE3053" w:rsidRDefault="00F93B95" w:rsidP="00F93B95">
            <w:pPr>
              <w:spacing w:after="0"/>
              <w:jc w:val="right"/>
              <w:rPr>
                <w:rFonts w:ascii="Arial" w:hAnsi="Arial" w:cs="Arial"/>
                <w:b/>
                <w:bCs/>
                <w:color w:val="000000"/>
                <w:lang w:val="mk-MK"/>
              </w:rPr>
            </w:pPr>
          </w:p>
        </w:tc>
        <w:tc>
          <w:tcPr>
            <w:tcW w:w="1120" w:type="dxa"/>
            <w:tcBorders>
              <w:top w:val="single" w:sz="4" w:space="0" w:color="auto"/>
            </w:tcBorders>
            <w:shd w:val="clear" w:color="auto" w:fill="auto"/>
            <w:tcMar>
              <w:left w:w="58" w:type="dxa"/>
              <w:right w:w="58" w:type="dxa"/>
            </w:tcMar>
            <w:vAlign w:val="bottom"/>
          </w:tcPr>
          <w:p w14:paraId="6B943182" w14:textId="7CFB9800" w:rsidR="00F93B95" w:rsidRPr="00CE3053" w:rsidRDefault="00C550F0" w:rsidP="00F93B95">
            <w:pPr>
              <w:spacing w:after="0"/>
              <w:jc w:val="right"/>
              <w:rPr>
                <w:rFonts w:ascii="Arial" w:hAnsi="Arial" w:cs="Arial"/>
                <w:b/>
                <w:bCs/>
                <w:color w:val="000000"/>
                <w:lang w:val="mk-MK"/>
              </w:rPr>
            </w:pPr>
            <w:r w:rsidRPr="00CE3053">
              <w:rPr>
                <w:rFonts w:ascii="Arial" w:hAnsi="Arial" w:cs="Arial"/>
                <w:b/>
                <w:bCs/>
                <w:color w:val="000000"/>
                <w:lang w:val="mk-MK"/>
              </w:rPr>
              <w:t>923</w:t>
            </w:r>
          </w:p>
        </w:tc>
      </w:tr>
      <w:tr w:rsidR="00F93B95" w:rsidRPr="001E6526" w14:paraId="0FD5EFBD" w14:textId="77777777" w:rsidTr="0025712C">
        <w:trPr>
          <w:trHeight w:val="216"/>
        </w:trPr>
        <w:tc>
          <w:tcPr>
            <w:tcW w:w="4102" w:type="dxa"/>
            <w:shd w:val="clear" w:color="auto" w:fill="auto"/>
            <w:tcMar>
              <w:left w:w="58" w:type="dxa"/>
              <w:right w:w="58" w:type="dxa"/>
            </w:tcMar>
            <w:vAlign w:val="bottom"/>
          </w:tcPr>
          <w:p w14:paraId="35B0C159" w14:textId="77777777" w:rsidR="00F93B95" w:rsidRPr="00CE3053" w:rsidRDefault="00F93B95" w:rsidP="00F93B95">
            <w:pPr>
              <w:pStyle w:val="TableText"/>
              <w:spacing w:before="0" w:after="0"/>
              <w:rPr>
                <w:rFonts w:ascii="Arial" w:hAnsi="Arial"/>
                <w:bCs/>
                <w:sz w:val="18"/>
                <w:lang w:val="mk-MK"/>
              </w:rPr>
            </w:pPr>
          </w:p>
        </w:tc>
        <w:tc>
          <w:tcPr>
            <w:tcW w:w="1151" w:type="dxa"/>
            <w:shd w:val="clear" w:color="auto" w:fill="auto"/>
            <w:tcMar>
              <w:left w:w="58" w:type="dxa"/>
              <w:right w:w="58" w:type="dxa"/>
            </w:tcMar>
            <w:vAlign w:val="bottom"/>
          </w:tcPr>
          <w:p w14:paraId="58F646F3" w14:textId="77777777" w:rsidR="00F93B95" w:rsidRPr="00CE3053" w:rsidRDefault="00F93B95" w:rsidP="00F93B95">
            <w:pPr>
              <w:pStyle w:val="TableText"/>
              <w:spacing w:before="0" w:after="0"/>
              <w:jc w:val="right"/>
              <w:rPr>
                <w:rFonts w:ascii="Arial" w:hAnsi="Arial"/>
                <w:color w:val="000000"/>
                <w:sz w:val="18"/>
                <w:lang w:val="mk-MK"/>
              </w:rPr>
            </w:pPr>
          </w:p>
        </w:tc>
        <w:tc>
          <w:tcPr>
            <w:tcW w:w="1146" w:type="dxa"/>
            <w:shd w:val="clear" w:color="auto" w:fill="auto"/>
            <w:tcMar>
              <w:left w:w="58" w:type="dxa"/>
              <w:right w:w="58" w:type="dxa"/>
            </w:tcMar>
            <w:vAlign w:val="bottom"/>
          </w:tcPr>
          <w:p w14:paraId="7B0CCD63" w14:textId="77777777" w:rsidR="00F93B95" w:rsidRPr="00CE3053" w:rsidRDefault="00F93B95" w:rsidP="00F93B95">
            <w:pPr>
              <w:pStyle w:val="TableText"/>
              <w:spacing w:before="0" w:after="0"/>
              <w:jc w:val="right"/>
              <w:rPr>
                <w:rFonts w:ascii="Arial" w:hAnsi="Arial"/>
                <w:color w:val="000000"/>
                <w:sz w:val="18"/>
                <w:lang w:val="mk-MK"/>
              </w:rPr>
            </w:pPr>
          </w:p>
        </w:tc>
        <w:tc>
          <w:tcPr>
            <w:tcW w:w="1121" w:type="dxa"/>
            <w:shd w:val="clear" w:color="auto" w:fill="auto"/>
            <w:tcMar>
              <w:left w:w="58" w:type="dxa"/>
              <w:right w:w="58" w:type="dxa"/>
            </w:tcMar>
            <w:vAlign w:val="bottom"/>
          </w:tcPr>
          <w:p w14:paraId="35304B7F" w14:textId="77777777" w:rsidR="00F93B95" w:rsidRPr="00CE3053" w:rsidRDefault="00F93B95" w:rsidP="00F93B95">
            <w:pPr>
              <w:pStyle w:val="TableText"/>
              <w:spacing w:before="0" w:after="0"/>
              <w:jc w:val="right"/>
              <w:rPr>
                <w:rFonts w:ascii="Arial" w:hAnsi="Arial"/>
                <w:color w:val="000000"/>
                <w:sz w:val="18"/>
                <w:lang w:val="mk-MK"/>
              </w:rPr>
            </w:pPr>
          </w:p>
        </w:tc>
        <w:tc>
          <w:tcPr>
            <w:tcW w:w="1120" w:type="dxa"/>
            <w:shd w:val="clear" w:color="auto" w:fill="auto"/>
            <w:tcMar>
              <w:left w:w="58" w:type="dxa"/>
              <w:right w:w="58" w:type="dxa"/>
            </w:tcMar>
            <w:vAlign w:val="bottom"/>
          </w:tcPr>
          <w:p w14:paraId="18CD1CC8" w14:textId="77777777" w:rsidR="00F93B95" w:rsidRPr="00CE3053" w:rsidRDefault="00F93B95" w:rsidP="00F93B95">
            <w:pPr>
              <w:pStyle w:val="TableText"/>
              <w:spacing w:before="0" w:after="0"/>
              <w:jc w:val="right"/>
              <w:rPr>
                <w:rFonts w:ascii="Arial" w:hAnsi="Arial"/>
                <w:color w:val="000000"/>
                <w:sz w:val="18"/>
                <w:lang w:val="mk-MK"/>
              </w:rPr>
            </w:pPr>
          </w:p>
        </w:tc>
      </w:tr>
      <w:tr w:rsidR="00F93B95" w:rsidRPr="001E6526" w14:paraId="4B833FB7" w14:textId="77777777" w:rsidTr="0025712C">
        <w:trPr>
          <w:trHeight w:val="216"/>
        </w:trPr>
        <w:tc>
          <w:tcPr>
            <w:tcW w:w="4102" w:type="dxa"/>
            <w:shd w:val="clear" w:color="auto" w:fill="auto"/>
            <w:tcMar>
              <w:left w:w="58" w:type="dxa"/>
              <w:right w:w="58" w:type="dxa"/>
            </w:tcMar>
            <w:vAlign w:val="bottom"/>
          </w:tcPr>
          <w:p w14:paraId="1D5AD94A" w14:textId="53009875" w:rsidR="00F93B95" w:rsidRPr="005A3DD2" w:rsidRDefault="005A3DD2" w:rsidP="00F93B95">
            <w:pPr>
              <w:spacing w:after="0"/>
              <w:rPr>
                <w:rFonts w:ascii="Arial" w:hAnsi="Arial" w:cs="Arial"/>
                <w:color w:val="000000"/>
              </w:rPr>
            </w:pPr>
            <w:proofErr w:type="spellStart"/>
            <w:r w:rsidRPr="005A3DD2">
              <w:rPr>
                <w:rFonts w:ascii="Arial" w:hAnsi="Arial" w:cs="Arial"/>
                <w:color w:val="000000"/>
                <w:lang w:val="mk-MK"/>
              </w:rPr>
              <w:t>At</w:t>
            </w:r>
            <w:proofErr w:type="spellEnd"/>
            <w:r w:rsidRPr="005A3DD2">
              <w:rPr>
                <w:rFonts w:ascii="Arial" w:hAnsi="Arial" w:cs="Arial"/>
                <w:color w:val="000000"/>
                <w:lang w:val="mk-MK"/>
              </w:rPr>
              <w:t xml:space="preserve"> 01 </w:t>
            </w:r>
            <w:proofErr w:type="spellStart"/>
            <w:r w:rsidRPr="005A3DD2">
              <w:rPr>
                <w:rFonts w:ascii="Arial" w:hAnsi="Arial" w:cs="Arial"/>
                <w:color w:val="000000"/>
                <w:lang w:val="mk-MK"/>
              </w:rPr>
              <w:t>January</w:t>
            </w:r>
            <w:proofErr w:type="spellEnd"/>
            <w:r w:rsidRPr="005A3DD2">
              <w:rPr>
                <w:rFonts w:ascii="Arial" w:hAnsi="Arial" w:cs="Arial"/>
                <w:color w:val="000000"/>
                <w:lang w:val="mk-MK"/>
              </w:rPr>
              <w:t xml:space="preserve"> </w:t>
            </w:r>
            <w:r w:rsidR="00F93B95" w:rsidRPr="00CE3053">
              <w:rPr>
                <w:rFonts w:ascii="Arial" w:hAnsi="Arial" w:cs="Arial"/>
                <w:color w:val="000000"/>
                <w:lang w:val="mk-MK"/>
              </w:rPr>
              <w:t>202</w:t>
            </w:r>
            <w:r w:rsidR="00C550F0" w:rsidRPr="00CE3053">
              <w:rPr>
                <w:rFonts w:ascii="Arial" w:hAnsi="Arial" w:cs="Arial"/>
                <w:color w:val="000000"/>
                <w:lang w:val="mk-MK"/>
              </w:rPr>
              <w:t>1</w:t>
            </w:r>
            <w:r w:rsidR="00F93B95" w:rsidRPr="00CE3053">
              <w:rPr>
                <w:rFonts w:ascii="Arial" w:hAnsi="Arial" w:cs="Arial"/>
                <w:color w:val="000000"/>
                <w:lang w:val="mk-MK"/>
              </w:rPr>
              <w:t xml:space="preserve"> </w:t>
            </w:r>
          </w:p>
        </w:tc>
        <w:tc>
          <w:tcPr>
            <w:tcW w:w="1151" w:type="dxa"/>
            <w:shd w:val="clear" w:color="auto" w:fill="auto"/>
            <w:tcMar>
              <w:left w:w="58" w:type="dxa"/>
              <w:right w:w="58" w:type="dxa"/>
            </w:tcMar>
            <w:vAlign w:val="bottom"/>
          </w:tcPr>
          <w:p w14:paraId="414EA521" w14:textId="77777777" w:rsidR="00F93B95" w:rsidRPr="00CE3053" w:rsidRDefault="00F93B95" w:rsidP="00F93B95">
            <w:pPr>
              <w:spacing w:after="0"/>
              <w:jc w:val="right"/>
              <w:rPr>
                <w:rFonts w:ascii="Arial" w:hAnsi="Arial" w:cs="Arial"/>
                <w:color w:val="000000"/>
                <w:lang w:val="mk-MK"/>
              </w:rPr>
            </w:pPr>
          </w:p>
        </w:tc>
        <w:tc>
          <w:tcPr>
            <w:tcW w:w="1146" w:type="dxa"/>
            <w:shd w:val="clear" w:color="auto" w:fill="auto"/>
            <w:tcMar>
              <w:left w:w="58" w:type="dxa"/>
              <w:right w:w="58" w:type="dxa"/>
            </w:tcMar>
            <w:vAlign w:val="bottom"/>
          </w:tcPr>
          <w:p w14:paraId="0121B424" w14:textId="77777777" w:rsidR="00F93B95" w:rsidRPr="00CE3053" w:rsidRDefault="00F93B95" w:rsidP="00F93B95">
            <w:pPr>
              <w:spacing w:after="0"/>
              <w:jc w:val="right"/>
              <w:rPr>
                <w:rFonts w:ascii="Arial" w:hAnsi="Arial" w:cs="Arial"/>
                <w:color w:val="000000"/>
                <w:lang w:val="mk-MK"/>
              </w:rPr>
            </w:pPr>
          </w:p>
        </w:tc>
        <w:tc>
          <w:tcPr>
            <w:tcW w:w="1121" w:type="dxa"/>
            <w:shd w:val="clear" w:color="auto" w:fill="auto"/>
            <w:tcMar>
              <w:left w:w="58" w:type="dxa"/>
              <w:right w:w="58" w:type="dxa"/>
            </w:tcMar>
            <w:vAlign w:val="bottom"/>
          </w:tcPr>
          <w:p w14:paraId="050871B1" w14:textId="77777777" w:rsidR="00F93B95" w:rsidRPr="00CE3053" w:rsidRDefault="00F93B95" w:rsidP="00F93B95">
            <w:pPr>
              <w:spacing w:after="0"/>
              <w:jc w:val="right"/>
              <w:rPr>
                <w:rFonts w:ascii="Arial" w:hAnsi="Arial" w:cs="Arial"/>
                <w:color w:val="000000"/>
                <w:lang w:val="mk-MK"/>
              </w:rPr>
            </w:pPr>
          </w:p>
        </w:tc>
        <w:tc>
          <w:tcPr>
            <w:tcW w:w="1120" w:type="dxa"/>
            <w:shd w:val="clear" w:color="auto" w:fill="auto"/>
            <w:tcMar>
              <w:left w:w="58" w:type="dxa"/>
              <w:right w:w="58" w:type="dxa"/>
            </w:tcMar>
            <w:vAlign w:val="bottom"/>
          </w:tcPr>
          <w:p w14:paraId="2FFE5803" w14:textId="75ECCCE2" w:rsidR="00F93B95" w:rsidRPr="001E6526" w:rsidRDefault="00C550F0" w:rsidP="00F93B95">
            <w:pPr>
              <w:spacing w:after="0"/>
              <w:jc w:val="right"/>
              <w:rPr>
                <w:rFonts w:ascii="Arial" w:hAnsi="Arial" w:cs="Arial"/>
                <w:color w:val="000000"/>
                <w:lang w:val="mk-MK"/>
              </w:rPr>
            </w:pPr>
            <w:r w:rsidRPr="00CE3053">
              <w:rPr>
                <w:rFonts w:ascii="Arial" w:hAnsi="Arial" w:cs="Arial"/>
                <w:color w:val="000000"/>
                <w:lang w:val="mk-MK"/>
              </w:rPr>
              <w:t>923</w:t>
            </w:r>
          </w:p>
        </w:tc>
      </w:tr>
      <w:tr w:rsidR="00F93B95" w:rsidRPr="001E6526" w14:paraId="1F35EBF6" w14:textId="77777777" w:rsidTr="0025712C">
        <w:trPr>
          <w:trHeight w:val="216"/>
        </w:trPr>
        <w:tc>
          <w:tcPr>
            <w:tcW w:w="4102" w:type="dxa"/>
            <w:shd w:val="clear" w:color="auto" w:fill="auto"/>
            <w:tcMar>
              <w:left w:w="58" w:type="dxa"/>
              <w:right w:w="58" w:type="dxa"/>
            </w:tcMar>
            <w:vAlign w:val="bottom"/>
          </w:tcPr>
          <w:p w14:paraId="05303B1E" w14:textId="34DE77A1" w:rsidR="00F93B95" w:rsidRPr="00CE3053" w:rsidRDefault="005A3DD2" w:rsidP="00F93B95">
            <w:pPr>
              <w:spacing w:after="0"/>
              <w:rPr>
                <w:rFonts w:ascii="Arial" w:hAnsi="Arial" w:cs="Arial"/>
                <w:color w:val="000000"/>
                <w:lang w:val="mk-MK"/>
              </w:rPr>
            </w:pPr>
            <w:proofErr w:type="spellStart"/>
            <w:r w:rsidRPr="005A3DD2">
              <w:rPr>
                <w:rFonts w:ascii="Arial" w:hAnsi="Arial" w:cs="Arial"/>
                <w:color w:val="000000"/>
                <w:lang w:val="mk-MK"/>
              </w:rPr>
              <w:t>Depreciation</w:t>
            </w:r>
            <w:proofErr w:type="spellEnd"/>
            <w:r w:rsidRPr="005A3DD2">
              <w:rPr>
                <w:rFonts w:ascii="Arial" w:hAnsi="Arial" w:cs="Arial"/>
                <w:color w:val="000000"/>
                <w:lang w:val="mk-MK"/>
              </w:rPr>
              <w:t xml:space="preserve"> </w:t>
            </w:r>
            <w:proofErr w:type="spellStart"/>
            <w:r w:rsidRPr="005A3DD2">
              <w:rPr>
                <w:rFonts w:ascii="Arial" w:hAnsi="Arial" w:cs="Arial"/>
                <w:color w:val="000000"/>
                <w:lang w:val="mk-MK"/>
              </w:rPr>
              <w:t>for</w:t>
            </w:r>
            <w:proofErr w:type="spellEnd"/>
            <w:r w:rsidRPr="005A3DD2">
              <w:rPr>
                <w:rFonts w:ascii="Arial" w:hAnsi="Arial" w:cs="Arial"/>
                <w:color w:val="000000"/>
                <w:lang w:val="mk-MK"/>
              </w:rPr>
              <w:t xml:space="preserve"> </w:t>
            </w:r>
            <w:proofErr w:type="spellStart"/>
            <w:r w:rsidRPr="005A3DD2">
              <w:rPr>
                <w:rFonts w:ascii="Arial" w:hAnsi="Arial" w:cs="Arial"/>
                <w:color w:val="000000"/>
                <w:lang w:val="mk-MK"/>
              </w:rPr>
              <w:t>the</w:t>
            </w:r>
            <w:proofErr w:type="spellEnd"/>
            <w:r w:rsidRPr="005A3DD2">
              <w:rPr>
                <w:rFonts w:ascii="Arial" w:hAnsi="Arial" w:cs="Arial"/>
                <w:color w:val="000000"/>
                <w:lang w:val="mk-MK"/>
              </w:rPr>
              <w:t xml:space="preserve"> </w:t>
            </w:r>
            <w:proofErr w:type="spellStart"/>
            <w:r w:rsidRPr="005A3DD2">
              <w:rPr>
                <w:rFonts w:ascii="Arial" w:hAnsi="Arial" w:cs="Arial"/>
                <w:color w:val="000000"/>
                <w:lang w:val="mk-MK"/>
              </w:rPr>
              <w:t>year</w:t>
            </w:r>
            <w:proofErr w:type="spellEnd"/>
          </w:p>
        </w:tc>
        <w:tc>
          <w:tcPr>
            <w:tcW w:w="1151" w:type="dxa"/>
            <w:shd w:val="clear" w:color="auto" w:fill="auto"/>
            <w:tcMar>
              <w:left w:w="58" w:type="dxa"/>
              <w:right w:w="58" w:type="dxa"/>
            </w:tcMar>
            <w:vAlign w:val="bottom"/>
          </w:tcPr>
          <w:p w14:paraId="2658B1C9" w14:textId="77777777" w:rsidR="00F93B95" w:rsidRPr="00CE3053" w:rsidRDefault="00F93B95" w:rsidP="00F93B95">
            <w:pPr>
              <w:spacing w:after="0"/>
              <w:jc w:val="right"/>
              <w:rPr>
                <w:rFonts w:ascii="Arial" w:hAnsi="Arial" w:cs="Arial"/>
                <w:color w:val="000000"/>
                <w:lang w:val="mk-MK"/>
              </w:rPr>
            </w:pPr>
          </w:p>
        </w:tc>
        <w:tc>
          <w:tcPr>
            <w:tcW w:w="1146" w:type="dxa"/>
            <w:shd w:val="clear" w:color="auto" w:fill="auto"/>
            <w:tcMar>
              <w:left w:w="58" w:type="dxa"/>
              <w:right w:w="58" w:type="dxa"/>
            </w:tcMar>
            <w:vAlign w:val="bottom"/>
          </w:tcPr>
          <w:p w14:paraId="33A9353A" w14:textId="77777777" w:rsidR="00F93B95" w:rsidRPr="00CE3053" w:rsidRDefault="00F93B95" w:rsidP="00F93B95">
            <w:pPr>
              <w:spacing w:after="0"/>
              <w:jc w:val="right"/>
              <w:rPr>
                <w:rFonts w:ascii="Arial" w:hAnsi="Arial" w:cs="Arial"/>
                <w:color w:val="000000"/>
                <w:lang w:val="mk-MK"/>
              </w:rPr>
            </w:pPr>
          </w:p>
        </w:tc>
        <w:tc>
          <w:tcPr>
            <w:tcW w:w="1121" w:type="dxa"/>
            <w:shd w:val="clear" w:color="auto" w:fill="auto"/>
            <w:tcMar>
              <w:left w:w="58" w:type="dxa"/>
              <w:right w:w="58" w:type="dxa"/>
            </w:tcMar>
            <w:vAlign w:val="bottom"/>
          </w:tcPr>
          <w:p w14:paraId="7D6BB74D" w14:textId="77777777" w:rsidR="00F93B95" w:rsidRPr="00CE3053" w:rsidRDefault="00F93B95" w:rsidP="00F93B95">
            <w:pPr>
              <w:spacing w:after="0"/>
              <w:jc w:val="right"/>
              <w:rPr>
                <w:rFonts w:ascii="Arial" w:hAnsi="Arial" w:cs="Arial"/>
                <w:color w:val="000000"/>
                <w:lang w:val="mk-MK"/>
              </w:rPr>
            </w:pPr>
          </w:p>
        </w:tc>
        <w:tc>
          <w:tcPr>
            <w:tcW w:w="1120" w:type="dxa"/>
            <w:shd w:val="clear" w:color="auto" w:fill="auto"/>
            <w:tcMar>
              <w:left w:w="58" w:type="dxa"/>
              <w:right w:w="58" w:type="dxa"/>
            </w:tcMar>
            <w:vAlign w:val="bottom"/>
          </w:tcPr>
          <w:p w14:paraId="2863FEE2" w14:textId="2DF479B5" w:rsidR="00F93B95" w:rsidRPr="001E6526" w:rsidRDefault="00C550F0" w:rsidP="00F93B95">
            <w:pPr>
              <w:spacing w:after="0"/>
              <w:jc w:val="right"/>
              <w:rPr>
                <w:rFonts w:ascii="Arial" w:hAnsi="Arial" w:cs="Arial"/>
                <w:color w:val="000000"/>
                <w:lang w:val="mk-MK"/>
              </w:rPr>
            </w:pPr>
            <w:r w:rsidRPr="00CE3053">
              <w:rPr>
                <w:rFonts w:ascii="Arial" w:hAnsi="Arial" w:cs="Arial"/>
                <w:color w:val="000000"/>
                <w:lang w:val="mk-MK"/>
              </w:rPr>
              <w:t>-</w:t>
            </w:r>
          </w:p>
        </w:tc>
      </w:tr>
      <w:tr w:rsidR="00F93B95" w:rsidRPr="001E6526" w14:paraId="1EC039CF" w14:textId="77777777" w:rsidTr="0025712C">
        <w:trPr>
          <w:trHeight w:val="216"/>
        </w:trPr>
        <w:tc>
          <w:tcPr>
            <w:tcW w:w="4102" w:type="dxa"/>
            <w:tcBorders>
              <w:top w:val="single" w:sz="4" w:space="0" w:color="auto"/>
            </w:tcBorders>
            <w:shd w:val="clear" w:color="auto" w:fill="auto"/>
            <w:tcMar>
              <w:left w:w="58" w:type="dxa"/>
              <w:right w:w="58" w:type="dxa"/>
            </w:tcMar>
            <w:vAlign w:val="bottom"/>
          </w:tcPr>
          <w:p w14:paraId="72A9F742" w14:textId="1E27CC19" w:rsidR="00F93B95" w:rsidRPr="00CE3053" w:rsidRDefault="005A3DD2" w:rsidP="00F93B95">
            <w:pPr>
              <w:spacing w:after="0"/>
              <w:rPr>
                <w:rFonts w:ascii="Arial" w:hAnsi="Arial" w:cs="Arial"/>
                <w:b/>
                <w:bCs/>
                <w:color w:val="000000"/>
                <w:lang w:val="mk-MK"/>
              </w:rPr>
            </w:pPr>
            <w:proofErr w:type="spellStart"/>
            <w:r w:rsidRPr="009E2593">
              <w:rPr>
                <w:rFonts w:ascii="Arial" w:hAnsi="Arial" w:cs="Arial"/>
                <w:b/>
                <w:bCs/>
                <w:color w:val="000000"/>
                <w:lang w:val="mk-MK"/>
              </w:rPr>
              <w:t>At</w:t>
            </w:r>
            <w:proofErr w:type="spellEnd"/>
            <w:r w:rsidRPr="009E2593">
              <w:rPr>
                <w:rFonts w:ascii="Arial" w:hAnsi="Arial" w:cs="Arial"/>
                <w:b/>
                <w:bCs/>
                <w:color w:val="000000"/>
                <w:lang w:val="mk-MK"/>
              </w:rPr>
              <w:t xml:space="preserve"> 31 </w:t>
            </w:r>
            <w:proofErr w:type="spellStart"/>
            <w:r w:rsidRPr="009E2593">
              <w:rPr>
                <w:rFonts w:ascii="Arial" w:hAnsi="Arial" w:cs="Arial"/>
                <w:b/>
                <w:bCs/>
                <w:color w:val="000000"/>
                <w:lang w:val="mk-MK"/>
              </w:rPr>
              <w:t>December</w:t>
            </w:r>
            <w:proofErr w:type="spellEnd"/>
            <w:r w:rsidRPr="009E2593">
              <w:rPr>
                <w:rFonts w:ascii="Arial" w:hAnsi="Arial" w:cs="Arial"/>
                <w:b/>
                <w:bCs/>
                <w:color w:val="000000"/>
                <w:lang w:val="mk-MK"/>
              </w:rPr>
              <w:t xml:space="preserve"> 2021</w:t>
            </w:r>
          </w:p>
        </w:tc>
        <w:tc>
          <w:tcPr>
            <w:tcW w:w="1151" w:type="dxa"/>
            <w:tcBorders>
              <w:top w:val="single" w:sz="4" w:space="0" w:color="auto"/>
            </w:tcBorders>
            <w:shd w:val="clear" w:color="auto" w:fill="auto"/>
            <w:tcMar>
              <w:left w:w="58" w:type="dxa"/>
              <w:right w:w="58" w:type="dxa"/>
            </w:tcMar>
            <w:vAlign w:val="bottom"/>
          </w:tcPr>
          <w:p w14:paraId="7D7F9655" w14:textId="77777777" w:rsidR="00F93B95" w:rsidRPr="00CE3053" w:rsidRDefault="00F93B95" w:rsidP="00F93B95">
            <w:pPr>
              <w:spacing w:after="0"/>
              <w:jc w:val="right"/>
              <w:rPr>
                <w:rFonts w:ascii="Arial" w:hAnsi="Arial" w:cs="Arial"/>
                <w:b/>
                <w:bCs/>
                <w:color w:val="000000"/>
                <w:lang w:val="mk-MK"/>
              </w:rPr>
            </w:pPr>
          </w:p>
        </w:tc>
        <w:tc>
          <w:tcPr>
            <w:tcW w:w="1146" w:type="dxa"/>
            <w:tcBorders>
              <w:top w:val="single" w:sz="4" w:space="0" w:color="auto"/>
            </w:tcBorders>
            <w:shd w:val="clear" w:color="auto" w:fill="auto"/>
            <w:tcMar>
              <w:left w:w="58" w:type="dxa"/>
              <w:right w:w="58" w:type="dxa"/>
            </w:tcMar>
            <w:vAlign w:val="bottom"/>
          </w:tcPr>
          <w:p w14:paraId="22B748B8" w14:textId="77777777" w:rsidR="00F93B95" w:rsidRPr="00CE3053" w:rsidRDefault="00F93B95" w:rsidP="00F93B95">
            <w:pPr>
              <w:spacing w:after="0"/>
              <w:jc w:val="right"/>
              <w:rPr>
                <w:rFonts w:ascii="Arial" w:hAnsi="Arial" w:cs="Arial"/>
                <w:b/>
                <w:bCs/>
                <w:color w:val="000000"/>
                <w:lang w:val="mk-MK"/>
              </w:rPr>
            </w:pPr>
          </w:p>
        </w:tc>
        <w:tc>
          <w:tcPr>
            <w:tcW w:w="1121" w:type="dxa"/>
            <w:tcBorders>
              <w:top w:val="single" w:sz="4" w:space="0" w:color="auto"/>
            </w:tcBorders>
            <w:shd w:val="clear" w:color="auto" w:fill="auto"/>
            <w:tcMar>
              <w:left w:w="58" w:type="dxa"/>
              <w:right w:w="58" w:type="dxa"/>
            </w:tcMar>
            <w:vAlign w:val="bottom"/>
          </w:tcPr>
          <w:p w14:paraId="6C6D8ED6" w14:textId="77777777" w:rsidR="00F93B95" w:rsidRPr="00CE3053" w:rsidRDefault="00F93B95" w:rsidP="00F93B95">
            <w:pPr>
              <w:spacing w:after="0"/>
              <w:jc w:val="right"/>
              <w:rPr>
                <w:rFonts w:ascii="Arial" w:hAnsi="Arial" w:cs="Arial"/>
                <w:b/>
                <w:bCs/>
                <w:color w:val="000000"/>
                <w:lang w:val="mk-MK"/>
              </w:rPr>
            </w:pPr>
          </w:p>
        </w:tc>
        <w:tc>
          <w:tcPr>
            <w:tcW w:w="1120" w:type="dxa"/>
            <w:tcBorders>
              <w:top w:val="single" w:sz="4" w:space="0" w:color="auto"/>
            </w:tcBorders>
            <w:shd w:val="clear" w:color="auto" w:fill="auto"/>
            <w:tcMar>
              <w:left w:w="58" w:type="dxa"/>
              <w:right w:w="58" w:type="dxa"/>
            </w:tcMar>
            <w:vAlign w:val="bottom"/>
          </w:tcPr>
          <w:p w14:paraId="420D9955" w14:textId="77777777"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923</w:t>
            </w:r>
          </w:p>
        </w:tc>
      </w:tr>
      <w:tr w:rsidR="00F93B95" w:rsidRPr="001E6526" w14:paraId="09F1EA68" w14:textId="77777777" w:rsidTr="0025712C">
        <w:trPr>
          <w:trHeight w:val="216"/>
        </w:trPr>
        <w:tc>
          <w:tcPr>
            <w:tcW w:w="4102" w:type="dxa"/>
            <w:shd w:val="clear" w:color="auto" w:fill="auto"/>
            <w:tcMar>
              <w:left w:w="58" w:type="dxa"/>
              <w:right w:w="58" w:type="dxa"/>
            </w:tcMar>
            <w:vAlign w:val="bottom"/>
          </w:tcPr>
          <w:p w14:paraId="4F766B34" w14:textId="77777777" w:rsidR="00F93B95" w:rsidRPr="00CE3053" w:rsidRDefault="00F93B95" w:rsidP="00F93B95">
            <w:pPr>
              <w:pStyle w:val="TableText"/>
              <w:spacing w:before="0" w:after="0"/>
              <w:rPr>
                <w:rFonts w:ascii="Arial" w:hAnsi="Arial"/>
                <w:bCs/>
                <w:sz w:val="18"/>
                <w:lang w:val="mk-MK"/>
              </w:rPr>
            </w:pPr>
          </w:p>
        </w:tc>
        <w:tc>
          <w:tcPr>
            <w:tcW w:w="1151" w:type="dxa"/>
            <w:shd w:val="clear" w:color="auto" w:fill="auto"/>
            <w:tcMar>
              <w:left w:w="58" w:type="dxa"/>
              <w:right w:w="58" w:type="dxa"/>
            </w:tcMar>
            <w:vAlign w:val="bottom"/>
          </w:tcPr>
          <w:p w14:paraId="0CFB7BCA" w14:textId="77777777" w:rsidR="00F93B95" w:rsidRPr="00CE3053" w:rsidRDefault="00F93B95" w:rsidP="00F93B95">
            <w:pPr>
              <w:pStyle w:val="TableText"/>
              <w:spacing w:before="0" w:after="0"/>
              <w:jc w:val="right"/>
              <w:rPr>
                <w:rFonts w:ascii="Arial" w:hAnsi="Arial"/>
                <w:color w:val="000000"/>
                <w:sz w:val="18"/>
                <w:lang w:val="mk-MK"/>
              </w:rPr>
            </w:pPr>
          </w:p>
        </w:tc>
        <w:tc>
          <w:tcPr>
            <w:tcW w:w="1146" w:type="dxa"/>
            <w:shd w:val="clear" w:color="auto" w:fill="auto"/>
            <w:tcMar>
              <w:left w:w="58" w:type="dxa"/>
              <w:right w:w="58" w:type="dxa"/>
            </w:tcMar>
            <w:vAlign w:val="bottom"/>
          </w:tcPr>
          <w:p w14:paraId="26C8BC51" w14:textId="77777777" w:rsidR="00F93B95" w:rsidRPr="00CE3053" w:rsidRDefault="00F93B95" w:rsidP="00F93B95">
            <w:pPr>
              <w:pStyle w:val="TableText"/>
              <w:spacing w:before="0" w:after="0"/>
              <w:jc w:val="right"/>
              <w:rPr>
                <w:rFonts w:ascii="Arial" w:hAnsi="Arial"/>
                <w:color w:val="000000"/>
                <w:sz w:val="18"/>
                <w:lang w:val="mk-MK"/>
              </w:rPr>
            </w:pPr>
          </w:p>
        </w:tc>
        <w:tc>
          <w:tcPr>
            <w:tcW w:w="1121" w:type="dxa"/>
            <w:shd w:val="clear" w:color="auto" w:fill="auto"/>
            <w:tcMar>
              <w:left w:w="58" w:type="dxa"/>
              <w:right w:w="58" w:type="dxa"/>
            </w:tcMar>
            <w:vAlign w:val="bottom"/>
          </w:tcPr>
          <w:p w14:paraId="7DED3149" w14:textId="77777777" w:rsidR="00F93B95" w:rsidRPr="00CE3053" w:rsidRDefault="00F93B95" w:rsidP="00F93B95">
            <w:pPr>
              <w:pStyle w:val="TableText"/>
              <w:spacing w:before="0" w:after="0"/>
              <w:jc w:val="right"/>
              <w:rPr>
                <w:rFonts w:ascii="Arial" w:hAnsi="Arial"/>
                <w:color w:val="000000"/>
                <w:sz w:val="18"/>
                <w:lang w:val="mk-MK"/>
              </w:rPr>
            </w:pPr>
          </w:p>
        </w:tc>
        <w:tc>
          <w:tcPr>
            <w:tcW w:w="1120" w:type="dxa"/>
            <w:shd w:val="clear" w:color="auto" w:fill="auto"/>
            <w:tcMar>
              <w:left w:w="58" w:type="dxa"/>
              <w:right w:w="58" w:type="dxa"/>
            </w:tcMar>
            <w:vAlign w:val="bottom"/>
          </w:tcPr>
          <w:p w14:paraId="0F88B0C3" w14:textId="77777777" w:rsidR="00F93B95" w:rsidRPr="00CE3053" w:rsidRDefault="00F93B95" w:rsidP="00F93B95">
            <w:pPr>
              <w:pStyle w:val="TableText"/>
              <w:spacing w:before="0" w:after="0"/>
              <w:jc w:val="right"/>
              <w:rPr>
                <w:rFonts w:ascii="Arial" w:hAnsi="Arial"/>
                <w:color w:val="000000"/>
                <w:sz w:val="18"/>
                <w:lang w:val="mk-MK"/>
              </w:rPr>
            </w:pPr>
          </w:p>
        </w:tc>
      </w:tr>
      <w:tr w:rsidR="00F93B95" w:rsidRPr="001E6526" w14:paraId="0CC57932" w14:textId="77777777" w:rsidTr="0025712C">
        <w:trPr>
          <w:trHeight w:val="216"/>
        </w:trPr>
        <w:tc>
          <w:tcPr>
            <w:tcW w:w="4102" w:type="dxa"/>
            <w:shd w:val="clear" w:color="auto" w:fill="auto"/>
            <w:tcMar>
              <w:left w:w="58" w:type="dxa"/>
              <w:right w:w="58" w:type="dxa"/>
            </w:tcMar>
            <w:vAlign w:val="bottom"/>
          </w:tcPr>
          <w:p w14:paraId="20BA48C9" w14:textId="5B576309" w:rsidR="00F93B95" w:rsidRPr="00CE3053" w:rsidRDefault="005A3DD2" w:rsidP="00F93B95">
            <w:pPr>
              <w:pStyle w:val="TableText"/>
              <w:spacing w:before="0" w:after="0"/>
              <w:rPr>
                <w:rFonts w:ascii="Arial" w:hAnsi="Arial"/>
                <w:b/>
                <w:sz w:val="18"/>
                <w:lang w:val="mk-MK"/>
              </w:rPr>
            </w:pPr>
            <w:proofErr w:type="spellStart"/>
            <w:r w:rsidRPr="005A3DD2">
              <w:rPr>
                <w:rFonts w:ascii="Arial" w:hAnsi="Arial"/>
                <w:b/>
                <w:sz w:val="18"/>
                <w:lang w:val="mk-MK"/>
              </w:rPr>
              <w:t>Net</w:t>
            </w:r>
            <w:proofErr w:type="spellEnd"/>
            <w:r w:rsidRPr="005A3DD2">
              <w:rPr>
                <w:rFonts w:ascii="Arial" w:hAnsi="Arial"/>
                <w:b/>
                <w:sz w:val="18"/>
                <w:lang w:val="mk-MK"/>
              </w:rPr>
              <w:t xml:space="preserve"> </w:t>
            </w:r>
            <w:proofErr w:type="spellStart"/>
            <w:r w:rsidRPr="005A3DD2">
              <w:rPr>
                <w:rFonts w:ascii="Arial" w:hAnsi="Arial"/>
                <w:b/>
                <w:sz w:val="18"/>
                <w:lang w:val="mk-MK"/>
              </w:rPr>
              <w:t>carrying</w:t>
            </w:r>
            <w:proofErr w:type="spellEnd"/>
            <w:r w:rsidRPr="005A3DD2">
              <w:rPr>
                <w:rFonts w:ascii="Arial" w:hAnsi="Arial"/>
                <w:b/>
                <w:sz w:val="18"/>
                <w:lang w:val="mk-MK"/>
              </w:rPr>
              <w:t xml:space="preserve"> </w:t>
            </w:r>
            <w:proofErr w:type="spellStart"/>
            <w:r w:rsidRPr="005A3DD2">
              <w:rPr>
                <w:rFonts w:ascii="Arial" w:hAnsi="Arial"/>
                <w:b/>
                <w:sz w:val="18"/>
                <w:lang w:val="mk-MK"/>
              </w:rPr>
              <w:t>value</w:t>
            </w:r>
            <w:proofErr w:type="spellEnd"/>
          </w:p>
        </w:tc>
        <w:tc>
          <w:tcPr>
            <w:tcW w:w="1151" w:type="dxa"/>
            <w:shd w:val="clear" w:color="auto" w:fill="auto"/>
            <w:tcMar>
              <w:left w:w="58" w:type="dxa"/>
              <w:right w:w="58" w:type="dxa"/>
            </w:tcMar>
            <w:vAlign w:val="bottom"/>
          </w:tcPr>
          <w:p w14:paraId="258718EB" w14:textId="77777777" w:rsidR="00F93B95" w:rsidRPr="00CE3053" w:rsidRDefault="00F93B95" w:rsidP="00F93B95">
            <w:pPr>
              <w:pStyle w:val="TableText"/>
              <w:spacing w:before="0" w:after="0"/>
              <w:jc w:val="right"/>
              <w:rPr>
                <w:rFonts w:ascii="Arial" w:hAnsi="Arial"/>
                <w:b/>
                <w:color w:val="000000"/>
                <w:sz w:val="18"/>
                <w:lang w:val="mk-MK"/>
              </w:rPr>
            </w:pPr>
          </w:p>
        </w:tc>
        <w:tc>
          <w:tcPr>
            <w:tcW w:w="1146" w:type="dxa"/>
            <w:shd w:val="clear" w:color="auto" w:fill="auto"/>
            <w:tcMar>
              <w:left w:w="58" w:type="dxa"/>
              <w:right w:w="58" w:type="dxa"/>
            </w:tcMar>
            <w:vAlign w:val="bottom"/>
          </w:tcPr>
          <w:p w14:paraId="4AD3B74D" w14:textId="77777777" w:rsidR="00F93B95" w:rsidRPr="00CE3053" w:rsidRDefault="00F93B95" w:rsidP="00F93B95">
            <w:pPr>
              <w:pStyle w:val="TableText"/>
              <w:spacing w:before="0" w:after="0"/>
              <w:jc w:val="right"/>
              <w:rPr>
                <w:rFonts w:ascii="Arial" w:hAnsi="Arial"/>
                <w:b/>
                <w:color w:val="000000"/>
                <w:sz w:val="18"/>
                <w:lang w:val="mk-MK"/>
              </w:rPr>
            </w:pPr>
          </w:p>
        </w:tc>
        <w:tc>
          <w:tcPr>
            <w:tcW w:w="1121" w:type="dxa"/>
            <w:shd w:val="clear" w:color="auto" w:fill="auto"/>
            <w:tcMar>
              <w:left w:w="58" w:type="dxa"/>
              <w:right w:w="58" w:type="dxa"/>
            </w:tcMar>
            <w:vAlign w:val="bottom"/>
          </w:tcPr>
          <w:p w14:paraId="372BED33" w14:textId="77777777" w:rsidR="00F93B95" w:rsidRPr="00CE3053" w:rsidRDefault="00F93B95" w:rsidP="00F93B95">
            <w:pPr>
              <w:pStyle w:val="TableText"/>
              <w:spacing w:before="0" w:after="0"/>
              <w:jc w:val="right"/>
              <w:rPr>
                <w:rFonts w:ascii="Arial" w:hAnsi="Arial"/>
                <w:b/>
                <w:color w:val="000000"/>
                <w:sz w:val="18"/>
                <w:lang w:val="mk-MK"/>
              </w:rPr>
            </w:pPr>
          </w:p>
        </w:tc>
        <w:tc>
          <w:tcPr>
            <w:tcW w:w="1120" w:type="dxa"/>
            <w:shd w:val="clear" w:color="auto" w:fill="auto"/>
            <w:tcMar>
              <w:left w:w="58" w:type="dxa"/>
              <w:right w:w="58" w:type="dxa"/>
            </w:tcMar>
            <w:vAlign w:val="bottom"/>
          </w:tcPr>
          <w:p w14:paraId="2B378A68" w14:textId="77777777" w:rsidR="00F93B95" w:rsidRPr="00CE3053" w:rsidRDefault="00F93B95" w:rsidP="00F93B95">
            <w:pPr>
              <w:pStyle w:val="TableText"/>
              <w:spacing w:before="0" w:after="0"/>
              <w:jc w:val="right"/>
              <w:rPr>
                <w:rFonts w:ascii="Arial" w:hAnsi="Arial"/>
                <w:b/>
                <w:color w:val="000000"/>
                <w:sz w:val="18"/>
                <w:lang w:val="mk-MK"/>
              </w:rPr>
            </w:pPr>
          </w:p>
        </w:tc>
      </w:tr>
      <w:tr w:rsidR="00F93B95" w:rsidRPr="001E6526" w14:paraId="109DBE6C" w14:textId="77777777" w:rsidTr="0025712C">
        <w:trPr>
          <w:trHeight w:val="216"/>
        </w:trPr>
        <w:tc>
          <w:tcPr>
            <w:tcW w:w="4102" w:type="dxa"/>
            <w:shd w:val="clear" w:color="auto" w:fill="auto"/>
            <w:tcMar>
              <w:left w:w="58" w:type="dxa"/>
              <w:right w:w="58" w:type="dxa"/>
            </w:tcMar>
            <w:vAlign w:val="bottom"/>
          </w:tcPr>
          <w:p w14:paraId="0EC73C99" w14:textId="2B9EDFB6" w:rsidR="00F93B95" w:rsidRPr="00CE3053" w:rsidRDefault="005A3DD2" w:rsidP="00F93B95">
            <w:pPr>
              <w:pStyle w:val="TableText"/>
              <w:spacing w:before="0" w:after="0"/>
              <w:rPr>
                <w:rFonts w:ascii="Arial" w:hAnsi="Arial"/>
                <w:sz w:val="18"/>
                <w:lang w:val="mk-MK"/>
              </w:rPr>
            </w:pPr>
            <w:proofErr w:type="spellStart"/>
            <w:r w:rsidRPr="005A3DD2">
              <w:rPr>
                <w:rFonts w:ascii="Arial" w:hAnsi="Arial"/>
                <w:sz w:val="18"/>
                <w:lang w:val="mk-MK"/>
              </w:rPr>
              <w:t>At</w:t>
            </w:r>
            <w:proofErr w:type="spellEnd"/>
            <w:r w:rsidRPr="005A3DD2">
              <w:rPr>
                <w:rFonts w:ascii="Arial" w:hAnsi="Arial"/>
                <w:sz w:val="18"/>
                <w:lang w:val="mk-MK"/>
              </w:rPr>
              <w:t xml:space="preserve"> 01 </w:t>
            </w:r>
            <w:proofErr w:type="spellStart"/>
            <w:r w:rsidRPr="005A3DD2">
              <w:rPr>
                <w:rFonts w:ascii="Arial" w:hAnsi="Arial"/>
                <w:sz w:val="18"/>
                <w:lang w:val="mk-MK"/>
              </w:rPr>
              <w:t>January</w:t>
            </w:r>
            <w:proofErr w:type="spellEnd"/>
            <w:r w:rsidRPr="005A3DD2">
              <w:rPr>
                <w:rFonts w:ascii="Arial" w:hAnsi="Arial"/>
                <w:sz w:val="18"/>
                <w:lang w:val="mk-MK"/>
              </w:rPr>
              <w:t xml:space="preserve"> 2020</w:t>
            </w:r>
          </w:p>
        </w:tc>
        <w:tc>
          <w:tcPr>
            <w:tcW w:w="1151" w:type="dxa"/>
            <w:shd w:val="clear" w:color="auto" w:fill="auto"/>
            <w:tcMar>
              <w:left w:w="58" w:type="dxa"/>
              <w:right w:w="58" w:type="dxa"/>
            </w:tcMar>
            <w:vAlign w:val="bottom"/>
          </w:tcPr>
          <w:p w14:paraId="0C6C6D5C" w14:textId="77777777" w:rsidR="00F93B95" w:rsidRPr="00CE3053" w:rsidRDefault="00F93B95" w:rsidP="00F93B95">
            <w:pPr>
              <w:spacing w:after="0"/>
              <w:jc w:val="right"/>
              <w:rPr>
                <w:rFonts w:ascii="Arial" w:hAnsi="Arial" w:cs="Arial"/>
                <w:bCs/>
                <w:color w:val="000000"/>
                <w:lang w:val="mk-MK"/>
              </w:rPr>
            </w:pPr>
          </w:p>
        </w:tc>
        <w:tc>
          <w:tcPr>
            <w:tcW w:w="1146" w:type="dxa"/>
            <w:shd w:val="clear" w:color="auto" w:fill="auto"/>
            <w:tcMar>
              <w:left w:w="58" w:type="dxa"/>
              <w:right w:w="58" w:type="dxa"/>
            </w:tcMar>
            <w:vAlign w:val="bottom"/>
          </w:tcPr>
          <w:p w14:paraId="36AC299B" w14:textId="77777777" w:rsidR="00F93B95" w:rsidRPr="00CE3053" w:rsidRDefault="00F93B95" w:rsidP="00F93B95">
            <w:pPr>
              <w:spacing w:after="0"/>
              <w:jc w:val="right"/>
              <w:rPr>
                <w:rFonts w:ascii="Arial" w:hAnsi="Arial" w:cs="Arial"/>
                <w:bCs/>
                <w:color w:val="000000"/>
                <w:lang w:val="mk-MK"/>
              </w:rPr>
            </w:pPr>
          </w:p>
        </w:tc>
        <w:tc>
          <w:tcPr>
            <w:tcW w:w="1121" w:type="dxa"/>
            <w:shd w:val="clear" w:color="auto" w:fill="auto"/>
            <w:tcMar>
              <w:left w:w="58" w:type="dxa"/>
              <w:right w:w="58" w:type="dxa"/>
            </w:tcMar>
            <w:vAlign w:val="bottom"/>
          </w:tcPr>
          <w:p w14:paraId="05C4E838" w14:textId="77777777" w:rsidR="00F93B95" w:rsidRPr="00CE3053" w:rsidRDefault="00F93B95" w:rsidP="00F93B95">
            <w:pPr>
              <w:spacing w:after="0"/>
              <w:jc w:val="right"/>
              <w:rPr>
                <w:rFonts w:ascii="Arial" w:hAnsi="Arial" w:cs="Arial"/>
                <w:bCs/>
                <w:color w:val="000000"/>
                <w:lang w:val="mk-MK"/>
              </w:rPr>
            </w:pPr>
          </w:p>
        </w:tc>
        <w:tc>
          <w:tcPr>
            <w:tcW w:w="1120" w:type="dxa"/>
            <w:shd w:val="clear" w:color="auto" w:fill="auto"/>
            <w:tcMar>
              <w:left w:w="58" w:type="dxa"/>
              <w:right w:w="58" w:type="dxa"/>
            </w:tcMar>
            <w:vAlign w:val="bottom"/>
          </w:tcPr>
          <w:p w14:paraId="6E0D55B4" w14:textId="5ACDCBBA" w:rsidR="00F93B95" w:rsidRPr="00CE3053" w:rsidRDefault="00C550F0" w:rsidP="00F93B95">
            <w:pPr>
              <w:spacing w:after="0"/>
              <w:jc w:val="right"/>
              <w:rPr>
                <w:rFonts w:ascii="Arial" w:hAnsi="Arial" w:cs="Arial"/>
                <w:b/>
                <w:bCs/>
                <w:color w:val="000000"/>
                <w:lang w:val="mk-MK"/>
              </w:rPr>
            </w:pPr>
            <w:r w:rsidRPr="00CE3053">
              <w:rPr>
                <w:rFonts w:ascii="Arial" w:hAnsi="Arial" w:cs="Arial"/>
                <w:b/>
                <w:bCs/>
                <w:color w:val="000000"/>
                <w:lang w:val="mk-MK"/>
              </w:rPr>
              <w:t>212</w:t>
            </w:r>
          </w:p>
        </w:tc>
      </w:tr>
      <w:tr w:rsidR="00F93B95" w:rsidRPr="001E6526" w14:paraId="3FBCE9EC" w14:textId="77777777" w:rsidTr="0025712C">
        <w:trPr>
          <w:trHeight w:val="216"/>
        </w:trPr>
        <w:tc>
          <w:tcPr>
            <w:tcW w:w="4102" w:type="dxa"/>
            <w:tcBorders>
              <w:bottom w:val="single" w:sz="4" w:space="0" w:color="auto"/>
            </w:tcBorders>
            <w:shd w:val="clear" w:color="auto" w:fill="auto"/>
            <w:tcMar>
              <w:left w:w="58" w:type="dxa"/>
              <w:right w:w="58" w:type="dxa"/>
            </w:tcMar>
            <w:vAlign w:val="bottom"/>
          </w:tcPr>
          <w:p w14:paraId="0E9EFB98" w14:textId="4021A8D0" w:rsidR="00F93B95" w:rsidRPr="00CE3053" w:rsidRDefault="005A3DD2" w:rsidP="00F93B95">
            <w:pPr>
              <w:pStyle w:val="TableText"/>
              <w:spacing w:before="0" w:after="0"/>
              <w:rPr>
                <w:rFonts w:ascii="Arial" w:hAnsi="Arial"/>
                <w:bCs/>
                <w:sz w:val="18"/>
                <w:lang w:val="mk-MK"/>
              </w:rPr>
            </w:pPr>
            <w:proofErr w:type="spellStart"/>
            <w:r w:rsidRPr="005A3DD2">
              <w:rPr>
                <w:rFonts w:ascii="Arial" w:hAnsi="Arial"/>
                <w:b/>
                <w:sz w:val="18"/>
                <w:lang w:val="mk-MK"/>
              </w:rPr>
              <w:t>At</w:t>
            </w:r>
            <w:proofErr w:type="spellEnd"/>
            <w:r w:rsidRPr="005A3DD2">
              <w:rPr>
                <w:rFonts w:ascii="Arial" w:hAnsi="Arial"/>
                <w:b/>
                <w:sz w:val="18"/>
                <w:lang w:val="mk-MK"/>
              </w:rPr>
              <w:t xml:space="preserve"> 31 </w:t>
            </w:r>
            <w:proofErr w:type="spellStart"/>
            <w:r w:rsidRPr="005A3DD2">
              <w:rPr>
                <w:rFonts w:ascii="Arial" w:hAnsi="Arial"/>
                <w:b/>
                <w:sz w:val="18"/>
                <w:lang w:val="mk-MK"/>
              </w:rPr>
              <w:t>December</w:t>
            </w:r>
            <w:proofErr w:type="spellEnd"/>
            <w:r w:rsidRPr="005A3DD2">
              <w:rPr>
                <w:rFonts w:ascii="Arial" w:hAnsi="Arial"/>
                <w:b/>
                <w:sz w:val="18"/>
                <w:lang w:val="mk-MK"/>
              </w:rPr>
              <w:t xml:space="preserve"> 2020</w:t>
            </w:r>
          </w:p>
        </w:tc>
        <w:tc>
          <w:tcPr>
            <w:tcW w:w="1151" w:type="dxa"/>
            <w:tcBorders>
              <w:bottom w:val="single" w:sz="4" w:space="0" w:color="auto"/>
            </w:tcBorders>
            <w:shd w:val="clear" w:color="auto" w:fill="auto"/>
            <w:tcMar>
              <w:left w:w="58" w:type="dxa"/>
              <w:right w:w="58" w:type="dxa"/>
            </w:tcMar>
            <w:vAlign w:val="bottom"/>
          </w:tcPr>
          <w:p w14:paraId="0426BF34" w14:textId="77777777" w:rsidR="00F93B95" w:rsidRPr="00CE3053" w:rsidRDefault="00F93B95" w:rsidP="00F93B95">
            <w:pPr>
              <w:spacing w:after="0"/>
              <w:jc w:val="right"/>
              <w:rPr>
                <w:rFonts w:ascii="Arial" w:hAnsi="Arial" w:cs="Arial"/>
                <w:b/>
                <w:bCs/>
                <w:color w:val="000000"/>
                <w:lang w:val="mk-MK"/>
              </w:rPr>
            </w:pPr>
          </w:p>
        </w:tc>
        <w:tc>
          <w:tcPr>
            <w:tcW w:w="1146" w:type="dxa"/>
            <w:tcBorders>
              <w:bottom w:val="single" w:sz="4" w:space="0" w:color="auto"/>
            </w:tcBorders>
            <w:shd w:val="clear" w:color="auto" w:fill="auto"/>
            <w:tcMar>
              <w:left w:w="58" w:type="dxa"/>
              <w:right w:w="58" w:type="dxa"/>
            </w:tcMar>
            <w:vAlign w:val="bottom"/>
          </w:tcPr>
          <w:p w14:paraId="5D81DE38" w14:textId="77777777" w:rsidR="00F93B95" w:rsidRPr="00CE3053" w:rsidRDefault="00F93B95" w:rsidP="00F93B95">
            <w:pPr>
              <w:spacing w:after="0"/>
              <w:jc w:val="right"/>
              <w:rPr>
                <w:rFonts w:ascii="Arial" w:hAnsi="Arial" w:cs="Arial"/>
                <w:b/>
                <w:bCs/>
                <w:color w:val="000000"/>
                <w:lang w:val="mk-MK"/>
              </w:rPr>
            </w:pPr>
          </w:p>
        </w:tc>
        <w:tc>
          <w:tcPr>
            <w:tcW w:w="1121" w:type="dxa"/>
            <w:tcBorders>
              <w:bottom w:val="single" w:sz="4" w:space="0" w:color="auto"/>
            </w:tcBorders>
            <w:shd w:val="clear" w:color="auto" w:fill="auto"/>
            <w:tcMar>
              <w:left w:w="58" w:type="dxa"/>
              <w:right w:w="58" w:type="dxa"/>
            </w:tcMar>
            <w:vAlign w:val="bottom"/>
          </w:tcPr>
          <w:p w14:paraId="5A36EA40" w14:textId="77777777" w:rsidR="00F93B95" w:rsidRPr="00CE3053" w:rsidRDefault="00F93B95" w:rsidP="00F93B95">
            <w:pPr>
              <w:spacing w:after="0"/>
              <w:jc w:val="right"/>
              <w:rPr>
                <w:rFonts w:ascii="Arial" w:hAnsi="Arial" w:cs="Arial"/>
                <w:b/>
                <w:bCs/>
                <w:color w:val="000000"/>
                <w:lang w:val="mk-MK"/>
              </w:rPr>
            </w:pPr>
          </w:p>
        </w:tc>
        <w:tc>
          <w:tcPr>
            <w:tcW w:w="1120" w:type="dxa"/>
            <w:tcBorders>
              <w:bottom w:val="single" w:sz="4" w:space="0" w:color="auto"/>
            </w:tcBorders>
            <w:shd w:val="clear" w:color="auto" w:fill="auto"/>
            <w:tcMar>
              <w:left w:w="58" w:type="dxa"/>
              <w:right w:w="58" w:type="dxa"/>
            </w:tcMar>
            <w:vAlign w:val="bottom"/>
          </w:tcPr>
          <w:p w14:paraId="07C58646" w14:textId="7ACCC8A7" w:rsidR="00F93B95" w:rsidRPr="00CE3053" w:rsidRDefault="00C550F0" w:rsidP="00F93B95">
            <w:pPr>
              <w:spacing w:after="0"/>
              <w:jc w:val="right"/>
              <w:rPr>
                <w:rFonts w:ascii="Arial" w:hAnsi="Arial" w:cs="Arial"/>
                <w:b/>
                <w:bCs/>
                <w:color w:val="000000"/>
                <w:lang w:val="mk-MK"/>
              </w:rPr>
            </w:pPr>
            <w:r w:rsidRPr="00CE3053">
              <w:rPr>
                <w:rFonts w:ascii="Arial" w:hAnsi="Arial" w:cs="Arial"/>
                <w:b/>
                <w:bCs/>
                <w:color w:val="000000"/>
                <w:lang w:val="mk-MK"/>
              </w:rPr>
              <w:t>-</w:t>
            </w:r>
          </w:p>
        </w:tc>
      </w:tr>
      <w:tr w:rsidR="00F93B95" w:rsidRPr="001E6526" w14:paraId="241A0D80" w14:textId="77777777" w:rsidTr="008D40EE">
        <w:trPr>
          <w:trHeight w:val="216"/>
        </w:trPr>
        <w:tc>
          <w:tcPr>
            <w:tcW w:w="4102" w:type="dxa"/>
            <w:tcBorders>
              <w:top w:val="single" w:sz="4" w:space="0" w:color="auto"/>
              <w:bottom w:val="single" w:sz="4" w:space="0" w:color="auto"/>
            </w:tcBorders>
            <w:shd w:val="clear" w:color="auto" w:fill="auto"/>
            <w:tcMar>
              <w:left w:w="58" w:type="dxa"/>
              <w:right w:w="58" w:type="dxa"/>
            </w:tcMar>
            <w:vAlign w:val="bottom"/>
          </w:tcPr>
          <w:p w14:paraId="4D66C8F1" w14:textId="1F3CF3F2" w:rsidR="00F93B95" w:rsidRPr="00CE3053" w:rsidRDefault="005A3DD2" w:rsidP="00F93B95">
            <w:pPr>
              <w:pStyle w:val="TableText"/>
              <w:spacing w:before="0" w:after="0"/>
              <w:rPr>
                <w:rFonts w:ascii="Arial" w:hAnsi="Arial"/>
                <w:b/>
                <w:sz w:val="18"/>
                <w:lang w:val="mk-MK"/>
              </w:rPr>
            </w:pPr>
            <w:proofErr w:type="spellStart"/>
            <w:r w:rsidRPr="005A3DD2">
              <w:rPr>
                <w:rFonts w:ascii="Arial" w:hAnsi="Arial"/>
                <w:b/>
                <w:sz w:val="18"/>
                <w:lang w:val="mk-MK"/>
              </w:rPr>
              <w:t>At</w:t>
            </w:r>
            <w:proofErr w:type="spellEnd"/>
            <w:r w:rsidRPr="005A3DD2">
              <w:rPr>
                <w:rFonts w:ascii="Arial" w:hAnsi="Arial"/>
                <w:b/>
                <w:sz w:val="18"/>
                <w:lang w:val="mk-MK"/>
              </w:rPr>
              <w:t xml:space="preserve"> 31 </w:t>
            </w:r>
            <w:proofErr w:type="spellStart"/>
            <w:r w:rsidRPr="005A3DD2">
              <w:rPr>
                <w:rFonts w:ascii="Arial" w:hAnsi="Arial"/>
                <w:b/>
                <w:sz w:val="18"/>
                <w:lang w:val="mk-MK"/>
              </w:rPr>
              <w:t>December</w:t>
            </w:r>
            <w:proofErr w:type="spellEnd"/>
            <w:r w:rsidRPr="005A3DD2">
              <w:rPr>
                <w:rFonts w:ascii="Arial" w:hAnsi="Arial"/>
                <w:b/>
                <w:sz w:val="18"/>
                <w:lang w:val="mk-MK"/>
              </w:rPr>
              <w:t xml:space="preserve"> 2021</w:t>
            </w:r>
          </w:p>
        </w:tc>
        <w:tc>
          <w:tcPr>
            <w:tcW w:w="1151" w:type="dxa"/>
            <w:tcBorders>
              <w:top w:val="single" w:sz="4" w:space="0" w:color="auto"/>
              <w:bottom w:val="single" w:sz="4" w:space="0" w:color="auto"/>
            </w:tcBorders>
            <w:shd w:val="clear" w:color="auto" w:fill="auto"/>
            <w:tcMar>
              <w:left w:w="58" w:type="dxa"/>
              <w:right w:w="58" w:type="dxa"/>
            </w:tcMar>
            <w:vAlign w:val="bottom"/>
          </w:tcPr>
          <w:p w14:paraId="7B37A6F4" w14:textId="77777777" w:rsidR="00F93B95" w:rsidRPr="00CE3053" w:rsidRDefault="00F93B95" w:rsidP="00F93B95">
            <w:pPr>
              <w:spacing w:after="0"/>
              <w:jc w:val="right"/>
              <w:rPr>
                <w:rFonts w:ascii="Arial" w:hAnsi="Arial" w:cs="Arial"/>
                <w:b/>
                <w:bCs/>
                <w:color w:val="000000"/>
                <w:lang w:val="mk-MK"/>
              </w:rPr>
            </w:pPr>
          </w:p>
        </w:tc>
        <w:tc>
          <w:tcPr>
            <w:tcW w:w="1146" w:type="dxa"/>
            <w:tcBorders>
              <w:top w:val="single" w:sz="4" w:space="0" w:color="auto"/>
              <w:bottom w:val="single" w:sz="4" w:space="0" w:color="auto"/>
            </w:tcBorders>
            <w:shd w:val="clear" w:color="auto" w:fill="auto"/>
            <w:tcMar>
              <w:left w:w="58" w:type="dxa"/>
              <w:right w:w="58" w:type="dxa"/>
            </w:tcMar>
            <w:vAlign w:val="bottom"/>
          </w:tcPr>
          <w:p w14:paraId="210CE3F1" w14:textId="77777777" w:rsidR="00F93B95" w:rsidRPr="00CE3053" w:rsidRDefault="00F93B95" w:rsidP="00F93B95">
            <w:pPr>
              <w:spacing w:after="0"/>
              <w:jc w:val="right"/>
              <w:rPr>
                <w:rFonts w:ascii="Arial" w:hAnsi="Arial" w:cs="Arial"/>
                <w:b/>
                <w:bCs/>
                <w:color w:val="000000"/>
                <w:lang w:val="mk-MK"/>
              </w:rPr>
            </w:pPr>
          </w:p>
        </w:tc>
        <w:tc>
          <w:tcPr>
            <w:tcW w:w="1121" w:type="dxa"/>
            <w:tcBorders>
              <w:top w:val="single" w:sz="4" w:space="0" w:color="auto"/>
              <w:bottom w:val="single" w:sz="4" w:space="0" w:color="auto"/>
            </w:tcBorders>
            <w:shd w:val="clear" w:color="auto" w:fill="auto"/>
            <w:tcMar>
              <w:left w:w="58" w:type="dxa"/>
              <w:right w:w="58" w:type="dxa"/>
            </w:tcMar>
            <w:vAlign w:val="bottom"/>
          </w:tcPr>
          <w:p w14:paraId="06914D6D" w14:textId="77777777" w:rsidR="00F93B95" w:rsidRPr="00CE3053" w:rsidRDefault="00F93B95" w:rsidP="00F93B95">
            <w:pPr>
              <w:spacing w:after="0"/>
              <w:jc w:val="right"/>
              <w:rPr>
                <w:rFonts w:ascii="Arial" w:hAnsi="Arial" w:cs="Arial"/>
                <w:b/>
                <w:bCs/>
                <w:color w:val="000000"/>
                <w:lang w:val="mk-MK"/>
              </w:rPr>
            </w:pPr>
          </w:p>
        </w:tc>
        <w:tc>
          <w:tcPr>
            <w:tcW w:w="1120" w:type="dxa"/>
            <w:tcBorders>
              <w:top w:val="single" w:sz="4" w:space="0" w:color="auto"/>
              <w:bottom w:val="single" w:sz="4" w:space="0" w:color="auto"/>
            </w:tcBorders>
            <w:shd w:val="clear" w:color="auto" w:fill="auto"/>
            <w:tcMar>
              <w:left w:w="58" w:type="dxa"/>
              <w:right w:w="58" w:type="dxa"/>
            </w:tcMar>
            <w:vAlign w:val="bottom"/>
          </w:tcPr>
          <w:p w14:paraId="0F53FCE8" w14:textId="77777777" w:rsidR="00F93B95" w:rsidRPr="001E6526" w:rsidRDefault="00F93B95" w:rsidP="00F93B95">
            <w:pPr>
              <w:spacing w:after="0"/>
              <w:jc w:val="right"/>
              <w:rPr>
                <w:rFonts w:ascii="Arial" w:hAnsi="Arial" w:cs="Arial"/>
                <w:b/>
                <w:bCs/>
                <w:color w:val="000000"/>
                <w:lang w:val="mk-MK"/>
              </w:rPr>
            </w:pPr>
            <w:r w:rsidRPr="001E6526">
              <w:rPr>
                <w:rFonts w:ascii="Arial" w:hAnsi="Arial" w:cs="Arial"/>
                <w:b/>
                <w:bCs/>
                <w:color w:val="000000"/>
                <w:lang w:val="mk-MK"/>
              </w:rPr>
              <w:t>-</w:t>
            </w:r>
          </w:p>
        </w:tc>
      </w:tr>
      <w:tr w:rsidR="008D40EE" w:rsidRPr="001E6526" w14:paraId="30CCD7A6" w14:textId="77777777" w:rsidTr="0025712C">
        <w:trPr>
          <w:trHeight w:val="216"/>
        </w:trPr>
        <w:tc>
          <w:tcPr>
            <w:tcW w:w="4102" w:type="dxa"/>
            <w:tcBorders>
              <w:top w:val="single" w:sz="4" w:space="0" w:color="auto"/>
              <w:bottom w:val="double" w:sz="4" w:space="0" w:color="auto"/>
            </w:tcBorders>
            <w:shd w:val="clear" w:color="auto" w:fill="auto"/>
            <w:tcMar>
              <w:left w:w="58" w:type="dxa"/>
              <w:right w:w="58" w:type="dxa"/>
            </w:tcMar>
            <w:vAlign w:val="bottom"/>
          </w:tcPr>
          <w:p w14:paraId="56E47A1A" w14:textId="77777777" w:rsidR="008D40EE" w:rsidRPr="00CE3053" w:rsidRDefault="008D40EE" w:rsidP="00F93B95">
            <w:pPr>
              <w:pStyle w:val="TableText"/>
              <w:spacing w:before="0" w:after="0"/>
              <w:rPr>
                <w:rFonts w:ascii="Arial" w:hAnsi="Arial"/>
                <w:b/>
                <w:sz w:val="18"/>
                <w:lang w:val="mk-MK"/>
              </w:rPr>
            </w:pPr>
          </w:p>
        </w:tc>
        <w:tc>
          <w:tcPr>
            <w:tcW w:w="1151" w:type="dxa"/>
            <w:tcBorders>
              <w:top w:val="single" w:sz="4" w:space="0" w:color="auto"/>
              <w:bottom w:val="double" w:sz="4" w:space="0" w:color="auto"/>
            </w:tcBorders>
            <w:shd w:val="clear" w:color="auto" w:fill="auto"/>
            <w:tcMar>
              <w:left w:w="58" w:type="dxa"/>
              <w:right w:w="58" w:type="dxa"/>
            </w:tcMar>
            <w:vAlign w:val="bottom"/>
          </w:tcPr>
          <w:p w14:paraId="162D249E" w14:textId="77777777" w:rsidR="008D40EE" w:rsidRPr="00CE3053" w:rsidRDefault="008D40EE" w:rsidP="00F93B95">
            <w:pPr>
              <w:spacing w:after="0"/>
              <w:jc w:val="right"/>
              <w:rPr>
                <w:rFonts w:ascii="Arial" w:hAnsi="Arial" w:cs="Arial"/>
                <w:b/>
                <w:bCs/>
                <w:color w:val="000000"/>
                <w:lang w:val="mk-MK"/>
              </w:rPr>
            </w:pPr>
          </w:p>
        </w:tc>
        <w:tc>
          <w:tcPr>
            <w:tcW w:w="1146" w:type="dxa"/>
            <w:tcBorders>
              <w:top w:val="single" w:sz="4" w:space="0" w:color="auto"/>
              <w:bottom w:val="double" w:sz="4" w:space="0" w:color="auto"/>
            </w:tcBorders>
            <w:shd w:val="clear" w:color="auto" w:fill="auto"/>
            <w:tcMar>
              <w:left w:w="58" w:type="dxa"/>
              <w:right w:w="58" w:type="dxa"/>
            </w:tcMar>
            <w:vAlign w:val="bottom"/>
          </w:tcPr>
          <w:p w14:paraId="5CE28DD3" w14:textId="77777777" w:rsidR="008D40EE" w:rsidRPr="00CE3053" w:rsidRDefault="008D40EE" w:rsidP="00F93B95">
            <w:pPr>
              <w:spacing w:after="0"/>
              <w:jc w:val="right"/>
              <w:rPr>
                <w:rFonts w:ascii="Arial" w:hAnsi="Arial" w:cs="Arial"/>
                <w:b/>
                <w:bCs/>
                <w:color w:val="000000"/>
                <w:lang w:val="mk-MK"/>
              </w:rPr>
            </w:pPr>
          </w:p>
        </w:tc>
        <w:tc>
          <w:tcPr>
            <w:tcW w:w="1121" w:type="dxa"/>
            <w:tcBorders>
              <w:top w:val="single" w:sz="4" w:space="0" w:color="auto"/>
              <w:bottom w:val="double" w:sz="4" w:space="0" w:color="auto"/>
            </w:tcBorders>
            <w:shd w:val="clear" w:color="auto" w:fill="auto"/>
            <w:tcMar>
              <w:left w:w="58" w:type="dxa"/>
              <w:right w:w="58" w:type="dxa"/>
            </w:tcMar>
            <w:vAlign w:val="bottom"/>
          </w:tcPr>
          <w:p w14:paraId="7A67BBFA" w14:textId="77777777" w:rsidR="008D40EE" w:rsidRPr="00CE3053" w:rsidRDefault="008D40EE" w:rsidP="00F93B95">
            <w:pPr>
              <w:spacing w:after="0"/>
              <w:jc w:val="right"/>
              <w:rPr>
                <w:rFonts w:ascii="Arial" w:hAnsi="Arial" w:cs="Arial"/>
                <w:b/>
                <w:bCs/>
                <w:color w:val="000000"/>
                <w:lang w:val="mk-MK"/>
              </w:rPr>
            </w:pPr>
          </w:p>
        </w:tc>
        <w:tc>
          <w:tcPr>
            <w:tcW w:w="1120" w:type="dxa"/>
            <w:tcBorders>
              <w:top w:val="single" w:sz="4" w:space="0" w:color="auto"/>
              <w:bottom w:val="double" w:sz="4" w:space="0" w:color="auto"/>
            </w:tcBorders>
            <w:shd w:val="clear" w:color="auto" w:fill="auto"/>
            <w:tcMar>
              <w:left w:w="58" w:type="dxa"/>
              <w:right w:w="58" w:type="dxa"/>
            </w:tcMar>
            <w:vAlign w:val="bottom"/>
          </w:tcPr>
          <w:p w14:paraId="78A36E56" w14:textId="77777777" w:rsidR="008D40EE" w:rsidRPr="001E6526" w:rsidRDefault="008D40EE" w:rsidP="00F93B95">
            <w:pPr>
              <w:spacing w:after="0"/>
              <w:jc w:val="right"/>
              <w:rPr>
                <w:rFonts w:ascii="Arial" w:hAnsi="Arial" w:cs="Arial"/>
                <w:b/>
                <w:bCs/>
                <w:color w:val="000000"/>
                <w:lang w:val="mk-MK"/>
              </w:rPr>
            </w:pPr>
          </w:p>
        </w:tc>
      </w:tr>
    </w:tbl>
    <w:p w14:paraId="21E1898A" w14:textId="77777777" w:rsidR="00401141" w:rsidRPr="00CE3053" w:rsidRDefault="00401141" w:rsidP="00401141">
      <w:pPr>
        <w:pStyle w:val="NumberedHeading1"/>
        <w:numPr>
          <w:ilvl w:val="0"/>
          <w:numId w:val="0"/>
        </w:numPr>
        <w:spacing w:before="0" w:after="0" w:line="260" w:lineRule="atLeast"/>
        <w:ind w:left="360"/>
        <w:rPr>
          <w:rFonts w:ascii="Arial" w:hAnsi="Arial" w:cs="Arial"/>
          <w:b/>
          <w:color w:val="4F2D7F"/>
          <w:sz w:val="18"/>
          <w:lang w:val="mk-MK"/>
        </w:rPr>
      </w:pPr>
    </w:p>
    <w:p w14:paraId="7A877FFA" w14:textId="29EED116" w:rsidR="00F93B95" w:rsidRPr="00CE3053" w:rsidRDefault="00443CE8" w:rsidP="008D40EE">
      <w:pPr>
        <w:pStyle w:val="NumberedHeading1"/>
        <w:numPr>
          <w:ilvl w:val="0"/>
          <w:numId w:val="22"/>
        </w:numPr>
        <w:spacing w:before="0" w:after="0" w:line="260" w:lineRule="atLeast"/>
        <w:rPr>
          <w:rFonts w:ascii="Arial" w:hAnsi="Arial" w:cs="Arial"/>
          <w:b/>
          <w:color w:val="4F2D7F"/>
          <w:sz w:val="18"/>
          <w:lang w:val="mk-MK"/>
        </w:rPr>
      </w:pPr>
      <w:r>
        <w:rPr>
          <w:rFonts w:ascii="Arial" w:hAnsi="Arial" w:cs="Arial"/>
          <w:b/>
          <w:color w:val="4F2D7F"/>
          <w:sz w:val="18"/>
          <w:lang w:val="en-US"/>
        </w:rPr>
        <w:t>Held to maturity</w:t>
      </w:r>
    </w:p>
    <w:tbl>
      <w:tblPr>
        <w:tblW w:w="8640" w:type="dxa"/>
        <w:tblInd w:w="86" w:type="dxa"/>
        <w:tblLook w:val="01E0" w:firstRow="1" w:lastRow="1" w:firstColumn="1" w:lastColumn="1" w:noHBand="0" w:noVBand="0"/>
      </w:tblPr>
      <w:tblGrid>
        <w:gridCol w:w="5760"/>
        <w:gridCol w:w="1440"/>
        <w:gridCol w:w="1440"/>
      </w:tblGrid>
      <w:tr w:rsidR="00F30EF8" w:rsidRPr="001E6526" w14:paraId="27D0D438" w14:textId="77777777" w:rsidTr="00C51858">
        <w:trPr>
          <w:trHeight w:val="216"/>
        </w:trPr>
        <w:tc>
          <w:tcPr>
            <w:tcW w:w="5760" w:type="dxa"/>
            <w:shd w:val="clear" w:color="auto" w:fill="auto"/>
            <w:tcMar>
              <w:left w:w="58" w:type="dxa"/>
              <w:right w:w="58" w:type="dxa"/>
            </w:tcMar>
            <w:vAlign w:val="bottom"/>
          </w:tcPr>
          <w:p w14:paraId="155B3AFB" w14:textId="77777777" w:rsidR="00F30EF8" w:rsidRPr="00CE3053" w:rsidRDefault="00F30EF8" w:rsidP="0025712C">
            <w:pPr>
              <w:pStyle w:val="TableText"/>
              <w:rPr>
                <w:rFonts w:ascii="Arial" w:hAnsi="Arial"/>
                <w:color w:val="FF0000"/>
                <w:sz w:val="18"/>
                <w:lang w:val="mk-MK"/>
              </w:rPr>
            </w:pPr>
          </w:p>
        </w:tc>
        <w:tc>
          <w:tcPr>
            <w:tcW w:w="2880" w:type="dxa"/>
            <w:gridSpan w:val="2"/>
            <w:shd w:val="clear" w:color="auto" w:fill="auto"/>
            <w:tcMar>
              <w:left w:w="58" w:type="dxa"/>
              <w:right w:w="58" w:type="dxa"/>
            </w:tcMar>
            <w:vAlign w:val="bottom"/>
          </w:tcPr>
          <w:p w14:paraId="57F6881E" w14:textId="20EFBA77" w:rsidR="00F30EF8" w:rsidRPr="00CE3053" w:rsidRDefault="00F30EF8" w:rsidP="0025712C">
            <w:pPr>
              <w:pStyle w:val="TableText"/>
              <w:jc w:val="right"/>
              <w:rPr>
                <w:rFonts w:ascii="Arial" w:hAnsi="Arial"/>
                <w:sz w:val="18"/>
                <w:lang w:val="mk-MK"/>
              </w:rPr>
            </w:pPr>
            <w:r w:rsidRPr="00CE3053">
              <w:rPr>
                <w:rFonts w:ascii="Arial" w:hAnsi="Arial"/>
                <w:sz w:val="18"/>
                <w:lang w:val="mk-MK"/>
              </w:rPr>
              <w:t xml:space="preserve">(000 </w:t>
            </w:r>
            <w:proofErr w:type="spellStart"/>
            <w:r w:rsidR="00443CE8">
              <w:rPr>
                <w:rFonts w:ascii="Arial" w:hAnsi="Arial"/>
                <w:sz w:val="18"/>
                <w:lang w:val="en-US"/>
              </w:rPr>
              <w:t>mkd</w:t>
            </w:r>
            <w:proofErr w:type="spellEnd"/>
            <w:r w:rsidRPr="00CE3053">
              <w:rPr>
                <w:rFonts w:ascii="Arial" w:hAnsi="Arial"/>
                <w:sz w:val="18"/>
                <w:lang w:val="mk-MK"/>
              </w:rPr>
              <w:t>)</w:t>
            </w:r>
          </w:p>
        </w:tc>
      </w:tr>
      <w:tr w:rsidR="00F93B95" w:rsidRPr="001E6526" w14:paraId="3E4B6E34" w14:textId="77777777" w:rsidTr="0025712C">
        <w:trPr>
          <w:trHeight w:val="216"/>
        </w:trPr>
        <w:tc>
          <w:tcPr>
            <w:tcW w:w="5760" w:type="dxa"/>
            <w:shd w:val="clear" w:color="auto" w:fill="auto"/>
            <w:tcMar>
              <w:left w:w="58" w:type="dxa"/>
              <w:right w:w="58" w:type="dxa"/>
            </w:tcMar>
            <w:vAlign w:val="bottom"/>
          </w:tcPr>
          <w:p w14:paraId="3B4598C0" w14:textId="77777777" w:rsidR="00F93B95" w:rsidRPr="00CE3053" w:rsidRDefault="00F93B95" w:rsidP="0025712C">
            <w:pPr>
              <w:pStyle w:val="TableText"/>
              <w:rPr>
                <w:rFonts w:ascii="Arial" w:hAnsi="Arial"/>
                <w:color w:val="FF0000"/>
                <w:sz w:val="18"/>
                <w:lang w:val="mk-MK"/>
              </w:rPr>
            </w:pPr>
          </w:p>
        </w:tc>
        <w:tc>
          <w:tcPr>
            <w:tcW w:w="1440" w:type="dxa"/>
            <w:shd w:val="clear" w:color="auto" w:fill="auto"/>
            <w:tcMar>
              <w:left w:w="58" w:type="dxa"/>
              <w:right w:w="58" w:type="dxa"/>
            </w:tcMar>
            <w:vAlign w:val="bottom"/>
          </w:tcPr>
          <w:p w14:paraId="7801CC32" w14:textId="3305EF89" w:rsidR="00F93B95" w:rsidRPr="00CE3053" w:rsidRDefault="00F93B95" w:rsidP="0025712C">
            <w:pPr>
              <w:pStyle w:val="TableText"/>
              <w:jc w:val="right"/>
              <w:rPr>
                <w:rFonts w:ascii="Arial" w:hAnsi="Arial"/>
                <w:sz w:val="18"/>
                <w:lang w:val="mk-MK"/>
              </w:rPr>
            </w:pPr>
            <w:r w:rsidRPr="00CE3053">
              <w:rPr>
                <w:rFonts w:ascii="Arial" w:hAnsi="Arial"/>
                <w:sz w:val="18"/>
                <w:lang w:val="mk-MK"/>
              </w:rPr>
              <w:t>202</w:t>
            </w:r>
            <w:r w:rsidR="0021733D" w:rsidRPr="00CE3053">
              <w:rPr>
                <w:rFonts w:ascii="Arial" w:hAnsi="Arial"/>
                <w:sz w:val="18"/>
                <w:lang w:val="mk-MK"/>
              </w:rPr>
              <w:t>1</w:t>
            </w:r>
          </w:p>
        </w:tc>
        <w:tc>
          <w:tcPr>
            <w:tcW w:w="1440" w:type="dxa"/>
            <w:shd w:val="clear" w:color="auto" w:fill="auto"/>
            <w:tcMar>
              <w:left w:w="58" w:type="dxa"/>
              <w:right w:w="58" w:type="dxa"/>
            </w:tcMar>
            <w:vAlign w:val="bottom"/>
          </w:tcPr>
          <w:p w14:paraId="7803A12F" w14:textId="1C499B4B" w:rsidR="00F93B95" w:rsidRPr="00CE3053" w:rsidRDefault="00F93B95" w:rsidP="0025712C">
            <w:pPr>
              <w:pStyle w:val="TableText"/>
              <w:jc w:val="right"/>
              <w:rPr>
                <w:rFonts w:ascii="Arial" w:hAnsi="Arial"/>
                <w:sz w:val="18"/>
                <w:lang w:val="mk-MK"/>
              </w:rPr>
            </w:pPr>
            <w:r w:rsidRPr="00CE3053">
              <w:rPr>
                <w:rFonts w:ascii="Arial" w:hAnsi="Arial"/>
                <w:sz w:val="18"/>
                <w:lang w:val="mk-MK"/>
              </w:rPr>
              <w:t>20</w:t>
            </w:r>
            <w:r w:rsidR="0021733D" w:rsidRPr="00CE3053">
              <w:rPr>
                <w:rFonts w:ascii="Arial" w:hAnsi="Arial"/>
                <w:sz w:val="18"/>
                <w:lang w:val="mk-MK"/>
              </w:rPr>
              <w:t>20</w:t>
            </w:r>
          </w:p>
        </w:tc>
      </w:tr>
      <w:tr w:rsidR="00F93B95" w:rsidRPr="001E6526" w14:paraId="34E06D33" w14:textId="77777777" w:rsidTr="0025712C">
        <w:trPr>
          <w:trHeight w:val="216"/>
        </w:trPr>
        <w:tc>
          <w:tcPr>
            <w:tcW w:w="5760" w:type="dxa"/>
            <w:shd w:val="clear" w:color="auto" w:fill="auto"/>
            <w:tcMar>
              <w:left w:w="58" w:type="dxa"/>
              <w:right w:w="58" w:type="dxa"/>
            </w:tcMar>
            <w:vAlign w:val="bottom"/>
          </w:tcPr>
          <w:p w14:paraId="6ECF8A8B" w14:textId="77777777" w:rsidR="00F93B95" w:rsidRPr="00CE3053" w:rsidRDefault="00F93B95" w:rsidP="0025712C">
            <w:pPr>
              <w:pStyle w:val="TableText"/>
              <w:rPr>
                <w:rFonts w:ascii="Arial" w:hAnsi="Arial"/>
                <w:sz w:val="18"/>
                <w:lang w:val="mk-MK"/>
              </w:rPr>
            </w:pPr>
          </w:p>
        </w:tc>
        <w:tc>
          <w:tcPr>
            <w:tcW w:w="1440" w:type="dxa"/>
            <w:shd w:val="clear" w:color="auto" w:fill="auto"/>
            <w:tcMar>
              <w:left w:w="58" w:type="dxa"/>
              <w:right w:w="58" w:type="dxa"/>
            </w:tcMar>
            <w:vAlign w:val="bottom"/>
          </w:tcPr>
          <w:p w14:paraId="2B02E58B" w14:textId="77777777" w:rsidR="00F93B95" w:rsidRPr="00CE3053" w:rsidRDefault="00F93B95" w:rsidP="0025712C">
            <w:pPr>
              <w:pStyle w:val="TableText"/>
              <w:jc w:val="right"/>
              <w:rPr>
                <w:rFonts w:ascii="Arial" w:hAnsi="Arial"/>
                <w:sz w:val="18"/>
                <w:lang w:val="mk-MK"/>
              </w:rPr>
            </w:pPr>
          </w:p>
        </w:tc>
        <w:tc>
          <w:tcPr>
            <w:tcW w:w="1440" w:type="dxa"/>
            <w:shd w:val="clear" w:color="auto" w:fill="auto"/>
            <w:tcMar>
              <w:left w:w="58" w:type="dxa"/>
              <w:right w:w="58" w:type="dxa"/>
            </w:tcMar>
            <w:vAlign w:val="bottom"/>
          </w:tcPr>
          <w:p w14:paraId="292CC077" w14:textId="77777777" w:rsidR="00F93B95" w:rsidRPr="00CE3053" w:rsidRDefault="00F93B95" w:rsidP="0025712C">
            <w:pPr>
              <w:pStyle w:val="TableText"/>
              <w:jc w:val="right"/>
              <w:rPr>
                <w:rFonts w:ascii="Arial" w:hAnsi="Arial"/>
                <w:sz w:val="18"/>
                <w:lang w:val="mk-MK"/>
              </w:rPr>
            </w:pPr>
          </w:p>
        </w:tc>
      </w:tr>
      <w:tr w:rsidR="00F93B95" w:rsidRPr="001E6526" w14:paraId="7DB8352A" w14:textId="77777777" w:rsidTr="0025712C">
        <w:trPr>
          <w:trHeight w:val="216"/>
        </w:trPr>
        <w:tc>
          <w:tcPr>
            <w:tcW w:w="5760" w:type="dxa"/>
            <w:tcBorders>
              <w:bottom w:val="single" w:sz="4" w:space="0" w:color="auto"/>
            </w:tcBorders>
            <w:shd w:val="clear" w:color="auto" w:fill="auto"/>
            <w:tcMar>
              <w:left w:w="58" w:type="dxa"/>
              <w:right w:w="58" w:type="dxa"/>
            </w:tcMar>
            <w:vAlign w:val="bottom"/>
          </w:tcPr>
          <w:p w14:paraId="20F657E1" w14:textId="16308314" w:rsidR="00F93B95" w:rsidRPr="00CE3053" w:rsidRDefault="00443CE8" w:rsidP="00F93B95">
            <w:pPr>
              <w:pStyle w:val="TableText"/>
              <w:spacing w:after="0"/>
              <w:rPr>
                <w:rFonts w:ascii="Arial" w:hAnsi="Arial"/>
                <w:bCs/>
                <w:sz w:val="18"/>
                <w:lang w:val="mk-MK"/>
              </w:rPr>
            </w:pPr>
            <w:proofErr w:type="spellStart"/>
            <w:r w:rsidRPr="00C913A8">
              <w:rPr>
                <w:rFonts w:ascii="Arial" w:hAnsi="Arial"/>
                <w:bCs/>
                <w:sz w:val="18"/>
                <w:lang w:val="mk-MK"/>
              </w:rPr>
              <w:t>Government</w:t>
            </w:r>
            <w:proofErr w:type="spellEnd"/>
            <w:r w:rsidRPr="00C913A8">
              <w:rPr>
                <w:rFonts w:ascii="Arial" w:hAnsi="Arial"/>
                <w:bCs/>
                <w:sz w:val="18"/>
                <w:lang w:val="mk-MK"/>
              </w:rPr>
              <w:t xml:space="preserve"> </w:t>
            </w:r>
            <w:proofErr w:type="spellStart"/>
            <w:r w:rsidRPr="00C913A8">
              <w:rPr>
                <w:rFonts w:ascii="Arial" w:hAnsi="Arial"/>
                <w:bCs/>
                <w:sz w:val="18"/>
                <w:lang w:val="mk-MK"/>
              </w:rPr>
              <w:t>bills</w:t>
            </w:r>
            <w:proofErr w:type="spellEnd"/>
          </w:p>
        </w:tc>
        <w:tc>
          <w:tcPr>
            <w:tcW w:w="1440" w:type="dxa"/>
            <w:tcBorders>
              <w:bottom w:val="single" w:sz="4" w:space="0" w:color="auto"/>
            </w:tcBorders>
            <w:shd w:val="clear" w:color="auto" w:fill="auto"/>
            <w:tcMar>
              <w:left w:w="58" w:type="dxa"/>
              <w:right w:w="58" w:type="dxa"/>
            </w:tcMar>
            <w:vAlign w:val="bottom"/>
          </w:tcPr>
          <w:p w14:paraId="25962709" w14:textId="67B0B3A0" w:rsidR="00F93B95" w:rsidRPr="00CE3053" w:rsidRDefault="00F378E0" w:rsidP="00F93B95">
            <w:pPr>
              <w:spacing w:after="0"/>
              <w:jc w:val="right"/>
              <w:rPr>
                <w:rFonts w:ascii="Arial" w:hAnsi="Arial" w:cs="Arial"/>
                <w:color w:val="000000"/>
                <w:lang w:val="mk-MK"/>
              </w:rPr>
            </w:pPr>
            <w:r w:rsidRPr="00CE3053">
              <w:rPr>
                <w:rFonts w:ascii="Arial" w:hAnsi="Arial" w:cs="Arial"/>
                <w:color w:val="000000"/>
                <w:lang w:val="mk-MK"/>
              </w:rPr>
              <w:t>14,730,822</w:t>
            </w:r>
          </w:p>
        </w:tc>
        <w:tc>
          <w:tcPr>
            <w:tcW w:w="1440" w:type="dxa"/>
            <w:tcBorders>
              <w:bottom w:val="single" w:sz="4" w:space="0" w:color="auto"/>
            </w:tcBorders>
            <w:shd w:val="clear" w:color="auto" w:fill="auto"/>
            <w:tcMar>
              <w:left w:w="58" w:type="dxa"/>
              <w:right w:w="58" w:type="dxa"/>
            </w:tcMar>
            <w:vAlign w:val="bottom"/>
          </w:tcPr>
          <w:p w14:paraId="0C644503" w14:textId="1AB7446A" w:rsidR="00F93B95" w:rsidRPr="001E6526" w:rsidRDefault="00F93B95" w:rsidP="00F93B95">
            <w:pPr>
              <w:spacing w:after="0"/>
              <w:jc w:val="right"/>
              <w:rPr>
                <w:rFonts w:ascii="Arial" w:hAnsi="Arial" w:cs="Arial"/>
                <w:color w:val="000000"/>
                <w:lang w:val="mk-MK"/>
              </w:rPr>
            </w:pPr>
            <w:r w:rsidRPr="001E6526">
              <w:rPr>
                <w:rFonts w:ascii="Arial" w:hAnsi="Arial" w:cs="Arial"/>
                <w:color w:val="000000"/>
                <w:lang w:val="mk-MK"/>
              </w:rPr>
              <w:t>1</w:t>
            </w:r>
            <w:r w:rsidR="00706CA2" w:rsidRPr="00CE3053">
              <w:rPr>
                <w:rFonts w:ascii="Arial" w:hAnsi="Arial" w:cs="Arial"/>
                <w:color w:val="000000"/>
                <w:lang w:val="mk-MK"/>
              </w:rPr>
              <w:t>3</w:t>
            </w:r>
            <w:r w:rsidRPr="001E6526">
              <w:rPr>
                <w:rFonts w:ascii="Arial" w:hAnsi="Arial" w:cs="Arial"/>
                <w:color w:val="000000"/>
                <w:lang w:val="mk-MK"/>
              </w:rPr>
              <w:t>,</w:t>
            </w:r>
            <w:r w:rsidR="00706CA2" w:rsidRPr="00CE3053">
              <w:rPr>
                <w:rFonts w:ascii="Arial" w:hAnsi="Arial" w:cs="Arial"/>
                <w:color w:val="000000"/>
                <w:lang w:val="mk-MK"/>
              </w:rPr>
              <w:t>930</w:t>
            </w:r>
            <w:r w:rsidRPr="001E6526">
              <w:rPr>
                <w:rFonts w:ascii="Arial" w:hAnsi="Arial" w:cs="Arial"/>
                <w:color w:val="000000"/>
                <w:lang w:val="mk-MK"/>
              </w:rPr>
              <w:t>,</w:t>
            </w:r>
            <w:r w:rsidR="00706CA2" w:rsidRPr="00CE3053">
              <w:rPr>
                <w:rFonts w:ascii="Arial" w:hAnsi="Arial" w:cs="Arial"/>
                <w:color w:val="000000"/>
                <w:lang w:val="mk-MK"/>
              </w:rPr>
              <w:t>54</w:t>
            </w:r>
            <w:r w:rsidR="00F378E0" w:rsidRPr="00CE3053">
              <w:rPr>
                <w:rFonts w:ascii="Arial" w:hAnsi="Arial" w:cs="Arial"/>
                <w:color w:val="000000"/>
                <w:lang w:val="mk-MK"/>
              </w:rPr>
              <w:t>8</w:t>
            </w:r>
          </w:p>
        </w:tc>
      </w:tr>
      <w:tr w:rsidR="00F93B95" w:rsidRPr="001E6526" w14:paraId="3D26EB0D" w14:textId="77777777" w:rsidTr="0025712C">
        <w:trPr>
          <w:trHeight w:val="216"/>
        </w:trPr>
        <w:tc>
          <w:tcPr>
            <w:tcW w:w="5760" w:type="dxa"/>
            <w:tcBorders>
              <w:top w:val="single" w:sz="4" w:space="0" w:color="auto"/>
              <w:bottom w:val="double" w:sz="4" w:space="0" w:color="auto"/>
            </w:tcBorders>
            <w:shd w:val="clear" w:color="auto" w:fill="auto"/>
            <w:tcMar>
              <w:left w:w="58" w:type="dxa"/>
              <w:right w:w="58" w:type="dxa"/>
            </w:tcMar>
            <w:vAlign w:val="bottom"/>
          </w:tcPr>
          <w:p w14:paraId="1EDC8B7D" w14:textId="77777777" w:rsidR="00F93B95" w:rsidRPr="00CE3053" w:rsidRDefault="00F93B95" w:rsidP="00F93B95">
            <w:pPr>
              <w:pStyle w:val="TableText"/>
              <w:spacing w:after="0"/>
              <w:rPr>
                <w:rFonts w:ascii="Arial" w:hAnsi="Arial"/>
                <w:b/>
                <w:bCs/>
                <w:sz w:val="18"/>
                <w:lang w:val="mk-MK"/>
              </w:rPr>
            </w:pPr>
          </w:p>
        </w:tc>
        <w:tc>
          <w:tcPr>
            <w:tcW w:w="1440" w:type="dxa"/>
            <w:tcBorders>
              <w:top w:val="single" w:sz="4" w:space="0" w:color="auto"/>
              <w:bottom w:val="double" w:sz="4" w:space="0" w:color="auto"/>
            </w:tcBorders>
            <w:shd w:val="clear" w:color="auto" w:fill="auto"/>
            <w:tcMar>
              <w:left w:w="58" w:type="dxa"/>
              <w:right w:w="58" w:type="dxa"/>
            </w:tcMar>
            <w:vAlign w:val="bottom"/>
          </w:tcPr>
          <w:p w14:paraId="0DDFFE60" w14:textId="5F04AF7E" w:rsidR="00F93B95" w:rsidRPr="00CE3053" w:rsidRDefault="00F378E0" w:rsidP="00F93B95">
            <w:pPr>
              <w:spacing w:after="0"/>
              <w:jc w:val="right"/>
              <w:rPr>
                <w:rFonts w:ascii="Arial" w:hAnsi="Arial" w:cs="Arial"/>
                <w:b/>
                <w:bCs/>
                <w:color w:val="000000"/>
                <w:lang w:val="mk-MK"/>
              </w:rPr>
            </w:pPr>
            <w:r w:rsidRPr="00CE3053">
              <w:rPr>
                <w:rFonts w:ascii="Arial" w:hAnsi="Arial" w:cs="Arial"/>
                <w:b/>
                <w:bCs/>
                <w:color w:val="000000"/>
                <w:lang w:val="mk-MK"/>
              </w:rPr>
              <w:t>14,730,822</w:t>
            </w:r>
          </w:p>
        </w:tc>
        <w:tc>
          <w:tcPr>
            <w:tcW w:w="1440" w:type="dxa"/>
            <w:tcBorders>
              <w:top w:val="single" w:sz="4" w:space="0" w:color="auto"/>
              <w:bottom w:val="double" w:sz="4" w:space="0" w:color="auto"/>
            </w:tcBorders>
            <w:shd w:val="clear" w:color="auto" w:fill="auto"/>
            <w:tcMar>
              <w:left w:w="58" w:type="dxa"/>
              <w:right w:w="58" w:type="dxa"/>
            </w:tcMar>
            <w:vAlign w:val="bottom"/>
          </w:tcPr>
          <w:p w14:paraId="652E52AF" w14:textId="35B13B62" w:rsidR="00F93B95" w:rsidRPr="00CE3053" w:rsidRDefault="00706CA2" w:rsidP="00F93B95">
            <w:pPr>
              <w:spacing w:after="0"/>
              <w:jc w:val="right"/>
              <w:rPr>
                <w:rFonts w:ascii="Arial" w:hAnsi="Arial" w:cs="Arial"/>
                <w:b/>
                <w:bCs/>
                <w:color w:val="000000"/>
                <w:lang w:val="mk-MK"/>
              </w:rPr>
            </w:pPr>
            <w:r w:rsidRPr="00CE3053">
              <w:rPr>
                <w:rFonts w:ascii="Arial" w:hAnsi="Arial" w:cs="Arial"/>
                <w:b/>
                <w:bCs/>
                <w:color w:val="000000"/>
                <w:lang w:val="mk-MK"/>
              </w:rPr>
              <w:t>13</w:t>
            </w:r>
            <w:r w:rsidR="00F93B95" w:rsidRPr="001E6526">
              <w:rPr>
                <w:rFonts w:ascii="Arial" w:hAnsi="Arial" w:cs="Arial"/>
                <w:b/>
                <w:bCs/>
                <w:color w:val="000000"/>
                <w:lang w:val="mk-MK"/>
              </w:rPr>
              <w:t>,</w:t>
            </w:r>
            <w:r w:rsidRPr="00CE3053">
              <w:rPr>
                <w:rFonts w:ascii="Arial" w:hAnsi="Arial" w:cs="Arial"/>
                <w:b/>
                <w:bCs/>
                <w:color w:val="000000"/>
                <w:lang w:val="mk-MK"/>
              </w:rPr>
              <w:t>930</w:t>
            </w:r>
            <w:r w:rsidR="00F93B95" w:rsidRPr="001E6526">
              <w:rPr>
                <w:rFonts w:ascii="Arial" w:hAnsi="Arial" w:cs="Arial"/>
                <w:b/>
                <w:bCs/>
                <w:color w:val="000000"/>
                <w:lang w:val="mk-MK"/>
              </w:rPr>
              <w:t>,</w:t>
            </w:r>
            <w:r w:rsidRPr="00CE3053">
              <w:rPr>
                <w:rFonts w:ascii="Arial" w:hAnsi="Arial" w:cs="Arial"/>
                <w:b/>
                <w:bCs/>
                <w:color w:val="000000"/>
                <w:lang w:val="mk-MK"/>
              </w:rPr>
              <w:t>54</w:t>
            </w:r>
            <w:r w:rsidR="00F378E0" w:rsidRPr="00CE3053">
              <w:rPr>
                <w:rFonts w:ascii="Arial" w:hAnsi="Arial" w:cs="Arial"/>
                <w:b/>
                <w:bCs/>
                <w:color w:val="000000"/>
                <w:lang w:val="mk-MK"/>
              </w:rPr>
              <w:t>8</w:t>
            </w:r>
          </w:p>
        </w:tc>
      </w:tr>
    </w:tbl>
    <w:p w14:paraId="34F4EF34" w14:textId="7CF06377" w:rsidR="00F93B95" w:rsidRDefault="00F93B95" w:rsidP="00F93B95">
      <w:pPr>
        <w:pStyle w:val="BodyText"/>
        <w:jc w:val="both"/>
        <w:rPr>
          <w:rFonts w:ascii="Arial" w:hAnsi="Arial" w:cs="Arial"/>
          <w:lang w:val="mk-MK"/>
        </w:rPr>
      </w:pPr>
    </w:p>
    <w:p w14:paraId="60942018" w14:textId="29142D39" w:rsidR="00EA033A" w:rsidRPr="00CE3053" w:rsidRDefault="00EA033A" w:rsidP="00F93B95">
      <w:pPr>
        <w:pStyle w:val="BodyText"/>
        <w:jc w:val="both"/>
        <w:rPr>
          <w:rFonts w:ascii="Arial" w:hAnsi="Arial" w:cs="Arial"/>
          <w:lang w:val="mk-MK"/>
        </w:rPr>
      </w:pPr>
      <w:proofErr w:type="spellStart"/>
      <w:r w:rsidRPr="00EA033A">
        <w:rPr>
          <w:rFonts w:ascii="Arial" w:hAnsi="Arial" w:cs="Arial"/>
          <w:lang w:val="mk-MK"/>
        </w:rPr>
        <w:t>Government</w:t>
      </w:r>
      <w:proofErr w:type="spellEnd"/>
      <w:r w:rsidRPr="00EA033A">
        <w:rPr>
          <w:rFonts w:ascii="Arial" w:hAnsi="Arial" w:cs="Arial"/>
          <w:lang w:val="mk-MK"/>
        </w:rPr>
        <w:t xml:space="preserve"> </w:t>
      </w:r>
      <w:proofErr w:type="spellStart"/>
      <w:r w:rsidRPr="00EA033A">
        <w:rPr>
          <w:rFonts w:ascii="Arial" w:hAnsi="Arial" w:cs="Arial"/>
          <w:lang w:val="mk-MK"/>
        </w:rPr>
        <w:t>bills</w:t>
      </w:r>
      <w:proofErr w:type="spellEnd"/>
      <w:r w:rsidRPr="00EA033A">
        <w:rPr>
          <w:rFonts w:ascii="Arial" w:hAnsi="Arial" w:cs="Arial"/>
          <w:lang w:val="mk-MK"/>
        </w:rPr>
        <w:t xml:space="preserve">, </w:t>
      </w:r>
      <w:proofErr w:type="spellStart"/>
      <w:r w:rsidRPr="00EA033A">
        <w:rPr>
          <w:rFonts w:ascii="Arial" w:hAnsi="Arial" w:cs="Arial"/>
          <w:lang w:val="mk-MK"/>
        </w:rPr>
        <w:t>with</w:t>
      </w:r>
      <w:proofErr w:type="spellEnd"/>
      <w:r w:rsidRPr="00EA033A">
        <w:rPr>
          <w:rFonts w:ascii="Arial" w:hAnsi="Arial" w:cs="Arial"/>
          <w:lang w:val="mk-MK"/>
        </w:rPr>
        <w:t xml:space="preserve"> a </w:t>
      </w:r>
      <w:proofErr w:type="spellStart"/>
      <w:r w:rsidRPr="00EA033A">
        <w:rPr>
          <w:rFonts w:ascii="Arial" w:hAnsi="Arial" w:cs="Arial"/>
          <w:lang w:val="mk-MK"/>
        </w:rPr>
        <w:t>twelve</w:t>
      </w:r>
      <w:proofErr w:type="spellEnd"/>
      <w:r w:rsidRPr="00EA033A">
        <w:rPr>
          <w:rFonts w:ascii="Arial" w:hAnsi="Arial" w:cs="Arial"/>
          <w:lang w:val="mk-MK"/>
        </w:rPr>
        <w:t xml:space="preserve"> </w:t>
      </w:r>
      <w:proofErr w:type="spellStart"/>
      <w:r w:rsidRPr="00EA033A">
        <w:rPr>
          <w:rFonts w:ascii="Arial" w:hAnsi="Arial" w:cs="Arial"/>
          <w:lang w:val="mk-MK"/>
        </w:rPr>
        <w:t>months</w:t>
      </w:r>
      <w:proofErr w:type="spellEnd"/>
      <w:r w:rsidRPr="00EA033A">
        <w:rPr>
          <w:rFonts w:ascii="Arial" w:hAnsi="Arial" w:cs="Arial"/>
          <w:lang w:val="mk-MK"/>
        </w:rPr>
        <w:t xml:space="preserve"> </w:t>
      </w:r>
      <w:proofErr w:type="spellStart"/>
      <w:r w:rsidRPr="00EA033A">
        <w:rPr>
          <w:rFonts w:ascii="Arial" w:hAnsi="Arial" w:cs="Arial"/>
          <w:lang w:val="mk-MK"/>
        </w:rPr>
        <w:t>maturity</w:t>
      </w:r>
      <w:proofErr w:type="spellEnd"/>
      <w:r w:rsidRPr="00EA033A">
        <w:rPr>
          <w:rFonts w:ascii="Arial" w:hAnsi="Arial" w:cs="Arial"/>
          <w:lang w:val="mk-MK"/>
        </w:rPr>
        <w:t xml:space="preserve"> </w:t>
      </w:r>
      <w:proofErr w:type="spellStart"/>
      <w:r w:rsidRPr="00EA033A">
        <w:rPr>
          <w:rFonts w:ascii="Arial" w:hAnsi="Arial" w:cs="Arial"/>
          <w:lang w:val="mk-MK"/>
        </w:rPr>
        <w:t>period</w:t>
      </w:r>
      <w:proofErr w:type="spellEnd"/>
      <w:r w:rsidRPr="00EA033A">
        <w:rPr>
          <w:rFonts w:ascii="Arial" w:hAnsi="Arial" w:cs="Arial"/>
          <w:lang w:val="mk-MK"/>
        </w:rPr>
        <w:t xml:space="preserve">, </w:t>
      </w:r>
      <w:proofErr w:type="spellStart"/>
      <w:r w:rsidRPr="00EA033A">
        <w:rPr>
          <w:rFonts w:ascii="Arial" w:hAnsi="Arial" w:cs="Arial"/>
          <w:lang w:val="mk-MK"/>
        </w:rPr>
        <w:t>have</w:t>
      </w:r>
      <w:proofErr w:type="spellEnd"/>
      <w:r w:rsidRPr="00EA033A">
        <w:rPr>
          <w:rFonts w:ascii="Arial" w:hAnsi="Arial" w:cs="Arial"/>
          <w:lang w:val="mk-MK"/>
        </w:rPr>
        <w:t xml:space="preserve"> </w:t>
      </w:r>
      <w:proofErr w:type="spellStart"/>
      <w:r w:rsidRPr="00EA033A">
        <w:rPr>
          <w:rFonts w:ascii="Arial" w:hAnsi="Arial" w:cs="Arial"/>
          <w:lang w:val="mk-MK"/>
        </w:rPr>
        <w:t>fixed</w:t>
      </w:r>
      <w:proofErr w:type="spellEnd"/>
      <w:r w:rsidRPr="00EA033A">
        <w:rPr>
          <w:rFonts w:ascii="Arial" w:hAnsi="Arial" w:cs="Arial"/>
          <w:lang w:val="mk-MK"/>
        </w:rPr>
        <w:t xml:space="preserve"> </w:t>
      </w:r>
      <w:proofErr w:type="spellStart"/>
      <w:r w:rsidRPr="00EA033A">
        <w:rPr>
          <w:rFonts w:ascii="Arial" w:hAnsi="Arial" w:cs="Arial"/>
          <w:lang w:val="mk-MK"/>
        </w:rPr>
        <w:t>interest</w:t>
      </w:r>
      <w:proofErr w:type="spellEnd"/>
      <w:r w:rsidRPr="00EA033A">
        <w:rPr>
          <w:rFonts w:ascii="Arial" w:hAnsi="Arial" w:cs="Arial"/>
          <w:lang w:val="mk-MK"/>
        </w:rPr>
        <w:t xml:space="preserve"> </w:t>
      </w:r>
      <w:proofErr w:type="spellStart"/>
      <w:r w:rsidRPr="00EA033A">
        <w:rPr>
          <w:rFonts w:ascii="Arial" w:hAnsi="Arial" w:cs="Arial"/>
          <w:lang w:val="mk-MK"/>
        </w:rPr>
        <w:t>rate</w:t>
      </w:r>
      <w:proofErr w:type="spellEnd"/>
      <w:r w:rsidRPr="00EA033A">
        <w:rPr>
          <w:rFonts w:ascii="Arial" w:hAnsi="Arial" w:cs="Arial"/>
          <w:lang w:val="mk-MK"/>
        </w:rPr>
        <w:t xml:space="preserve"> </w:t>
      </w:r>
      <w:proofErr w:type="spellStart"/>
      <w:r w:rsidRPr="00EA033A">
        <w:rPr>
          <w:rFonts w:ascii="Arial" w:hAnsi="Arial" w:cs="Arial"/>
          <w:lang w:val="mk-MK"/>
        </w:rPr>
        <w:t>from</w:t>
      </w:r>
      <w:proofErr w:type="spellEnd"/>
      <w:r w:rsidRPr="00EA033A">
        <w:rPr>
          <w:rFonts w:ascii="Arial" w:hAnsi="Arial" w:cs="Arial"/>
          <w:lang w:val="mk-MK"/>
        </w:rPr>
        <w:t xml:space="preserve"> 0.40% </w:t>
      </w:r>
      <w:proofErr w:type="spellStart"/>
      <w:r w:rsidRPr="00EA033A">
        <w:rPr>
          <w:rFonts w:ascii="Arial" w:hAnsi="Arial" w:cs="Arial"/>
          <w:lang w:val="mk-MK"/>
        </w:rPr>
        <w:t>to</w:t>
      </w:r>
      <w:proofErr w:type="spellEnd"/>
      <w:r w:rsidRPr="00EA033A">
        <w:rPr>
          <w:rFonts w:ascii="Arial" w:hAnsi="Arial" w:cs="Arial"/>
          <w:lang w:val="mk-MK"/>
        </w:rPr>
        <w:t xml:space="preserve"> 0.</w:t>
      </w:r>
      <w:r>
        <w:rPr>
          <w:rFonts w:ascii="Arial" w:hAnsi="Arial" w:cs="Arial"/>
          <w:lang w:val="en-US"/>
        </w:rPr>
        <w:t>7</w:t>
      </w:r>
      <w:r w:rsidRPr="00EA033A">
        <w:rPr>
          <w:rFonts w:ascii="Arial" w:hAnsi="Arial" w:cs="Arial"/>
          <w:lang w:val="mk-MK"/>
        </w:rPr>
        <w:t xml:space="preserve">0% </w:t>
      </w:r>
      <w:proofErr w:type="spellStart"/>
      <w:r w:rsidRPr="00EA033A">
        <w:rPr>
          <w:rFonts w:ascii="Arial" w:hAnsi="Arial" w:cs="Arial"/>
          <w:lang w:val="mk-MK"/>
        </w:rPr>
        <w:t>p.a</w:t>
      </w:r>
      <w:proofErr w:type="spellEnd"/>
      <w:r w:rsidRPr="00EA033A">
        <w:rPr>
          <w:rFonts w:ascii="Arial" w:hAnsi="Arial" w:cs="Arial"/>
          <w:lang w:val="mk-MK"/>
        </w:rPr>
        <w:t>. (20</w:t>
      </w:r>
      <w:r>
        <w:rPr>
          <w:rFonts w:ascii="Arial" w:hAnsi="Arial" w:cs="Arial"/>
          <w:lang w:val="en-US"/>
        </w:rPr>
        <w:t>20</w:t>
      </w:r>
      <w:r w:rsidRPr="00EA033A">
        <w:rPr>
          <w:rFonts w:ascii="Arial" w:hAnsi="Arial" w:cs="Arial"/>
          <w:lang w:val="mk-MK"/>
        </w:rPr>
        <w:t>: 0.</w:t>
      </w:r>
      <w:r>
        <w:rPr>
          <w:rFonts w:ascii="Arial" w:hAnsi="Arial" w:cs="Arial"/>
          <w:lang w:val="en-US"/>
        </w:rPr>
        <w:t>4</w:t>
      </w:r>
      <w:r w:rsidRPr="00EA033A">
        <w:rPr>
          <w:rFonts w:ascii="Arial" w:hAnsi="Arial" w:cs="Arial"/>
          <w:lang w:val="mk-MK"/>
        </w:rPr>
        <w:t xml:space="preserve">0% </w:t>
      </w:r>
      <w:proofErr w:type="spellStart"/>
      <w:r w:rsidRPr="00EA033A">
        <w:rPr>
          <w:rFonts w:ascii="Arial" w:hAnsi="Arial" w:cs="Arial"/>
          <w:lang w:val="mk-MK"/>
        </w:rPr>
        <w:t>to</w:t>
      </w:r>
      <w:proofErr w:type="spellEnd"/>
      <w:r w:rsidRPr="00EA033A">
        <w:rPr>
          <w:rFonts w:ascii="Arial" w:hAnsi="Arial" w:cs="Arial"/>
          <w:lang w:val="mk-MK"/>
        </w:rPr>
        <w:t xml:space="preserve"> 0.</w:t>
      </w:r>
      <w:r>
        <w:rPr>
          <w:rFonts w:ascii="Arial" w:hAnsi="Arial" w:cs="Arial"/>
          <w:lang w:val="en-US"/>
        </w:rPr>
        <w:t>60</w:t>
      </w:r>
      <w:r w:rsidRPr="00EA033A">
        <w:rPr>
          <w:rFonts w:ascii="Arial" w:hAnsi="Arial" w:cs="Arial"/>
          <w:lang w:val="mk-MK"/>
        </w:rPr>
        <w:t xml:space="preserve">% </w:t>
      </w:r>
      <w:proofErr w:type="spellStart"/>
      <w:r w:rsidRPr="00EA033A">
        <w:rPr>
          <w:rFonts w:ascii="Arial" w:hAnsi="Arial" w:cs="Arial"/>
          <w:lang w:val="mk-MK"/>
        </w:rPr>
        <w:t>p.a</w:t>
      </w:r>
      <w:proofErr w:type="spellEnd"/>
      <w:r w:rsidRPr="00EA033A">
        <w:rPr>
          <w:rFonts w:ascii="Arial" w:hAnsi="Arial" w:cs="Arial"/>
          <w:lang w:val="mk-MK"/>
        </w:rPr>
        <w:t>.).</w:t>
      </w:r>
    </w:p>
    <w:p w14:paraId="33896393" w14:textId="5E530293" w:rsidR="00F93B95" w:rsidRPr="00CE3053" w:rsidRDefault="00EA033A" w:rsidP="00F93B95">
      <w:pPr>
        <w:pStyle w:val="BodyText"/>
        <w:jc w:val="both"/>
        <w:rPr>
          <w:rFonts w:ascii="Arial" w:hAnsi="Arial" w:cs="Arial"/>
          <w:color w:val="FF0000"/>
          <w:lang w:val="mk-MK"/>
        </w:rPr>
      </w:pPr>
      <w:proofErr w:type="spellStart"/>
      <w:r w:rsidRPr="00EA033A">
        <w:rPr>
          <w:rFonts w:ascii="Arial" w:hAnsi="Arial" w:cs="Arial"/>
          <w:lang w:val="mk-MK"/>
        </w:rPr>
        <w:t>Income</w:t>
      </w:r>
      <w:proofErr w:type="spellEnd"/>
      <w:r w:rsidRPr="00EA033A">
        <w:rPr>
          <w:rFonts w:ascii="Arial" w:hAnsi="Arial" w:cs="Arial"/>
          <w:lang w:val="mk-MK"/>
        </w:rPr>
        <w:t xml:space="preserve"> </w:t>
      </w:r>
      <w:proofErr w:type="spellStart"/>
      <w:r w:rsidRPr="00EA033A">
        <w:rPr>
          <w:rFonts w:ascii="Arial" w:hAnsi="Arial" w:cs="Arial"/>
          <w:lang w:val="mk-MK"/>
        </w:rPr>
        <w:t>earned</w:t>
      </w:r>
      <w:proofErr w:type="spellEnd"/>
      <w:r w:rsidRPr="00EA033A">
        <w:rPr>
          <w:rFonts w:ascii="Arial" w:hAnsi="Arial" w:cs="Arial"/>
          <w:lang w:val="mk-MK"/>
        </w:rPr>
        <w:t xml:space="preserve"> </w:t>
      </w:r>
      <w:proofErr w:type="spellStart"/>
      <w:r w:rsidRPr="00EA033A">
        <w:rPr>
          <w:rFonts w:ascii="Arial" w:hAnsi="Arial" w:cs="Arial"/>
          <w:lang w:val="mk-MK"/>
        </w:rPr>
        <w:t>from</w:t>
      </w:r>
      <w:proofErr w:type="spellEnd"/>
      <w:r w:rsidRPr="00EA033A">
        <w:rPr>
          <w:rFonts w:ascii="Arial" w:hAnsi="Arial" w:cs="Arial"/>
          <w:lang w:val="mk-MK"/>
        </w:rPr>
        <w:t xml:space="preserve"> </w:t>
      </w:r>
      <w:proofErr w:type="spellStart"/>
      <w:r w:rsidRPr="00EA033A">
        <w:rPr>
          <w:rFonts w:ascii="Arial" w:hAnsi="Arial" w:cs="Arial"/>
          <w:lang w:val="mk-MK"/>
        </w:rPr>
        <w:t>held</w:t>
      </w:r>
      <w:proofErr w:type="spellEnd"/>
      <w:r w:rsidRPr="00EA033A">
        <w:rPr>
          <w:rFonts w:ascii="Arial" w:hAnsi="Arial" w:cs="Arial"/>
          <w:lang w:val="mk-MK"/>
        </w:rPr>
        <w:t xml:space="preserve"> </w:t>
      </w:r>
      <w:proofErr w:type="spellStart"/>
      <w:r w:rsidRPr="00EA033A">
        <w:rPr>
          <w:rFonts w:ascii="Arial" w:hAnsi="Arial" w:cs="Arial"/>
          <w:lang w:val="mk-MK"/>
        </w:rPr>
        <w:t>to</w:t>
      </w:r>
      <w:proofErr w:type="spellEnd"/>
      <w:r w:rsidRPr="00EA033A">
        <w:rPr>
          <w:rFonts w:ascii="Arial" w:hAnsi="Arial" w:cs="Arial"/>
          <w:lang w:val="mk-MK"/>
        </w:rPr>
        <w:t xml:space="preserve"> </w:t>
      </w:r>
      <w:proofErr w:type="spellStart"/>
      <w:r w:rsidRPr="00EA033A">
        <w:rPr>
          <w:rFonts w:ascii="Arial" w:hAnsi="Arial" w:cs="Arial"/>
          <w:lang w:val="mk-MK"/>
        </w:rPr>
        <w:t>maturity</w:t>
      </w:r>
      <w:proofErr w:type="spellEnd"/>
      <w:r w:rsidRPr="00EA033A">
        <w:rPr>
          <w:rFonts w:ascii="Arial" w:hAnsi="Arial" w:cs="Arial"/>
          <w:lang w:val="mk-MK"/>
        </w:rPr>
        <w:t xml:space="preserve"> </w:t>
      </w:r>
      <w:proofErr w:type="spellStart"/>
      <w:r w:rsidRPr="00EA033A">
        <w:rPr>
          <w:rFonts w:ascii="Arial" w:hAnsi="Arial" w:cs="Arial"/>
          <w:lang w:val="mk-MK"/>
        </w:rPr>
        <w:t>investments</w:t>
      </w:r>
      <w:proofErr w:type="spellEnd"/>
      <w:r w:rsidRPr="00EA033A">
        <w:rPr>
          <w:rFonts w:ascii="Arial" w:hAnsi="Arial" w:cs="Arial"/>
          <w:lang w:val="mk-MK"/>
        </w:rPr>
        <w:t xml:space="preserve"> </w:t>
      </w:r>
      <w:proofErr w:type="spellStart"/>
      <w:r w:rsidRPr="00EA033A">
        <w:rPr>
          <w:rFonts w:ascii="Arial" w:hAnsi="Arial" w:cs="Arial"/>
          <w:lang w:val="mk-MK"/>
        </w:rPr>
        <w:t>are</w:t>
      </w:r>
      <w:proofErr w:type="spellEnd"/>
      <w:r w:rsidRPr="00EA033A">
        <w:rPr>
          <w:rFonts w:ascii="Arial" w:hAnsi="Arial" w:cs="Arial"/>
          <w:lang w:val="mk-MK"/>
        </w:rPr>
        <w:t xml:space="preserve"> </w:t>
      </w:r>
      <w:proofErr w:type="spellStart"/>
      <w:r w:rsidRPr="00EA033A">
        <w:rPr>
          <w:rFonts w:ascii="Arial" w:hAnsi="Arial" w:cs="Arial"/>
          <w:lang w:val="mk-MK"/>
        </w:rPr>
        <w:t>recognized</w:t>
      </w:r>
      <w:proofErr w:type="spellEnd"/>
      <w:r w:rsidRPr="00EA033A">
        <w:rPr>
          <w:rFonts w:ascii="Arial" w:hAnsi="Arial" w:cs="Arial"/>
          <w:lang w:val="mk-MK"/>
        </w:rPr>
        <w:t xml:space="preserve"> </w:t>
      </w:r>
      <w:proofErr w:type="spellStart"/>
      <w:r w:rsidRPr="00EA033A">
        <w:rPr>
          <w:rFonts w:ascii="Arial" w:hAnsi="Arial" w:cs="Arial"/>
          <w:lang w:val="mk-MK"/>
        </w:rPr>
        <w:t>as</w:t>
      </w:r>
      <w:proofErr w:type="spellEnd"/>
      <w:r w:rsidRPr="00EA033A">
        <w:rPr>
          <w:rFonts w:ascii="Arial" w:hAnsi="Arial" w:cs="Arial"/>
          <w:lang w:val="mk-MK"/>
        </w:rPr>
        <w:t xml:space="preserve"> </w:t>
      </w:r>
      <w:proofErr w:type="spellStart"/>
      <w:r w:rsidRPr="00EA033A">
        <w:rPr>
          <w:rFonts w:ascii="Arial" w:hAnsi="Arial" w:cs="Arial"/>
          <w:lang w:val="mk-MK"/>
        </w:rPr>
        <w:t>interest</w:t>
      </w:r>
      <w:proofErr w:type="spellEnd"/>
      <w:r w:rsidRPr="00EA033A">
        <w:rPr>
          <w:rFonts w:ascii="Arial" w:hAnsi="Arial" w:cs="Arial"/>
          <w:lang w:val="mk-MK"/>
        </w:rPr>
        <w:t xml:space="preserve"> </w:t>
      </w:r>
      <w:proofErr w:type="spellStart"/>
      <w:r w:rsidRPr="00EA033A">
        <w:rPr>
          <w:rFonts w:ascii="Arial" w:hAnsi="Arial" w:cs="Arial"/>
          <w:lang w:val="mk-MK"/>
        </w:rPr>
        <w:t>income</w:t>
      </w:r>
      <w:proofErr w:type="spellEnd"/>
      <w:r w:rsidRPr="00EA033A">
        <w:rPr>
          <w:rFonts w:ascii="Arial" w:hAnsi="Arial" w:cs="Arial"/>
          <w:lang w:val="mk-MK"/>
        </w:rPr>
        <w:t>.</w:t>
      </w:r>
      <w:r w:rsidR="00471347">
        <w:rPr>
          <w:rFonts w:ascii="Arial" w:hAnsi="Arial" w:cs="Arial"/>
          <w:lang w:val="en-US"/>
        </w:rPr>
        <w:t xml:space="preserve"> </w:t>
      </w:r>
      <w:proofErr w:type="spellStart"/>
      <w:r w:rsidRPr="00EA033A">
        <w:rPr>
          <w:rFonts w:ascii="Arial" w:hAnsi="Arial" w:cs="Arial"/>
          <w:lang w:val="mk-MK"/>
        </w:rPr>
        <w:t>During</w:t>
      </w:r>
      <w:proofErr w:type="spellEnd"/>
      <w:r w:rsidRPr="00EA033A">
        <w:rPr>
          <w:rFonts w:ascii="Arial" w:hAnsi="Arial" w:cs="Arial"/>
          <w:lang w:val="mk-MK"/>
        </w:rPr>
        <w:t xml:space="preserve"> 202</w:t>
      </w:r>
      <w:r>
        <w:rPr>
          <w:rFonts w:ascii="Arial" w:hAnsi="Arial" w:cs="Arial"/>
          <w:lang w:val="en-US"/>
        </w:rPr>
        <w:t>1</w:t>
      </w:r>
      <w:r w:rsidRPr="00EA033A">
        <w:rPr>
          <w:rFonts w:ascii="Arial" w:hAnsi="Arial" w:cs="Arial"/>
          <w:lang w:val="mk-MK"/>
        </w:rPr>
        <w:t xml:space="preserve"> </w:t>
      </w:r>
      <w:proofErr w:type="spellStart"/>
      <w:r w:rsidRPr="00EA033A">
        <w:rPr>
          <w:rFonts w:ascii="Arial" w:hAnsi="Arial" w:cs="Arial"/>
          <w:lang w:val="mk-MK"/>
        </w:rPr>
        <w:t>the</w:t>
      </w:r>
      <w:proofErr w:type="spellEnd"/>
      <w:r w:rsidRPr="00EA033A">
        <w:rPr>
          <w:rFonts w:ascii="Arial" w:hAnsi="Arial" w:cs="Arial"/>
          <w:lang w:val="mk-MK"/>
        </w:rPr>
        <w:t xml:space="preserve"> </w:t>
      </w:r>
      <w:proofErr w:type="spellStart"/>
      <w:r w:rsidRPr="00EA033A">
        <w:rPr>
          <w:rFonts w:ascii="Arial" w:hAnsi="Arial" w:cs="Arial"/>
          <w:lang w:val="mk-MK"/>
        </w:rPr>
        <w:t>Fund</w:t>
      </w:r>
      <w:proofErr w:type="spellEnd"/>
      <w:r w:rsidRPr="00EA033A">
        <w:rPr>
          <w:rFonts w:ascii="Arial" w:hAnsi="Arial" w:cs="Arial"/>
          <w:lang w:val="mk-MK"/>
        </w:rPr>
        <w:t xml:space="preserve"> </w:t>
      </w:r>
      <w:proofErr w:type="spellStart"/>
      <w:r w:rsidRPr="00EA033A">
        <w:rPr>
          <w:rFonts w:ascii="Arial" w:hAnsi="Arial" w:cs="Arial"/>
          <w:lang w:val="mk-MK"/>
        </w:rPr>
        <w:t>has</w:t>
      </w:r>
      <w:proofErr w:type="spellEnd"/>
      <w:r w:rsidRPr="00EA033A">
        <w:rPr>
          <w:rFonts w:ascii="Arial" w:hAnsi="Arial" w:cs="Arial"/>
          <w:lang w:val="mk-MK"/>
        </w:rPr>
        <w:t xml:space="preserve"> </w:t>
      </w:r>
      <w:proofErr w:type="spellStart"/>
      <w:r w:rsidRPr="00EA033A">
        <w:rPr>
          <w:rFonts w:ascii="Arial" w:hAnsi="Arial" w:cs="Arial"/>
          <w:lang w:val="mk-MK"/>
        </w:rPr>
        <w:t>realized</w:t>
      </w:r>
      <w:proofErr w:type="spellEnd"/>
      <w:r w:rsidRPr="00EA033A">
        <w:rPr>
          <w:rFonts w:ascii="Arial" w:hAnsi="Arial" w:cs="Arial"/>
          <w:lang w:val="mk-MK"/>
        </w:rPr>
        <w:t xml:space="preserve"> </w:t>
      </w:r>
      <w:proofErr w:type="spellStart"/>
      <w:r w:rsidRPr="00EA033A">
        <w:rPr>
          <w:rFonts w:ascii="Arial" w:hAnsi="Arial" w:cs="Arial"/>
          <w:lang w:val="mk-MK"/>
        </w:rPr>
        <w:t>interest</w:t>
      </w:r>
      <w:proofErr w:type="spellEnd"/>
      <w:r w:rsidRPr="00EA033A">
        <w:rPr>
          <w:rFonts w:ascii="Arial" w:hAnsi="Arial" w:cs="Arial"/>
          <w:lang w:val="mk-MK"/>
        </w:rPr>
        <w:t xml:space="preserve"> </w:t>
      </w:r>
      <w:proofErr w:type="spellStart"/>
      <w:r w:rsidRPr="00EA033A">
        <w:rPr>
          <w:rFonts w:ascii="Arial" w:hAnsi="Arial" w:cs="Arial"/>
          <w:lang w:val="mk-MK"/>
        </w:rPr>
        <w:t>income</w:t>
      </w:r>
      <w:proofErr w:type="spellEnd"/>
      <w:r w:rsidRPr="00EA033A">
        <w:rPr>
          <w:rFonts w:ascii="Arial" w:hAnsi="Arial" w:cs="Arial"/>
          <w:lang w:val="mk-MK"/>
        </w:rPr>
        <w:t xml:space="preserve"> </w:t>
      </w:r>
      <w:proofErr w:type="spellStart"/>
      <w:r w:rsidRPr="00EA033A">
        <w:rPr>
          <w:rFonts w:ascii="Arial" w:hAnsi="Arial" w:cs="Arial"/>
          <w:lang w:val="mk-MK"/>
        </w:rPr>
        <w:t>from</w:t>
      </w:r>
      <w:proofErr w:type="spellEnd"/>
      <w:r w:rsidRPr="00EA033A">
        <w:rPr>
          <w:rFonts w:ascii="Arial" w:hAnsi="Arial" w:cs="Arial"/>
          <w:lang w:val="mk-MK"/>
        </w:rPr>
        <w:t xml:space="preserve"> </w:t>
      </w:r>
      <w:proofErr w:type="spellStart"/>
      <w:r w:rsidRPr="00EA033A">
        <w:rPr>
          <w:rFonts w:ascii="Arial" w:hAnsi="Arial" w:cs="Arial"/>
          <w:lang w:val="mk-MK"/>
        </w:rPr>
        <w:t>held</w:t>
      </w:r>
      <w:proofErr w:type="spellEnd"/>
      <w:r w:rsidRPr="00EA033A">
        <w:rPr>
          <w:rFonts w:ascii="Arial" w:hAnsi="Arial" w:cs="Arial"/>
          <w:lang w:val="mk-MK"/>
        </w:rPr>
        <w:t xml:space="preserve"> </w:t>
      </w:r>
      <w:proofErr w:type="spellStart"/>
      <w:r w:rsidRPr="00EA033A">
        <w:rPr>
          <w:rFonts w:ascii="Arial" w:hAnsi="Arial" w:cs="Arial"/>
          <w:lang w:val="mk-MK"/>
        </w:rPr>
        <w:t>to</w:t>
      </w:r>
      <w:proofErr w:type="spellEnd"/>
      <w:r w:rsidRPr="00EA033A">
        <w:rPr>
          <w:rFonts w:ascii="Arial" w:hAnsi="Arial" w:cs="Arial"/>
          <w:lang w:val="mk-MK"/>
        </w:rPr>
        <w:t xml:space="preserve"> </w:t>
      </w:r>
      <w:proofErr w:type="spellStart"/>
      <w:r w:rsidRPr="00EA033A">
        <w:rPr>
          <w:rFonts w:ascii="Arial" w:hAnsi="Arial" w:cs="Arial"/>
          <w:lang w:val="mk-MK"/>
        </w:rPr>
        <w:t>maturity</w:t>
      </w:r>
      <w:proofErr w:type="spellEnd"/>
      <w:r w:rsidRPr="00EA033A">
        <w:rPr>
          <w:rFonts w:ascii="Arial" w:hAnsi="Arial" w:cs="Arial"/>
          <w:lang w:val="mk-MK"/>
        </w:rPr>
        <w:t xml:space="preserve"> </w:t>
      </w:r>
      <w:proofErr w:type="spellStart"/>
      <w:r w:rsidRPr="00EA033A">
        <w:rPr>
          <w:rFonts w:ascii="Arial" w:hAnsi="Arial" w:cs="Arial"/>
          <w:lang w:val="mk-MK"/>
        </w:rPr>
        <w:t>investments</w:t>
      </w:r>
      <w:proofErr w:type="spellEnd"/>
      <w:r w:rsidRPr="00EA033A">
        <w:rPr>
          <w:rFonts w:ascii="Arial" w:hAnsi="Arial" w:cs="Arial"/>
          <w:lang w:val="mk-MK"/>
        </w:rPr>
        <w:t xml:space="preserve"> </w:t>
      </w:r>
      <w:proofErr w:type="spellStart"/>
      <w:r w:rsidRPr="00EA033A">
        <w:rPr>
          <w:rFonts w:ascii="Arial" w:hAnsi="Arial" w:cs="Arial"/>
          <w:lang w:val="mk-MK"/>
        </w:rPr>
        <w:t>in</w:t>
      </w:r>
      <w:proofErr w:type="spellEnd"/>
      <w:r w:rsidRPr="00EA033A">
        <w:rPr>
          <w:rFonts w:ascii="Arial" w:hAnsi="Arial" w:cs="Arial"/>
          <w:lang w:val="mk-MK"/>
        </w:rPr>
        <w:t xml:space="preserve"> </w:t>
      </w:r>
      <w:proofErr w:type="spellStart"/>
      <w:r w:rsidRPr="00EA033A">
        <w:rPr>
          <w:rFonts w:ascii="Arial" w:hAnsi="Arial" w:cs="Arial"/>
          <w:lang w:val="mk-MK"/>
        </w:rPr>
        <w:t>amount</w:t>
      </w:r>
      <w:proofErr w:type="spellEnd"/>
      <w:r w:rsidRPr="00EA033A">
        <w:rPr>
          <w:rFonts w:ascii="Arial" w:hAnsi="Arial" w:cs="Arial"/>
          <w:lang w:val="mk-MK"/>
        </w:rPr>
        <w:t xml:space="preserve"> </w:t>
      </w:r>
      <w:proofErr w:type="spellStart"/>
      <w:r w:rsidRPr="00EA033A">
        <w:rPr>
          <w:rFonts w:ascii="Arial" w:hAnsi="Arial" w:cs="Arial"/>
          <w:lang w:val="mk-MK"/>
        </w:rPr>
        <w:t>of</w:t>
      </w:r>
      <w:proofErr w:type="spellEnd"/>
      <w:r w:rsidRPr="00EA033A">
        <w:rPr>
          <w:rFonts w:ascii="Arial" w:hAnsi="Arial" w:cs="Arial"/>
          <w:lang w:val="mk-MK"/>
        </w:rPr>
        <w:t xml:space="preserve"> </w:t>
      </w:r>
      <w:proofErr w:type="spellStart"/>
      <w:r w:rsidRPr="00EA033A">
        <w:rPr>
          <w:rFonts w:ascii="Arial" w:hAnsi="Arial" w:cs="Arial"/>
          <w:lang w:val="mk-MK"/>
        </w:rPr>
        <w:t>Denar</w:t>
      </w:r>
      <w:proofErr w:type="spellEnd"/>
      <w:r w:rsidRPr="00EA033A">
        <w:rPr>
          <w:rFonts w:ascii="Arial" w:hAnsi="Arial" w:cs="Arial"/>
          <w:lang w:val="mk-MK"/>
        </w:rPr>
        <w:t xml:space="preserve"> 62,641 </w:t>
      </w:r>
      <w:proofErr w:type="spellStart"/>
      <w:r w:rsidRPr="00EA033A">
        <w:rPr>
          <w:rFonts w:ascii="Arial" w:hAnsi="Arial" w:cs="Arial"/>
          <w:lang w:val="mk-MK"/>
        </w:rPr>
        <w:t>thousand</w:t>
      </w:r>
      <w:proofErr w:type="spellEnd"/>
      <w:r w:rsidRPr="00EA033A">
        <w:rPr>
          <w:rFonts w:ascii="Arial" w:hAnsi="Arial" w:cs="Arial"/>
          <w:lang w:val="mk-MK"/>
        </w:rPr>
        <w:t xml:space="preserve"> (20</w:t>
      </w:r>
      <w:r>
        <w:rPr>
          <w:rFonts w:ascii="Arial" w:hAnsi="Arial" w:cs="Arial"/>
          <w:lang w:val="en-US"/>
        </w:rPr>
        <w:t>20</w:t>
      </w:r>
      <w:r w:rsidRPr="00EA033A">
        <w:rPr>
          <w:rFonts w:ascii="Arial" w:hAnsi="Arial" w:cs="Arial"/>
          <w:lang w:val="mk-MK"/>
        </w:rPr>
        <w:t xml:space="preserve">: </w:t>
      </w:r>
      <w:proofErr w:type="spellStart"/>
      <w:r w:rsidRPr="00EA033A">
        <w:rPr>
          <w:rFonts w:ascii="Arial" w:hAnsi="Arial" w:cs="Arial"/>
          <w:lang w:val="mk-MK"/>
        </w:rPr>
        <w:t>Denar</w:t>
      </w:r>
      <w:proofErr w:type="spellEnd"/>
      <w:r w:rsidRPr="00EA033A">
        <w:rPr>
          <w:rFonts w:ascii="Arial" w:hAnsi="Arial" w:cs="Arial"/>
          <w:lang w:val="mk-MK"/>
        </w:rPr>
        <w:t xml:space="preserve"> </w:t>
      </w:r>
      <w:r w:rsidRPr="002A002C">
        <w:rPr>
          <w:rFonts w:ascii="Arial" w:hAnsi="Arial" w:cs="Arial"/>
          <w:lang w:val="mk-MK"/>
        </w:rPr>
        <w:t>95,485</w:t>
      </w:r>
      <w:r w:rsidR="002A002C">
        <w:rPr>
          <w:rFonts w:ascii="Arial" w:hAnsi="Arial" w:cs="Arial"/>
          <w:lang w:val="en-US"/>
        </w:rPr>
        <w:t xml:space="preserve"> </w:t>
      </w:r>
      <w:proofErr w:type="spellStart"/>
      <w:r w:rsidRPr="00EA033A">
        <w:rPr>
          <w:rFonts w:ascii="Arial" w:hAnsi="Arial" w:cs="Arial"/>
          <w:lang w:val="mk-MK"/>
        </w:rPr>
        <w:t>thousand</w:t>
      </w:r>
      <w:proofErr w:type="spellEnd"/>
      <w:r w:rsidRPr="00EA033A">
        <w:rPr>
          <w:rFonts w:ascii="Arial" w:hAnsi="Arial" w:cs="Arial"/>
          <w:lang w:val="mk-MK"/>
        </w:rPr>
        <w:t>) (</w:t>
      </w:r>
      <w:proofErr w:type="spellStart"/>
      <w:r w:rsidRPr="00EA033A">
        <w:rPr>
          <w:rFonts w:ascii="Arial" w:hAnsi="Arial" w:cs="Arial"/>
          <w:lang w:val="mk-MK"/>
        </w:rPr>
        <w:t>Note</w:t>
      </w:r>
      <w:proofErr w:type="spellEnd"/>
      <w:r w:rsidRPr="00EA033A">
        <w:rPr>
          <w:rFonts w:ascii="Arial" w:hAnsi="Arial" w:cs="Arial"/>
          <w:lang w:val="mk-MK"/>
        </w:rPr>
        <w:t xml:space="preserve"> 6).</w:t>
      </w:r>
    </w:p>
    <w:p w14:paraId="38BDD565" w14:textId="036ACB06" w:rsidR="00F93B95" w:rsidRPr="00CE3053" w:rsidRDefault="00EA033A" w:rsidP="0061511C">
      <w:pPr>
        <w:pStyle w:val="NumberedHeading1"/>
        <w:numPr>
          <w:ilvl w:val="0"/>
          <w:numId w:val="22"/>
        </w:numPr>
        <w:spacing w:before="0" w:after="0" w:line="260" w:lineRule="atLeast"/>
        <w:rPr>
          <w:rFonts w:ascii="Arial" w:hAnsi="Arial" w:cs="Arial"/>
          <w:b/>
          <w:color w:val="4F2D7F"/>
          <w:sz w:val="18"/>
          <w:lang w:val="mk-MK"/>
        </w:rPr>
      </w:pPr>
      <w:r>
        <w:rPr>
          <w:rFonts w:ascii="Arial" w:hAnsi="Arial" w:cs="Arial"/>
          <w:b/>
          <w:color w:val="4F2D7F"/>
          <w:sz w:val="18"/>
          <w:lang w:val="en-US"/>
        </w:rPr>
        <w:t>Cash and cash equivalents</w:t>
      </w:r>
    </w:p>
    <w:tbl>
      <w:tblPr>
        <w:tblW w:w="8640" w:type="dxa"/>
        <w:tblInd w:w="86" w:type="dxa"/>
        <w:tblLook w:val="01E0" w:firstRow="1" w:lastRow="1" w:firstColumn="1" w:lastColumn="1" w:noHBand="0" w:noVBand="0"/>
      </w:tblPr>
      <w:tblGrid>
        <w:gridCol w:w="5760"/>
        <w:gridCol w:w="1440"/>
        <w:gridCol w:w="1440"/>
      </w:tblGrid>
      <w:tr w:rsidR="00F30EF8" w:rsidRPr="001E6526" w14:paraId="7F7EF9AC" w14:textId="77777777" w:rsidTr="00A5304B">
        <w:trPr>
          <w:trHeight w:val="216"/>
        </w:trPr>
        <w:tc>
          <w:tcPr>
            <w:tcW w:w="5760" w:type="dxa"/>
            <w:shd w:val="clear" w:color="auto" w:fill="auto"/>
            <w:tcMar>
              <w:left w:w="58" w:type="dxa"/>
              <w:right w:w="58" w:type="dxa"/>
            </w:tcMar>
            <w:vAlign w:val="bottom"/>
          </w:tcPr>
          <w:p w14:paraId="0B59EA5E" w14:textId="77777777" w:rsidR="00F30EF8" w:rsidRPr="00CE3053" w:rsidRDefault="00F30EF8" w:rsidP="00F93B95">
            <w:pPr>
              <w:pStyle w:val="TableText"/>
              <w:spacing w:after="0"/>
              <w:rPr>
                <w:rFonts w:ascii="Arial" w:hAnsi="Arial"/>
                <w:sz w:val="18"/>
                <w:lang w:val="mk-MK"/>
              </w:rPr>
            </w:pPr>
          </w:p>
        </w:tc>
        <w:tc>
          <w:tcPr>
            <w:tcW w:w="2880" w:type="dxa"/>
            <w:gridSpan w:val="2"/>
            <w:shd w:val="clear" w:color="auto" w:fill="auto"/>
            <w:tcMar>
              <w:left w:w="58" w:type="dxa"/>
              <w:right w:w="58" w:type="dxa"/>
            </w:tcMar>
            <w:vAlign w:val="bottom"/>
          </w:tcPr>
          <w:p w14:paraId="50E515B7" w14:textId="13D0B1C2" w:rsidR="00F30EF8" w:rsidRPr="00CE3053" w:rsidRDefault="00F30EF8" w:rsidP="00F93B95">
            <w:pPr>
              <w:pStyle w:val="TableText"/>
              <w:spacing w:after="0"/>
              <w:jc w:val="right"/>
              <w:rPr>
                <w:rFonts w:ascii="Arial" w:hAnsi="Arial"/>
                <w:sz w:val="18"/>
                <w:lang w:val="mk-MK"/>
              </w:rPr>
            </w:pPr>
            <w:r w:rsidRPr="00CE3053">
              <w:rPr>
                <w:rFonts w:ascii="Arial" w:hAnsi="Arial"/>
                <w:sz w:val="18"/>
                <w:lang w:val="mk-MK"/>
              </w:rPr>
              <w:t xml:space="preserve">(000 </w:t>
            </w:r>
            <w:proofErr w:type="spellStart"/>
            <w:r w:rsidR="00EA033A">
              <w:rPr>
                <w:rFonts w:ascii="Arial" w:hAnsi="Arial"/>
                <w:sz w:val="18"/>
                <w:lang w:val="en-US"/>
              </w:rPr>
              <w:t>mkd</w:t>
            </w:r>
            <w:proofErr w:type="spellEnd"/>
            <w:r w:rsidRPr="00CE3053">
              <w:rPr>
                <w:rFonts w:ascii="Arial" w:hAnsi="Arial"/>
                <w:sz w:val="18"/>
                <w:lang w:val="mk-MK"/>
              </w:rPr>
              <w:t>)</w:t>
            </w:r>
          </w:p>
        </w:tc>
      </w:tr>
      <w:tr w:rsidR="00F93B95" w:rsidRPr="001E6526" w14:paraId="5032D34B" w14:textId="77777777" w:rsidTr="0025712C">
        <w:trPr>
          <w:trHeight w:val="216"/>
        </w:trPr>
        <w:tc>
          <w:tcPr>
            <w:tcW w:w="5760" w:type="dxa"/>
            <w:shd w:val="clear" w:color="auto" w:fill="auto"/>
            <w:tcMar>
              <w:left w:w="58" w:type="dxa"/>
              <w:right w:w="58" w:type="dxa"/>
            </w:tcMar>
            <w:vAlign w:val="bottom"/>
          </w:tcPr>
          <w:p w14:paraId="65B0591C" w14:textId="77777777" w:rsidR="00F93B95" w:rsidRPr="00CE3053" w:rsidRDefault="00F93B95" w:rsidP="00F93B95">
            <w:pPr>
              <w:pStyle w:val="TableText"/>
              <w:spacing w:after="0"/>
              <w:rPr>
                <w:rFonts w:ascii="Arial" w:hAnsi="Arial"/>
                <w:sz w:val="18"/>
                <w:lang w:val="mk-MK"/>
              </w:rPr>
            </w:pPr>
          </w:p>
        </w:tc>
        <w:tc>
          <w:tcPr>
            <w:tcW w:w="1440" w:type="dxa"/>
            <w:shd w:val="clear" w:color="auto" w:fill="auto"/>
            <w:tcMar>
              <w:left w:w="58" w:type="dxa"/>
              <w:right w:w="58" w:type="dxa"/>
            </w:tcMar>
            <w:vAlign w:val="bottom"/>
          </w:tcPr>
          <w:p w14:paraId="395763B6" w14:textId="5558BA2B" w:rsidR="00F93B95" w:rsidRPr="00CE3053" w:rsidRDefault="00F93B95" w:rsidP="00F93B95">
            <w:pPr>
              <w:pStyle w:val="TableText"/>
              <w:spacing w:after="0"/>
              <w:jc w:val="right"/>
              <w:rPr>
                <w:rFonts w:ascii="Arial" w:hAnsi="Arial"/>
                <w:sz w:val="18"/>
                <w:lang w:val="mk-MK"/>
              </w:rPr>
            </w:pPr>
            <w:r w:rsidRPr="00CE3053">
              <w:rPr>
                <w:rFonts w:ascii="Arial" w:hAnsi="Arial"/>
                <w:sz w:val="18"/>
                <w:lang w:val="mk-MK"/>
              </w:rPr>
              <w:t>202</w:t>
            </w:r>
            <w:r w:rsidR="00F378E0" w:rsidRPr="00CE3053">
              <w:rPr>
                <w:rFonts w:ascii="Arial" w:hAnsi="Arial"/>
                <w:sz w:val="18"/>
                <w:lang w:val="mk-MK"/>
              </w:rPr>
              <w:t>1</w:t>
            </w:r>
          </w:p>
        </w:tc>
        <w:tc>
          <w:tcPr>
            <w:tcW w:w="1440" w:type="dxa"/>
            <w:shd w:val="clear" w:color="auto" w:fill="auto"/>
            <w:tcMar>
              <w:left w:w="58" w:type="dxa"/>
              <w:right w:w="58" w:type="dxa"/>
            </w:tcMar>
            <w:vAlign w:val="bottom"/>
          </w:tcPr>
          <w:p w14:paraId="6898FD1B" w14:textId="4081CA24" w:rsidR="00F93B95" w:rsidRPr="00CE3053" w:rsidRDefault="00F93B95" w:rsidP="00F93B95">
            <w:pPr>
              <w:pStyle w:val="TableText"/>
              <w:spacing w:after="0"/>
              <w:jc w:val="right"/>
              <w:rPr>
                <w:rFonts w:ascii="Arial" w:hAnsi="Arial"/>
                <w:sz w:val="18"/>
                <w:lang w:val="mk-MK"/>
              </w:rPr>
            </w:pPr>
            <w:r w:rsidRPr="00CE3053">
              <w:rPr>
                <w:rFonts w:ascii="Arial" w:hAnsi="Arial"/>
                <w:sz w:val="18"/>
                <w:lang w:val="mk-MK"/>
              </w:rPr>
              <w:t>20</w:t>
            </w:r>
            <w:r w:rsidR="00F378E0" w:rsidRPr="00CE3053">
              <w:rPr>
                <w:rFonts w:ascii="Arial" w:hAnsi="Arial"/>
                <w:sz w:val="18"/>
                <w:lang w:val="mk-MK"/>
              </w:rPr>
              <w:t>20</w:t>
            </w:r>
          </w:p>
        </w:tc>
      </w:tr>
      <w:tr w:rsidR="00F93B95" w:rsidRPr="001E6526" w14:paraId="5DA7F73F" w14:textId="77777777" w:rsidTr="0025712C">
        <w:trPr>
          <w:trHeight w:val="216"/>
        </w:trPr>
        <w:tc>
          <w:tcPr>
            <w:tcW w:w="5760" w:type="dxa"/>
            <w:shd w:val="clear" w:color="auto" w:fill="auto"/>
            <w:tcMar>
              <w:left w:w="58" w:type="dxa"/>
              <w:right w:w="58" w:type="dxa"/>
            </w:tcMar>
            <w:vAlign w:val="bottom"/>
          </w:tcPr>
          <w:p w14:paraId="48E0BFF5" w14:textId="77777777" w:rsidR="00F93B95" w:rsidRPr="00CE3053" w:rsidRDefault="00F93B95" w:rsidP="00F93B95">
            <w:pPr>
              <w:pStyle w:val="TableText"/>
              <w:spacing w:after="0"/>
              <w:rPr>
                <w:rFonts w:ascii="Arial" w:hAnsi="Arial"/>
                <w:sz w:val="18"/>
                <w:lang w:val="mk-MK"/>
              </w:rPr>
            </w:pPr>
          </w:p>
        </w:tc>
        <w:tc>
          <w:tcPr>
            <w:tcW w:w="1440" w:type="dxa"/>
            <w:shd w:val="clear" w:color="auto" w:fill="auto"/>
            <w:tcMar>
              <w:left w:w="58" w:type="dxa"/>
              <w:right w:w="58" w:type="dxa"/>
            </w:tcMar>
            <w:vAlign w:val="bottom"/>
          </w:tcPr>
          <w:p w14:paraId="7131006E" w14:textId="77777777" w:rsidR="00F93B95" w:rsidRPr="00CE3053" w:rsidRDefault="00F93B95" w:rsidP="00F93B95">
            <w:pPr>
              <w:pStyle w:val="TableText"/>
              <w:spacing w:after="0"/>
              <w:jc w:val="right"/>
              <w:rPr>
                <w:rFonts w:ascii="Arial" w:hAnsi="Arial"/>
                <w:sz w:val="18"/>
                <w:lang w:val="mk-MK"/>
              </w:rPr>
            </w:pPr>
          </w:p>
        </w:tc>
        <w:tc>
          <w:tcPr>
            <w:tcW w:w="1440" w:type="dxa"/>
            <w:shd w:val="clear" w:color="auto" w:fill="auto"/>
            <w:tcMar>
              <w:left w:w="58" w:type="dxa"/>
              <w:right w:w="58" w:type="dxa"/>
            </w:tcMar>
            <w:vAlign w:val="bottom"/>
          </w:tcPr>
          <w:p w14:paraId="7FEA6169" w14:textId="77777777" w:rsidR="00F93B95" w:rsidRPr="00CE3053" w:rsidRDefault="00F93B95" w:rsidP="00F93B95">
            <w:pPr>
              <w:pStyle w:val="TableText"/>
              <w:spacing w:after="0"/>
              <w:jc w:val="right"/>
              <w:rPr>
                <w:rFonts w:ascii="Arial" w:hAnsi="Arial"/>
                <w:sz w:val="18"/>
                <w:lang w:val="mk-MK"/>
              </w:rPr>
            </w:pPr>
          </w:p>
        </w:tc>
      </w:tr>
      <w:tr w:rsidR="00F378E0" w:rsidRPr="001E6526" w14:paraId="251E713B" w14:textId="77777777" w:rsidTr="0025712C">
        <w:trPr>
          <w:trHeight w:val="216"/>
        </w:trPr>
        <w:tc>
          <w:tcPr>
            <w:tcW w:w="5760" w:type="dxa"/>
            <w:shd w:val="clear" w:color="auto" w:fill="auto"/>
            <w:tcMar>
              <w:left w:w="58" w:type="dxa"/>
              <w:right w:w="58" w:type="dxa"/>
            </w:tcMar>
            <w:vAlign w:val="bottom"/>
          </w:tcPr>
          <w:p w14:paraId="0FC520B4" w14:textId="7151C601" w:rsidR="00F378E0" w:rsidRPr="00CE3053" w:rsidRDefault="00FC40A3" w:rsidP="00F378E0">
            <w:pPr>
              <w:pStyle w:val="TableText"/>
              <w:spacing w:after="0"/>
              <w:rPr>
                <w:rFonts w:ascii="Arial" w:hAnsi="Arial"/>
                <w:bCs/>
                <w:sz w:val="18"/>
                <w:lang w:val="mk-MK"/>
              </w:rPr>
            </w:pPr>
            <w:proofErr w:type="spellStart"/>
            <w:r w:rsidRPr="00FC40A3">
              <w:rPr>
                <w:rFonts w:ascii="Arial" w:hAnsi="Arial"/>
                <w:bCs/>
                <w:sz w:val="18"/>
                <w:lang w:val="mk-MK"/>
              </w:rPr>
              <w:t>Current</w:t>
            </w:r>
            <w:proofErr w:type="spellEnd"/>
            <w:r w:rsidRPr="00FC40A3">
              <w:rPr>
                <w:rFonts w:ascii="Arial" w:hAnsi="Arial"/>
                <w:bCs/>
                <w:sz w:val="18"/>
                <w:lang w:val="mk-MK"/>
              </w:rPr>
              <w:t xml:space="preserve"> </w:t>
            </w:r>
            <w:proofErr w:type="spellStart"/>
            <w:r w:rsidRPr="00FC40A3">
              <w:rPr>
                <w:rFonts w:ascii="Arial" w:hAnsi="Arial"/>
                <w:bCs/>
                <w:sz w:val="18"/>
                <w:lang w:val="mk-MK"/>
              </w:rPr>
              <w:t>account</w:t>
            </w:r>
            <w:proofErr w:type="spellEnd"/>
            <w:r w:rsidRPr="00FC40A3">
              <w:rPr>
                <w:rFonts w:ascii="Arial" w:hAnsi="Arial"/>
                <w:bCs/>
                <w:sz w:val="18"/>
                <w:lang w:val="mk-MK"/>
              </w:rPr>
              <w:t xml:space="preserve"> </w:t>
            </w:r>
            <w:proofErr w:type="spellStart"/>
            <w:r w:rsidRPr="00FC40A3">
              <w:rPr>
                <w:rFonts w:ascii="Arial" w:hAnsi="Arial"/>
                <w:bCs/>
                <w:sz w:val="18"/>
                <w:lang w:val="mk-MK"/>
              </w:rPr>
              <w:t>with</w:t>
            </w:r>
            <w:proofErr w:type="spellEnd"/>
            <w:r w:rsidRPr="00FC40A3">
              <w:rPr>
                <w:rFonts w:ascii="Arial" w:hAnsi="Arial"/>
                <w:bCs/>
                <w:sz w:val="18"/>
                <w:lang w:val="mk-MK"/>
              </w:rPr>
              <w:t xml:space="preserve"> NBRNM</w:t>
            </w:r>
          </w:p>
        </w:tc>
        <w:tc>
          <w:tcPr>
            <w:tcW w:w="1440" w:type="dxa"/>
            <w:shd w:val="clear" w:color="auto" w:fill="auto"/>
            <w:tcMar>
              <w:left w:w="58" w:type="dxa"/>
              <w:right w:w="58" w:type="dxa"/>
            </w:tcMar>
            <w:vAlign w:val="bottom"/>
          </w:tcPr>
          <w:p w14:paraId="188453B0" w14:textId="27E71DCE" w:rsidR="00F378E0" w:rsidRPr="001E6526" w:rsidRDefault="00F378E0" w:rsidP="00F378E0">
            <w:pPr>
              <w:spacing w:after="0"/>
              <w:jc w:val="right"/>
              <w:rPr>
                <w:rFonts w:ascii="Arial" w:hAnsi="Arial" w:cs="Arial"/>
                <w:color w:val="000000"/>
                <w:lang w:val="mk-MK"/>
              </w:rPr>
            </w:pPr>
            <w:r w:rsidRPr="00CE3053">
              <w:rPr>
                <w:rFonts w:ascii="Arial" w:hAnsi="Arial" w:cs="Arial"/>
                <w:color w:val="000000"/>
                <w:lang w:val="mk-MK"/>
              </w:rPr>
              <w:t>68</w:t>
            </w:r>
            <w:r w:rsidRPr="001E6526">
              <w:rPr>
                <w:rFonts w:ascii="Arial" w:hAnsi="Arial" w:cs="Arial"/>
                <w:color w:val="000000"/>
                <w:lang w:val="mk-MK"/>
              </w:rPr>
              <w:t>,</w:t>
            </w:r>
            <w:r w:rsidRPr="00CE3053">
              <w:rPr>
                <w:rFonts w:ascii="Arial" w:hAnsi="Arial" w:cs="Arial"/>
                <w:color w:val="000000"/>
                <w:lang w:val="mk-MK"/>
              </w:rPr>
              <w:t>572</w:t>
            </w:r>
          </w:p>
        </w:tc>
        <w:tc>
          <w:tcPr>
            <w:tcW w:w="1440" w:type="dxa"/>
            <w:shd w:val="clear" w:color="auto" w:fill="auto"/>
            <w:tcMar>
              <w:left w:w="58" w:type="dxa"/>
              <w:right w:w="58" w:type="dxa"/>
            </w:tcMar>
            <w:vAlign w:val="bottom"/>
          </w:tcPr>
          <w:p w14:paraId="278B468E" w14:textId="229FD153" w:rsidR="00F378E0" w:rsidRPr="00CE3053" w:rsidRDefault="00F378E0" w:rsidP="00F378E0">
            <w:pPr>
              <w:spacing w:after="0"/>
              <w:jc w:val="right"/>
              <w:rPr>
                <w:rFonts w:ascii="Arial" w:hAnsi="Arial" w:cs="Arial"/>
                <w:color w:val="000000"/>
                <w:lang w:val="mk-MK"/>
              </w:rPr>
            </w:pPr>
            <w:r w:rsidRPr="001E6526">
              <w:rPr>
                <w:rFonts w:ascii="Arial" w:hAnsi="Arial" w:cs="Arial"/>
                <w:color w:val="000000"/>
                <w:lang w:val="mk-MK"/>
              </w:rPr>
              <w:t>54,848</w:t>
            </w:r>
          </w:p>
        </w:tc>
      </w:tr>
      <w:tr w:rsidR="00F378E0" w:rsidRPr="001E6526" w14:paraId="26E937FC" w14:textId="77777777" w:rsidTr="0025712C">
        <w:trPr>
          <w:trHeight w:val="216"/>
        </w:trPr>
        <w:tc>
          <w:tcPr>
            <w:tcW w:w="5760" w:type="dxa"/>
            <w:shd w:val="clear" w:color="auto" w:fill="auto"/>
            <w:tcMar>
              <w:left w:w="58" w:type="dxa"/>
              <w:right w:w="58" w:type="dxa"/>
            </w:tcMar>
            <w:vAlign w:val="bottom"/>
          </w:tcPr>
          <w:p w14:paraId="1BEAAE64" w14:textId="70252679" w:rsidR="00F378E0" w:rsidRPr="00CE3053" w:rsidRDefault="00FC40A3" w:rsidP="00F378E0">
            <w:pPr>
              <w:pStyle w:val="TableText"/>
              <w:spacing w:after="0"/>
              <w:rPr>
                <w:rFonts w:ascii="Arial" w:hAnsi="Arial"/>
                <w:bCs/>
                <w:sz w:val="18"/>
                <w:lang w:val="mk-MK"/>
              </w:rPr>
            </w:pPr>
            <w:proofErr w:type="spellStart"/>
            <w:r w:rsidRPr="00FC40A3">
              <w:rPr>
                <w:rFonts w:ascii="Arial" w:hAnsi="Arial"/>
                <w:bCs/>
                <w:sz w:val="18"/>
                <w:lang w:val="mk-MK"/>
              </w:rPr>
              <w:t>Current</w:t>
            </w:r>
            <w:proofErr w:type="spellEnd"/>
            <w:r w:rsidRPr="00FC40A3">
              <w:rPr>
                <w:rFonts w:ascii="Arial" w:hAnsi="Arial"/>
                <w:bCs/>
                <w:sz w:val="18"/>
                <w:lang w:val="mk-MK"/>
              </w:rPr>
              <w:t xml:space="preserve"> </w:t>
            </w:r>
            <w:proofErr w:type="spellStart"/>
            <w:r w:rsidRPr="00FC40A3">
              <w:rPr>
                <w:rFonts w:ascii="Arial" w:hAnsi="Arial"/>
                <w:bCs/>
                <w:sz w:val="18"/>
                <w:lang w:val="mk-MK"/>
              </w:rPr>
              <w:t>accounts</w:t>
            </w:r>
            <w:proofErr w:type="spellEnd"/>
            <w:r w:rsidRPr="00FC40A3">
              <w:rPr>
                <w:rFonts w:ascii="Arial" w:hAnsi="Arial"/>
                <w:bCs/>
                <w:sz w:val="18"/>
                <w:lang w:val="mk-MK"/>
              </w:rPr>
              <w:t xml:space="preserve"> </w:t>
            </w:r>
            <w:proofErr w:type="spellStart"/>
            <w:r w:rsidRPr="00FC40A3">
              <w:rPr>
                <w:rFonts w:ascii="Arial" w:hAnsi="Arial"/>
                <w:bCs/>
                <w:sz w:val="18"/>
                <w:lang w:val="mk-MK"/>
              </w:rPr>
              <w:t>with</w:t>
            </w:r>
            <w:proofErr w:type="spellEnd"/>
            <w:r w:rsidRPr="00FC40A3">
              <w:rPr>
                <w:rFonts w:ascii="Arial" w:hAnsi="Arial"/>
                <w:bCs/>
                <w:sz w:val="18"/>
                <w:lang w:val="mk-MK"/>
              </w:rPr>
              <w:t xml:space="preserve"> </w:t>
            </w:r>
            <w:proofErr w:type="spellStart"/>
            <w:r w:rsidRPr="00FC40A3">
              <w:rPr>
                <w:rFonts w:ascii="Arial" w:hAnsi="Arial"/>
                <w:bCs/>
                <w:sz w:val="18"/>
                <w:lang w:val="mk-MK"/>
              </w:rPr>
              <w:t>local</w:t>
            </w:r>
            <w:proofErr w:type="spellEnd"/>
            <w:r w:rsidRPr="00FC40A3">
              <w:rPr>
                <w:rFonts w:ascii="Arial" w:hAnsi="Arial"/>
                <w:bCs/>
                <w:sz w:val="18"/>
                <w:lang w:val="mk-MK"/>
              </w:rPr>
              <w:t xml:space="preserve"> </w:t>
            </w:r>
            <w:proofErr w:type="spellStart"/>
            <w:r w:rsidRPr="00FC40A3">
              <w:rPr>
                <w:rFonts w:ascii="Arial" w:hAnsi="Arial"/>
                <w:bCs/>
                <w:sz w:val="18"/>
                <w:lang w:val="mk-MK"/>
              </w:rPr>
              <w:t>banks</w:t>
            </w:r>
            <w:proofErr w:type="spellEnd"/>
          </w:p>
        </w:tc>
        <w:tc>
          <w:tcPr>
            <w:tcW w:w="1440" w:type="dxa"/>
            <w:shd w:val="clear" w:color="auto" w:fill="auto"/>
            <w:tcMar>
              <w:left w:w="58" w:type="dxa"/>
              <w:right w:w="58" w:type="dxa"/>
            </w:tcMar>
            <w:vAlign w:val="bottom"/>
          </w:tcPr>
          <w:p w14:paraId="1530F086" w14:textId="13A4F75C" w:rsidR="00F378E0" w:rsidRPr="001E6526" w:rsidRDefault="00093B1B" w:rsidP="00F378E0">
            <w:pPr>
              <w:spacing w:after="0"/>
              <w:jc w:val="right"/>
              <w:rPr>
                <w:rFonts w:ascii="Arial" w:hAnsi="Arial" w:cs="Arial"/>
                <w:color w:val="000000"/>
                <w:lang w:val="mk-MK"/>
              </w:rPr>
            </w:pPr>
            <w:r w:rsidRPr="00CE3053">
              <w:rPr>
                <w:rFonts w:ascii="Arial" w:hAnsi="Arial" w:cs="Arial"/>
                <w:color w:val="000000"/>
                <w:lang w:val="mk-MK"/>
              </w:rPr>
              <w:t>416</w:t>
            </w:r>
            <w:r w:rsidR="00F378E0" w:rsidRPr="001E6526">
              <w:rPr>
                <w:rFonts w:ascii="Arial" w:hAnsi="Arial" w:cs="Arial"/>
                <w:color w:val="000000"/>
                <w:lang w:val="mk-MK"/>
              </w:rPr>
              <w:t>,</w:t>
            </w:r>
            <w:r w:rsidRPr="00CE3053">
              <w:rPr>
                <w:rFonts w:ascii="Arial" w:hAnsi="Arial" w:cs="Arial"/>
                <w:color w:val="000000"/>
                <w:lang w:val="mk-MK"/>
              </w:rPr>
              <w:t>46</w:t>
            </w:r>
            <w:r w:rsidR="0099487D" w:rsidRPr="00CE3053">
              <w:rPr>
                <w:rFonts w:ascii="Arial" w:hAnsi="Arial" w:cs="Arial"/>
                <w:color w:val="000000"/>
                <w:lang w:val="mk-MK"/>
              </w:rPr>
              <w:t>3</w:t>
            </w:r>
          </w:p>
        </w:tc>
        <w:tc>
          <w:tcPr>
            <w:tcW w:w="1440" w:type="dxa"/>
            <w:shd w:val="clear" w:color="auto" w:fill="auto"/>
            <w:tcMar>
              <w:left w:w="58" w:type="dxa"/>
              <w:right w:w="58" w:type="dxa"/>
            </w:tcMar>
            <w:vAlign w:val="bottom"/>
          </w:tcPr>
          <w:p w14:paraId="1187EF04" w14:textId="4D01027A" w:rsidR="00F378E0" w:rsidRPr="00CE3053" w:rsidRDefault="00F378E0" w:rsidP="00F378E0">
            <w:pPr>
              <w:spacing w:after="0"/>
              <w:jc w:val="right"/>
              <w:rPr>
                <w:rFonts w:ascii="Arial" w:hAnsi="Arial" w:cs="Arial"/>
                <w:color w:val="000000"/>
                <w:lang w:val="mk-MK"/>
              </w:rPr>
            </w:pPr>
            <w:r w:rsidRPr="001E6526">
              <w:rPr>
                <w:rFonts w:ascii="Arial" w:hAnsi="Arial" w:cs="Arial"/>
                <w:color w:val="000000"/>
                <w:lang w:val="mk-MK"/>
              </w:rPr>
              <w:t>623,514</w:t>
            </w:r>
          </w:p>
        </w:tc>
      </w:tr>
      <w:tr w:rsidR="00F378E0" w:rsidRPr="001E6526" w14:paraId="44EE2F73" w14:textId="77777777" w:rsidTr="0025712C">
        <w:trPr>
          <w:trHeight w:val="216"/>
        </w:trPr>
        <w:tc>
          <w:tcPr>
            <w:tcW w:w="5760" w:type="dxa"/>
            <w:shd w:val="clear" w:color="auto" w:fill="auto"/>
            <w:tcMar>
              <w:left w:w="58" w:type="dxa"/>
              <w:right w:w="58" w:type="dxa"/>
            </w:tcMar>
            <w:vAlign w:val="bottom"/>
          </w:tcPr>
          <w:p w14:paraId="5C15759E" w14:textId="4DB1D8B3" w:rsidR="00F378E0" w:rsidRPr="00CE3053" w:rsidRDefault="00FC40A3" w:rsidP="00F378E0">
            <w:pPr>
              <w:pStyle w:val="TableText"/>
              <w:spacing w:after="0"/>
              <w:rPr>
                <w:rFonts w:ascii="Arial" w:hAnsi="Arial"/>
                <w:bCs/>
                <w:sz w:val="18"/>
                <w:lang w:val="mk-MK"/>
              </w:rPr>
            </w:pPr>
            <w:proofErr w:type="spellStart"/>
            <w:r w:rsidRPr="00FC40A3">
              <w:rPr>
                <w:rFonts w:ascii="Arial" w:hAnsi="Arial"/>
                <w:bCs/>
                <w:sz w:val="18"/>
                <w:lang w:val="mk-MK"/>
              </w:rPr>
              <w:t>Cash</w:t>
            </w:r>
            <w:proofErr w:type="spellEnd"/>
            <w:r w:rsidRPr="00FC40A3">
              <w:rPr>
                <w:rFonts w:ascii="Arial" w:hAnsi="Arial"/>
                <w:bCs/>
                <w:sz w:val="18"/>
                <w:lang w:val="mk-MK"/>
              </w:rPr>
              <w:t xml:space="preserve"> </w:t>
            </w:r>
            <w:proofErr w:type="spellStart"/>
            <w:r w:rsidRPr="00FC40A3">
              <w:rPr>
                <w:rFonts w:ascii="Arial" w:hAnsi="Arial"/>
                <w:bCs/>
                <w:sz w:val="18"/>
                <w:lang w:val="mk-MK"/>
              </w:rPr>
              <w:t>in</w:t>
            </w:r>
            <w:proofErr w:type="spellEnd"/>
            <w:r w:rsidRPr="00FC40A3">
              <w:rPr>
                <w:rFonts w:ascii="Arial" w:hAnsi="Arial"/>
                <w:bCs/>
                <w:sz w:val="18"/>
                <w:lang w:val="mk-MK"/>
              </w:rPr>
              <w:t xml:space="preserve"> </w:t>
            </w:r>
            <w:proofErr w:type="spellStart"/>
            <w:r w:rsidRPr="00FC40A3">
              <w:rPr>
                <w:rFonts w:ascii="Arial" w:hAnsi="Arial"/>
                <w:bCs/>
                <w:sz w:val="18"/>
                <w:lang w:val="mk-MK"/>
              </w:rPr>
              <w:t>hand</w:t>
            </w:r>
            <w:proofErr w:type="spellEnd"/>
          </w:p>
        </w:tc>
        <w:tc>
          <w:tcPr>
            <w:tcW w:w="1440" w:type="dxa"/>
            <w:shd w:val="clear" w:color="auto" w:fill="auto"/>
            <w:tcMar>
              <w:left w:w="58" w:type="dxa"/>
              <w:right w:w="58" w:type="dxa"/>
            </w:tcMar>
            <w:vAlign w:val="bottom"/>
          </w:tcPr>
          <w:p w14:paraId="3E4E1BA5" w14:textId="585297AB" w:rsidR="00F378E0" w:rsidRPr="001E6526" w:rsidRDefault="00093B1B" w:rsidP="00F378E0">
            <w:pPr>
              <w:spacing w:after="0"/>
              <w:jc w:val="right"/>
              <w:rPr>
                <w:rFonts w:ascii="Arial" w:hAnsi="Arial" w:cs="Arial"/>
                <w:color w:val="000000"/>
                <w:lang w:val="mk-MK"/>
              </w:rPr>
            </w:pPr>
            <w:r w:rsidRPr="00CE3053">
              <w:rPr>
                <w:rFonts w:ascii="Arial" w:hAnsi="Arial" w:cs="Arial"/>
                <w:color w:val="000000"/>
                <w:lang w:val="mk-MK"/>
              </w:rPr>
              <w:t>21</w:t>
            </w:r>
          </w:p>
        </w:tc>
        <w:tc>
          <w:tcPr>
            <w:tcW w:w="1440" w:type="dxa"/>
            <w:shd w:val="clear" w:color="auto" w:fill="auto"/>
            <w:tcMar>
              <w:left w:w="58" w:type="dxa"/>
              <w:right w:w="58" w:type="dxa"/>
            </w:tcMar>
            <w:vAlign w:val="bottom"/>
          </w:tcPr>
          <w:p w14:paraId="55875C56" w14:textId="44CD186C" w:rsidR="00F378E0" w:rsidRPr="00CE3053" w:rsidRDefault="00F378E0" w:rsidP="00F378E0">
            <w:pPr>
              <w:spacing w:after="0"/>
              <w:jc w:val="right"/>
              <w:rPr>
                <w:rFonts w:ascii="Arial" w:hAnsi="Arial" w:cs="Arial"/>
                <w:color w:val="000000"/>
                <w:lang w:val="mk-MK"/>
              </w:rPr>
            </w:pPr>
            <w:r w:rsidRPr="001E6526">
              <w:rPr>
                <w:rFonts w:ascii="Arial" w:hAnsi="Arial" w:cs="Arial"/>
                <w:color w:val="000000"/>
                <w:lang w:val="mk-MK"/>
              </w:rPr>
              <w:t>15</w:t>
            </w:r>
          </w:p>
        </w:tc>
      </w:tr>
      <w:tr w:rsidR="00F378E0" w:rsidRPr="001E6526" w14:paraId="11D2D9D3" w14:textId="77777777" w:rsidTr="0025712C">
        <w:trPr>
          <w:trHeight w:val="216"/>
        </w:trPr>
        <w:tc>
          <w:tcPr>
            <w:tcW w:w="5760" w:type="dxa"/>
            <w:tcBorders>
              <w:top w:val="single" w:sz="4" w:space="0" w:color="auto"/>
              <w:bottom w:val="double" w:sz="4" w:space="0" w:color="auto"/>
            </w:tcBorders>
            <w:shd w:val="clear" w:color="auto" w:fill="auto"/>
            <w:tcMar>
              <w:left w:w="58" w:type="dxa"/>
              <w:right w:w="58" w:type="dxa"/>
            </w:tcMar>
            <w:vAlign w:val="bottom"/>
          </w:tcPr>
          <w:p w14:paraId="009F3150" w14:textId="77777777" w:rsidR="00F378E0" w:rsidRPr="00CE3053" w:rsidRDefault="00F378E0" w:rsidP="00F378E0">
            <w:pPr>
              <w:pStyle w:val="TableText"/>
              <w:spacing w:after="0"/>
              <w:rPr>
                <w:rFonts w:ascii="Arial" w:hAnsi="Arial"/>
                <w:b/>
                <w:bCs/>
                <w:sz w:val="18"/>
                <w:lang w:val="mk-MK"/>
              </w:rPr>
            </w:pPr>
          </w:p>
        </w:tc>
        <w:tc>
          <w:tcPr>
            <w:tcW w:w="1440" w:type="dxa"/>
            <w:tcBorders>
              <w:top w:val="single" w:sz="4" w:space="0" w:color="auto"/>
              <w:bottom w:val="double" w:sz="4" w:space="0" w:color="auto"/>
            </w:tcBorders>
            <w:shd w:val="clear" w:color="auto" w:fill="auto"/>
            <w:tcMar>
              <w:left w:w="58" w:type="dxa"/>
              <w:right w:w="58" w:type="dxa"/>
            </w:tcMar>
            <w:vAlign w:val="bottom"/>
          </w:tcPr>
          <w:p w14:paraId="76337811" w14:textId="623CA28B" w:rsidR="00F378E0" w:rsidRPr="001E6526" w:rsidRDefault="00093B1B" w:rsidP="00F378E0">
            <w:pPr>
              <w:spacing w:after="0"/>
              <w:jc w:val="right"/>
              <w:rPr>
                <w:rFonts w:ascii="Arial" w:hAnsi="Arial" w:cs="Arial"/>
                <w:b/>
                <w:bCs/>
                <w:color w:val="000000"/>
                <w:lang w:val="mk-MK"/>
              </w:rPr>
            </w:pPr>
            <w:r w:rsidRPr="00CE3053">
              <w:rPr>
                <w:rFonts w:ascii="Arial" w:hAnsi="Arial" w:cs="Arial"/>
                <w:b/>
                <w:bCs/>
                <w:color w:val="000000"/>
                <w:lang w:val="mk-MK"/>
              </w:rPr>
              <w:t>485</w:t>
            </w:r>
            <w:r w:rsidR="00F378E0" w:rsidRPr="001E6526">
              <w:rPr>
                <w:rFonts w:ascii="Arial" w:hAnsi="Arial" w:cs="Arial"/>
                <w:b/>
                <w:bCs/>
                <w:color w:val="000000"/>
                <w:lang w:val="mk-MK"/>
              </w:rPr>
              <w:t>,</w:t>
            </w:r>
            <w:r w:rsidRPr="00CE3053">
              <w:rPr>
                <w:rFonts w:ascii="Arial" w:hAnsi="Arial" w:cs="Arial"/>
                <w:b/>
                <w:bCs/>
                <w:color w:val="000000"/>
                <w:lang w:val="mk-MK"/>
              </w:rPr>
              <w:t>05</w:t>
            </w:r>
            <w:r w:rsidR="0099487D" w:rsidRPr="00CE3053">
              <w:rPr>
                <w:rFonts w:ascii="Arial" w:hAnsi="Arial" w:cs="Arial"/>
                <w:b/>
                <w:bCs/>
                <w:color w:val="000000"/>
                <w:lang w:val="mk-MK"/>
              </w:rPr>
              <w:t>6</w:t>
            </w:r>
          </w:p>
        </w:tc>
        <w:tc>
          <w:tcPr>
            <w:tcW w:w="1440" w:type="dxa"/>
            <w:tcBorders>
              <w:top w:val="single" w:sz="4" w:space="0" w:color="auto"/>
              <w:bottom w:val="double" w:sz="4" w:space="0" w:color="auto"/>
            </w:tcBorders>
            <w:shd w:val="clear" w:color="auto" w:fill="auto"/>
            <w:tcMar>
              <w:left w:w="58" w:type="dxa"/>
              <w:right w:w="58" w:type="dxa"/>
            </w:tcMar>
            <w:vAlign w:val="bottom"/>
          </w:tcPr>
          <w:p w14:paraId="2F92123F" w14:textId="1C839E23" w:rsidR="00F378E0" w:rsidRPr="00CE3053" w:rsidRDefault="00F378E0" w:rsidP="00F378E0">
            <w:pPr>
              <w:spacing w:after="0"/>
              <w:jc w:val="right"/>
              <w:rPr>
                <w:rFonts w:ascii="Arial" w:hAnsi="Arial" w:cs="Arial"/>
                <w:b/>
                <w:bCs/>
                <w:color w:val="000000"/>
                <w:lang w:val="mk-MK"/>
              </w:rPr>
            </w:pPr>
            <w:r w:rsidRPr="001E6526">
              <w:rPr>
                <w:rFonts w:ascii="Arial" w:hAnsi="Arial" w:cs="Arial"/>
                <w:b/>
                <w:bCs/>
                <w:color w:val="000000"/>
                <w:lang w:val="mk-MK"/>
              </w:rPr>
              <w:t>678,377</w:t>
            </w:r>
          </w:p>
        </w:tc>
      </w:tr>
    </w:tbl>
    <w:p w14:paraId="60FB2C72" w14:textId="77777777" w:rsidR="00F93B95" w:rsidRPr="00CE3053" w:rsidRDefault="00F93B95" w:rsidP="00F93B95">
      <w:pPr>
        <w:pStyle w:val="BodyText"/>
        <w:spacing w:after="0"/>
        <w:rPr>
          <w:rFonts w:ascii="Arial" w:hAnsi="Arial" w:cs="Arial"/>
          <w:lang w:val="mk-MK"/>
        </w:rPr>
      </w:pPr>
    </w:p>
    <w:p w14:paraId="53100105" w14:textId="4D793FE3" w:rsidR="00F93B95" w:rsidRPr="00CE3053" w:rsidRDefault="00FC40A3" w:rsidP="00F93B95">
      <w:pPr>
        <w:pStyle w:val="BodyText"/>
        <w:jc w:val="both"/>
        <w:rPr>
          <w:rFonts w:ascii="Arial" w:hAnsi="Arial" w:cs="Arial"/>
          <w:lang w:val="mk-MK"/>
        </w:rPr>
      </w:pPr>
      <w:proofErr w:type="spellStart"/>
      <w:r w:rsidRPr="00FC40A3">
        <w:rPr>
          <w:rFonts w:ascii="Arial" w:hAnsi="Arial" w:cs="Arial"/>
          <w:lang w:val="mk-MK"/>
        </w:rPr>
        <w:t>Current</w:t>
      </w:r>
      <w:proofErr w:type="spellEnd"/>
      <w:r w:rsidRPr="00FC40A3">
        <w:rPr>
          <w:rFonts w:ascii="Arial" w:hAnsi="Arial" w:cs="Arial"/>
          <w:lang w:val="mk-MK"/>
        </w:rPr>
        <w:t xml:space="preserve"> </w:t>
      </w:r>
      <w:proofErr w:type="spellStart"/>
      <w:r w:rsidRPr="00FC40A3">
        <w:rPr>
          <w:rFonts w:ascii="Arial" w:hAnsi="Arial" w:cs="Arial"/>
          <w:lang w:val="mk-MK"/>
        </w:rPr>
        <w:t>accounts</w:t>
      </w:r>
      <w:proofErr w:type="spellEnd"/>
      <w:r w:rsidRPr="00FC40A3">
        <w:rPr>
          <w:rFonts w:ascii="Arial" w:hAnsi="Arial" w:cs="Arial"/>
          <w:lang w:val="mk-MK"/>
        </w:rPr>
        <w:t xml:space="preserve"> </w:t>
      </w:r>
      <w:proofErr w:type="spellStart"/>
      <w:r w:rsidRPr="00FC40A3">
        <w:rPr>
          <w:rFonts w:ascii="Arial" w:hAnsi="Arial" w:cs="Arial"/>
          <w:lang w:val="mk-MK"/>
        </w:rPr>
        <w:t>with</w:t>
      </w:r>
      <w:proofErr w:type="spellEnd"/>
      <w:r w:rsidRPr="00FC40A3">
        <w:rPr>
          <w:rFonts w:ascii="Arial" w:hAnsi="Arial" w:cs="Arial"/>
          <w:lang w:val="mk-MK"/>
        </w:rPr>
        <w:t xml:space="preserve"> </w:t>
      </w:r>
      <w:proofErr w:type="spellStart"/>
      <w:r w:rsidRPr="00FC40A3">
        <w:rPr>
          <w:rFonts w:ascii="Arial" w:hAnsi="Arial" w:cs="Arial"/>
          <w:lang w:val="mk-MK"/>
        </w:rPr>
        <w:t>domestic</w:t>
      </w:r>
      <w:proofErr w:type="spellEnd"/>
      <w:r w:rsidRPr="00FC40A3">
        <w:rPr>
          <w:rFonts w:ascii="Arial" w:hAnsi="Arial" w:cs="Arial"/>
          <w:lang w:val="mk-MK"/>
        </w:rPr>
        <w:t xml:space="preserve"> </w:t>
      </w:r>
      <w:proofErr w:type="spellStart"/>
      <w:r w:rsidRPr="00FC40A3">
        <w:rPr>
          <w:rFonts w:ascii="Arial" w:hAnsi="Arial" w:cs="Arial"/>
          <w:lang w:val="mk-MK"/>
        </w:rPr>
        <w:t>banks</w:t>
      </w:r>
      <w:proofErr w:type="spellEnd"/>
      <w:r w:rsidRPr="00FC40A3">
        <w:rPr>
          <w:rFonts w:ascii="Arial" w:hAnsi="Arial" w:cs="Arial"/>
          <w:lang w:val="mk-MK"/>
        </w:rPr>
        <w:t xml:space="preserve"> </w:t>
      </w:r>
      <w:proofErr w:type="spellStart"/>
      <w:r w:rsidRPr="00FC40A3">
        <w:rPr>
          <w:rFonts w:ascii="Arial" w:hAnsi="Arial" w:cs="Arial"/>
          <w:lang w:val="mk-MK"/>
        </w:rPr>
        <w:t>as</w:t>
      </w:r>
      <w:proofErr w:type="spellEnd"/>
      <w:r w:rsidRPr="00FC40A3">
        <w:rPr>
          <w:rFonts w:ascii="Arial" w:hAnsi="Arial" w:cs="Arial"/>
          <w:lang w:val="mk-MK"/>
        </w:rPr>
        <w:t xml:space="preserve"> </w:t>
      </w:r>
      <w:proofErr w:type="spellStart"/>
      <w:r w:rsidRPr="00FC40A3">
        <w:rPr>
          <w:rFonts w:ascii="Arial" w:hAnsi="Arial" w:cs="Arial"/>
          <w:lang w:val="mk-MK"/>
        </w:rPr>
        <w:t>of</w:t>
      </w:r>
      <w:proofErr w:type="spellEnd"/>
      <w:r w:rsidRPr="00FC40A3">
        <w:rPr>
          <w:rFonts w:ascii="Arial" w:hAnsi="Arial" w:cs="Arial"/>
          <w:lang w:val="mk-MK"/>
        </w:rPr>
        <w:t xml:space="preserve"> 31 </w:t>
      </w:r>
      <w:proofErr w:type="spellStart"/>
      <w:r w:rsidRPr="00FC40A3">
        <w:rPr>
          <w:rFonts w:ascii="Arial" w:hAnsi="Arial" w:cs="Arial"/>
          <w:lang w:val="mk-MK"/>
        </w:rPr>
        <w:t>December</w:t>
      </w:r>
      <w:proofErr w:type="spellEnd"/>
      <w:r w:rsidRPr="00FC40A3">
        <w:rPr>
          <w:rFonts w:ascii="Arial" w:hAnsi="Arial" w:cs="Arial"/>
          <w:lang w:val="mk-MK"/>
        </w:rPr>
        <w:t xml:space="preserve"> 202</w:t>
      </w:r>
      <w:r w:rsidR="001B6D3B">
        <w:rPr>
          <w:rFonts w:ascii="Arial" w:hAnsi="Arial" w:cs="Arial"/>
          <w:lang w:val="mk-MK"/>
        </w:rPr>
        <w:t>1</w:t>
      </w:r>
      <w:r w:rsidRPr="00FC40A3">
        <w:rPr>
          <w:rFonts w:ascii="Arial" w:hAnsi="Arial" w:cs="Arial"/>
          <w:lang w:val="mk-MK"/>
        </w:rPr>
        <w:t xml:space="preserve"> </w:t>
      </w:r>
      <w:proofErr w:type="spellStart"/>
      <w:r w:rsidRPr="00FC40A3">
        <w:rPr>
          <w:rFonts w:ascii="Arial" w:hAnsi="Arial" w:cs="Arial"/>
          <w:lang w:val="mk-MK"/>
        </w:rPr>
        <w:t>in</w:t>
      </w:r>
      <w:proofErr w:type="spellEnd"/>
      <w:r w:rsidRPr="00FC40A3">
        <w:rPr>
          <w:rFonts w:ascii="Arial" w:hAnsi="Arial" w:cs="Arial"/>
          <w:lang w:val="mk-MK"/>
        </w:rPr>
        <w:t xml:space="preserve"> </w:t>
      </w:r>
      <w:proofErr w:type="spellStart"/>
      <w:r w:rsidRPr="00FC40A3">
        <w:rPr>
          <w:rFonts w:ascii="Arial" w:hAnsi="Arial" w:cs="Arial"/>
          <w:lang w:val="mk-MK"/>
        </w:rPr>
        <w:t>the</w:t>
      </w:r>
      <w:proofErr w:type="spellEnd"/>
      <w:r w:rsidRPr="00FC40A3">
        <w:rPr>
          <w:rFonts w:ascii="Arial" w:hAnsi="Arial" w:cs="Arial"/>
          <w:lang w:val="mk-MK"/>
        </w:rPr>
        <w:t xml:space="preserve"> </w:t>
      </w:r>
      <w:proofErr w:type="spellStart"/>
      <w:r w:rsidRPr="00FC40A3">
        <w:rPr>
          <w:rFonts w:ascii="Arial" w:hAnsi="Arial" w:cs="Arial"/>
          <w:lang w:val="mk-MK"/>
        </w:rPr>
        <w:t>amount</w:t>
      </w:r>
      <w:proofErr w:type="spellEnd"/>
      <w:r w:rsidRPr="00FC40A3">
        <w:rPr>
          <w:rFonts w:ascii="Arial" w:hAnsi="Arial" w:cs="Arial"/>
          <w:lang w:val="mk-MK"/>
        </w:rPr>
        <w:t xml:space="preserve"> </w:t>
      </w:r>
      <w:proofErr w:type="spellStart"/>
      <w:r w:rsidRPr="00FC40A3">
        <w:rPr>
          <w:rFonts w:ascii="Arial" w:hAnsi="Arial" w:cs="Arial"/>
          <w:lang w:val="mk-MK"/>
        </w:rPr>
        <w:t>of</w:t>
      </w:r>
      <w:proofErr w:type="spellEnd"/>
      <w:r w:rsidRPr="00FC40A3">
        <w:rPr>
          <w:rFonts w:ascii="Arial" w:hAnsi="Arial" w:cs="Arial"/>
          <w:lang w:val="mk-MK"/>
        </w:rPr>
        <w:t xml:space="preserve"> </w:t>
      </w:r>
      <w:r w:rsidR="0099487D" w:rsidRPr="00CE3053">
        <w:rPr>
          <w:rFonts w:ascii="Arial" w:hAnsi="Arial" w:cs="Arial"/>
          <w:lang w:val="mk-MK"/>
        </w:rPr>
        <w:t>414</w:t>
      </w:r>
      <w:r w:rsidR="00F93B95" w:rsidRPr="001E6526">
        <w:rPr>
          <w:rFonts w:ascii="Arial" w:hAnsi="Arial" w:cs="Arial"/>
          <w:lang w:val="mk-MK"/>
        </w:rPr>
        <w:t>,</w:t>
      </w:r>
      <w:r w:rsidR="0099487D" w:rsidRPr="00CE3053">
        <w:rPr>
          <w:rFonts w:ascii="Arial" w:hAnsi="Arial" w:cs="Arial"/>
          <w:lang w:val="mk-MK"/>
        </w:rPr>
        <w:t>485</w:t>
      </w:r>
      <w:r w:rsidR="00F93B95" w:rsidRPr="001E6526">
        <w:rPr>
          <w:rFonts w:ascii="Arial" w:hAnsi="Arial" w:cs="Arial"/>
          <w:lang w:val="mk-MK"/>
        </w:rPr>
        <w:t xml:space="preserve"> </w:t>
      </w:r>
      <w:proofErr w:type="spellStart"/>
      <w:r w:rsidRPr="00FC40A3">
        <w:rPr>
          <w:rFonts w:ascii="Arial" w:hAnsi="Arial" w:cs="Arial"/>
          <w:lang w:val="mk-MK"/>
        </w:rPr>
        <w:t>thousand</w:t>
      </w:r>
      <w:proofErr w:type="spellEnd"/>
      <w:r w:rsidRPr="00FC40A3">
        <w:rPr>
          <w:rFonts w:ascii="Arial" w:hAnsi="Arial" w:cs="Arial"/>
          <w:lang w:val="mk-MK"/>
        </w:rPr>
        <w:t xml:space="preserve"> </w:t>
      </w:r>
      <w:proofErr w:type="spellStart"/>
      <w:r w:rsidRPr="00FC40A3">
        <w:rPr>
          <w:rFonts w:ascii="Arial" w:hAnsi="Arial" w:cs="Arial"/>
          <w:lang w:val="mk-MK"/>
        </w:rPr>
        <w:t>denars</w:t>
      </w:r>
      <w:proofErr w:type="spellEnd"/>
      <w:r w:rsidRPr="00FC40A3">
        <w:rPr>
          <w:rFonts w:ascii="Arial" w:hAnsi="Arial" w:cs="Arial"/>
          <w:lang w:val="mk-MK"/>
        </w:rPr>
        <w:t xml:space="preserve"> </w:t>
      </w:r>
      <w:proofErr w:type="spellStart"/>
      <w:r w:rsidRPr="00FC40A3">
        <w:rPr>
          <w:rFonts w:ascii="Arial" w:hAnsi="Arial" w:cs="Arial"/>
          <w:lang w:val="mk-MK"/>
        </w:rPr>
        <w:t>refer</w:t>
      </w:r>
      <w:proofErr w:type="spellEnd"/>
      <w:r w:rsidRPr="00FC40A3">
        <w:rPr>
          <w:rFonts w:ascii="Arial" w:hAnsi="Arial" w:cs="Arial"/>
          <w:lang w:val="mk-MK"/>
        </w:rPr>
        <w:t xml:space="preserve"> </w:t>
      </w:r>
      <w:proofErr w:type="spellStart"/>
      <w:r w:rsidRPr="00FC40A3">
        <w:rPr>
          <w:rFonts w:ascii="Arial" w:hAnsi="Arial" w:cs="Arial"/>
          <w:lang w:val="mk-MK"/>
        </w:rPr>
        <w:t>to</w:t>
      </w:r>
      <w:proofErr w:type="spellEnd"/>
      <w:r w:rsidRPr="00FC40A3">
        <w:rPr>
          <w:rFonts w:ascii="Arial" w:hAnsi="Arial" w:cs="Arial"/>
          <w:lang w:val="mk-MK"/>
        </w:rPr>
        <w:t xml:space="preserve"> </w:t>
      </w:r>
      <w:proofErr w:type="spellStart"/>
      <w:r w:rsidRPr="00FC40A3">
        <w:rPr>
          <w:rFonts w:ascii="Arial" w:hAnsi="Arial" w:cs="Arial"/>
          <w:lang w:val="mk-MK"/>
        </w:rPr>
        <w:t>designated</w:t>
      </w:r>
      <w:proofErr w:type="spellEnd"/>
      <w:r w:rsidRPr="00FC40A3">
        <w:rPr>
          <w:rFonts w:ascii="Arial" w:hAnsi="Arial" w:cs="Arial"/>
          <w:lang w:val="mk-MK"/>
        </w:rPr>
        <w:t xml:space="preserve"> </w:t>
      </w:r>
      <w:proofErr w:type="spellStart"/>
      <w:r w:rsidRPr="00FC40A3">
        <w:rPr>
          <w:rFonts w:ascii="Arial" w:hAnsi="Arial" w:cs="Arial"/>
          <w:lang w:val="mk-MK"/>
        </w:rPr>
        <w:t>funds</w:t>
      </w:r>
      <w:proofErr w:type="spellEnd"/>
      <w:r w:rsidRPr="00FC40A3">
        <w:rPr>
          <w:rFonts w:ascii="Arial" w:hAnsi="Arial" w:cs="Arial"/>
          <w:lang w:val="mk-MK"/>
        </w:rPr>
        <w:t xml:space="preserve"> </w:t>
      </w:r>
      <w:proofErr w:type="spellStart"/>
      <w:r w:rsidRPr="00FC40A3">
        <w:rPr>
          <w:rFonts w:ascii="Arial" w:hAnsi="Arial" w:cs="Arial"/>
          <w:lang w:val="mk-MK"/>
        </w:rPr>
        <w:t>transferred</w:t>
      </w:r>
      <w:proofErr w:type="spellEnd"/>
      <w:r w:rsidRPr="00FC40A3">
        <w:rPr>
          <w:rFonts w:ascii="Arial" w:hAnsi="Arial" w:cs="Arial"/>
          <w:lang w:val="mk-MK"/>
        </w:rPr>
        <w:t xml:space="preserve"> </w:t>
      </w:r>
      <w:proofErr w:type="spellStart"/>
      <w:r w:rsidRPr="00FC40A3">
        <w:rPr>
          <w:rFonts w:ascii="Arial" w:hAnsi="Arial" w:cs="Arial"/>
          <w:lang w:val="mk-MK"/>
        </w:rPr>
        <w:t>by</w:t>
      </w:r>
      <w:proofErr w:type="spellEnd"/>
      <w:r w:rsidRPr="00FC40A3">
        <w:rPr>
          <w:rFonts w:ascii="Arial" w:hAnsi="Arial" w:cs="Arial"/>
          <w:lang w:val="mk-MK"/>
        </w:rPr>
        <w:t xml:space="preserve"> </w:t>
      </w:r>
      <w:proofErr w:type="spellStart"/>
      <w:r w:rsidRPr="00FC40A3">
        <w:rPr>
          <w:rFonts w:ascii="Arial" w:hAnsi="Arial" w:cs="Arial"/>
          <w:lang w:val="mk-MK"/>
        </w:rPr>
        <w:t>the</w:t>
      </w:r>
      <w:proofErr w:type="spellEnd"/>
      <w:r w:rsidRPr="00FC40A3">
        <w:rPr>
          <w:rFonts w:ascii="Arial" w:hAnsi="Arial" w:cs="Arial"/>
          <w:lang w:val="mk-MK"/>
        </w:rPr>
        <w:t xml:space="preserve"> </w:t>
      </w:r>
      <w:proofErr w:type="spellStart"/>
      <w:r w:rsidRPr="00FC40A3">
        <w:rPr>
          <w:rFonts w:ascii="Arial" w:hAnsi="Arial" w:cs="Arial"/>
          <w:lang w:val="mk-MK"/>
        </w:rPr>
        <w:t>Fund</w:t>
      </w:r>
      <w:proofErr w:type="spellEnd"/>
      <w:r w:rsidRPr="00FC40A3">
        <w:rPr>
          <w:rFonts w:ascii="Arial" w:hAnsi="Arial" w:cs="Arial"/>
          <w:lang w:val="mk-MK"/>
        </w:rPr>
        <w:t xml:space="preserve"> </w:t>
      </w:r>
      <w:proofErr w:type="spellStart"/>
      <w:r w:rsidRPr="00FC40A3">
        <w:rPr>
          <w:rFonts w:ascii="Arial" w:hAnsi="Arial" w:cs="Arial"/>
          <w:lang w:val="mk-MK"/>
        </w:rPr>
        <w:t>for</w:t>
      </w:r>
      <w:proofErr w:type="spellEnd"/>
      <w:r w:rsidRPr="00FC40A3">
        <w:rPr>
          <w:rFonts w:ascii="Arial" w:hAnsi="Arial" w:cs="Arial"/>
          <w:lang w:val="mk-MK"/>
        </w:rPr>
        <w:t xml:space="preserve"> </w:t>
      </w:r>
      <w:proofErr w:type="spellStart"/>
      <w:r w:rsidRPr="00FC40A3">
        <w:rPr>
          <w:rFonts w:ascii="Arial" w:hAnsi="Arial" w:cs="Arial"/>
          <w:lang w:val="mk-MK"/>
        </w:rPr>
        <w:t>compensation</w:t>
      </w:r>
      <w:proofErr w:type="spellEnd"/>
      <w:r w:rsidRPr="00FC40A3">
        <w:rPr>
          <w:rFonts w:ascii="Arial" w:hAnsi="Arial" w:cs="Arial"/>
          <w:lang w:val="mk-MK"/>
        </w:rPr>
        <w:t xml:space="preserve"> </w:t>
      </w:r>
      <w:proofErr w:type="spellStart"/>
      <w:r w:rsidRPr="00FC40A3">
        <w:rPr>
          <w:rFonts w:ascii="Arial" w:hAnsi="Arial" w:cs="Arial"/>
          <w:lang w:val="mk-MK"/>
        </w:rPr>
        <w:t>of</w:t>
      </w:r>
      <w:proofErr w:type="spellEnd"/>
      <w:r w:rsidRPr="00FC40A3">
        <w:rPr>
          <w:rFonts w:ascii="Arial" w:hAnsi="Arial" w:cs="Arial"/>
          <w:lang w:val="mk-MK"/>
        </w:rPr>
        <w:t xml:space="preserve"> </w:t>
      </w:r>
      <w:proofErr w:type="spellStart"/>
      <w:r w:rsidRPr="00FC40A3">
        <w:rPr>
          <w:rFonts w:ascii="Arial" w:hAnsi="Arial" w:cs="Arial"/>
          <w:lang w:val="mk-MK"/>
        </w:rPr>
        <w:t>the</w:t>
      </w:r>
      <w:proofErr w:type="spellEnd"/>
      <w:r w:rsidRPr="00FC40A3">
        <w:rPr>
          <w:rFonts w:ascii="Arial" w:hAnsi="Arial" w:cs="Arial"/>
          <w:lang w:val="mk-MK"/>
        </w:rPr>
        <w:t xml:space="preserve"> </w:t>
      </w:r>
      <w:proofErr w:type="spellStart"/>
      <w:r w:rsidRPr="00FC40A3">
        <w:rPr>
          <w:rFonts w:ascii="Arial" w:hAnsi="Arial" w:cs="Arial"/>
          <w:lang w:val="mk-MK"/>
        </w:rPr>
        <w:t>deponents</w:t>
      </w:r>
      <w:proofErr w:type="spellEnd"/>
      <w:r w:rsidRPr="00FC40A3">
        <w:rPr>
          <w:rFonts w:ascii="Arial" w:hAnsi="Arial" w:cs="Arial"/>
          <w:lang w:val="mk-MK"/>
        </w:rPr>
        <w:t xml:space="preserve"> </w:t>
      </w:r>
      <w:proofErr w:type="spellStart"/>
      <w:r w:rsidRPr="00FC40A3">
        <w:rPr>
          <w:rFonts w:ascii="Arial" w:hAnsi="Arial" w:cs="Arial"/>
          <w:lang w:val="mk-MK"/>
        </w:rPr>
        <w:t>of</w:t>
      </w:r>
      <w:proofErr w:type="spellEnd"/>
      <w:r w:rsidRPr="00FC40A3">
        <w:rPr>
          <w:rFonts w:ascii="Arial" w:hAnsi="Arial" w:cs="Arial"/>
          <w:lang w:val="mk-MK"/>
        </w:rPr>
        <w:t xml:space="preserve"> </w:t>
      </w:r>
      <w:proofErr w:type="spellStart"/>
      <w:r w:rsidRPr="00FC40A3">
        <w:rPr>
          <w:rFonts w:ascii="Arial" w:hAnsi="Arial" w:cs="Arial"/>
          <w:lang w:val="mk-MK"/>
        </w:rPr>
        <w:t>Eurostandard</w:t>
      </w:r>
      <w:proofErr w:type="spellEnd"/>
      <w:r w:rsidRPr="00FC40A3">
        <w:rPr>
          <w:rFonts w:ascii="Arial" w:hAnsi="Arial" w:cs="Arial"/>
          <w:lang w:val="mk-MK"/>
        </w:rPr>
        <w:t xml:space="preserve"> </w:t>
      </w:r>
      <w:proofErr w:type="spellStart"/>
      <w:r w:rsidRPr="00FC40A3">
        <w:rPr>
          <w:rFonts w:ascii="Arial" w:hAnsi="Arial" w:cs="Arial"/>
          <w:lang w:val="mk-MK"/>
        </w:rPr>
        <w:t>Bank</w:t>
      </w:r>
      <w:proofErr w:type="spellEnd"/>
      <w:r w:rsidRPr="00FC40A3">
        <w:rPr>
          <w:rFonts w:ascii="Arial" w:hAnsi="Arial" w:cs="Arial"/>
          <w:lang w:val="mk-MK"/>
        </w:rPr>
        <w:t xml:space="preserve"> AD, Skopje </w:t>
      </w:r>
      <w:proofErr w:type="spellStart"/>
      <w:r w:rsidRPr="00FC40A3">
        <w:rPr>
          <w:rFonts w:ascii="Arial" w:hAnsi="Arial" w:cs="Arial"/>
          <w:lang w:val="mk-MK"/>
        </w:rPr>
        <w:t>in</w:t>
      </w:r>
      <w:proofErr w:type="spellEnd"/>
      <w:r w:rsidRPr="00FC40A3">
        <w:rPr>
          <w:rFonts w:ascii="Arial" w:hAnsi="Arial" w:cs="Arial"/>
          <w:lang w:val="mk-MK"/>
        </w:rPr>
        <w:t xml:space="preserve"> </w:t>
      </w:r>
      <w:proofErr w:type="spellStart"/>
      <w:r w:rsidRPr="00FC40A3">
        <w:rPr>
          <w:rFonts w:ascii="Arial" w:hAnsi="Arial" w:cs="Arial"/>
          <w:lang w:val="mk-MK"/>
        </w:rPr>
        <w:t>bankruptcy</w:t>
      </w:r>
      <w:proofErr w:type="spellEnd"/>
      <w:r w:rsidRPr="00FC40A3">
        <w:rPr>
          <w:rFonts w:ascii="Arial" w:hAnsi="Arial" w:cs="Arial"/>
          <w:lang w:val="mk-MK"/>
        </w:rPr>
        <w:t xml:space="preserve"> </w:t>
      </w:r>
      <w:r w:rsidR="00F93B95" w:rsidRPr="001E6526">
        <w:rPr>
          <w:rFonts w:ascii="Arial" w:hAnsi="Arial" w:cs="Arial"/>
          <w:lang w:val="mk-MK"/>
        </w:rPr>
        <w:t>(</w:t>
      </w:r>
      <w:r>
        <w:rPr>
          <w:rFonts w:ascii="Arial" w:hAnsi="Arial" w:cs="Arial"/>
          <w:lang w:val="en-US"/>
        </w:rPr>
        <w:t>see Note</w:t>
      </w:r>
      <w:r w:rsidR="00F93B95" w:rsidRPr="001E6526">
        <w:rPr>
          <w:rFonts w:ascii="Arial" w:hAnsi="Arial" w:cs="Arial"/>
          <w:lang w:val="mk-MK"/>
        </w:rPr>
        <w:t xml:space="preserve"> 1</w:t>
      </w:r>
      <w:r w:rsidR="00231A38" w:rsidRPr="00CE3053">
        <w:rPr>
          <w:rFonts w:ascii="Arial" w:hAnsi="Arial" w:cs="Arial"/>
          <w:lang w:val="mk-MK"/>
        </w:rPr>
        <w:t>6</w:t>
      </w:r>
      <w:r w:rsidR="00F93B95" w:rsidRPr="001E6526">
        <w:rPr>
          <w:rFonts w:ascii="Arial" w:hAnsi="Arial" w:cs="Arial"/>
          <w:lang w:val="mk-MK"/>
        </w:rPr>
        <w:t xml:space="preserve">). </w:t>
      </w:r>
      <w:proofErr w:type="spellStart"/>
      <w:r w:rsidRPr="00FC40A3">
        <w:rPr>
          <w:rFonts w:ascii="Arial" w:hAnsi="Arial" w:cs="Arial"/>
          <w:lang w:val="mk-MK"/>
        </w:rPr>
        <w:t>For</w:t>
      </w:r>
      <w:proofErr w:type="spellEnd"/>
      <w:r w:rsidRPr="00FC40A3">
        <w:rPr>
          <w:rFonts w:ascii="Arial" w:hAnsi="Arial" w:cs="Arial"/>
          <w:lang w:val="mk-MK"/>
        </w:rPr>
        <w:t xml:space="preserve"> </w:t>
      </w:r>
      <w:proofErr w:type="spellStart"/>
      <w:r w:rsidRPr="00FC40A3">
        <w:rPr>
          <w:rFonts w:ascii="Arial" w:hAnsi="Arial" w:cs="Arial"/>
          <w:lang w:val="mk-MK"/>
        </w:rPr>
        <w:t>the</w:t>
      </w:r>
      <w:proofErr w:type="spellEnd"/>
      <w:r w:rsidRPr="00FC40A3">
        <w:rPr>
          <w:rFonts w:ascii="Arial" w:hAnsi="Arial" w:cs="Arial"/>
          <w:lang w:val="mk-MK"/>
        </w:rPr>
        <w:t xml:space="preserve"> </w:t>
      </w:r>
      <w:proofErr w:type="spellStart"/>
      <w:r w:rsidRPr="00FC40A3">
        <w:rPr>
          <w:rFonts w:ascii="Arial" w:hAnsi="Arial" w:cs="Arial"/>
          <w:lang w:val="mk-MK"/>
        </w:rPr>
        <w:t>current</w:t>
      </w:r>
      <w:proofErr w:type="spellEnd"/>
      <w:r w:rsidRPr="00FC40A3">
        <w:rPr>
          <w:rFonts w:ascii="Arial" w:hAnsi="Arial" w:cs="Arial"/>
          <w:lang w:val="mk-MK"/>
        </w:rPr>
        <w:t xml:space="preserve"> </w:t>
      </w:r>
      <w:proofErr w:type="spellStart"/>
      <w:r w:rsidRPr="00FC40A3">
        <w:rPr>
          <w:rFonts w:ascii="Arial" w:hAnsi="Arial" w:cs="Arial"/>
          <w:lang w:val="mk-MK"/>
        </w:rPr>
        <w:t>account</w:t>
      </w:r>
      <w:proofErr w:type="spellEnd"/>
      <w:r w:rsidRPr="00FC40A3">
        <w:rPr>
          <w:rFonts w:ascii="Arial" w:hAnsi="Arial" w:cs="Arial"/>
          <w:lang w:val="mk-MK"/>
        </w:rPr>
        <w:t xml:space="preserve"> </w:t>
      </w:r>
      <w:proofErr w:type="spellStart"/>
      <w:r w:rsidRPr="00FC40A3">
        <w:rPr>
          <w:rFonts w:ascii="Arial" w:hAnsi="Arial" w:cs="Arial"/>
          <w:lang w:val="mk-MK"/>
        </w:rPr>
        <w:t>with</w:t>
      </w:r>
      <w:proofErr w:type="spellEnd"/>
      <w:r w:rsidRPr="00FC40A3">
        <w:rPr>
          <w:rFonts w:ascii="Arial" w:hAnsi="Arial" w:cs="Arial"/>
          <w:lang w:val="mk-MK"/>
        </w:rPr>
        <w:t xml:space="preserve"> NBRNM, </w:t>
      </w:r>
      <w:proofErr w:type="spellStart"/>
      <w:r w:rsidRPr="00FC40A3">
        <w:rPr>
          <w:rFonts w:ascii="Arial" w:hAnsi="Arial" w:cs="Arial"/>
          <w:lang w:val="mk-MK"/>
        </w:rPr>
        <w:t>the</w:t>
      </w:r>
      <w:proofErr w:type="spellEnd"/>
      <w:r w:rsidRPr="00FC40A3">
        <w:rPr>
          <w:rFonts w:ascii="Arial" w:hAnsi="Arial" w:cs="Arial"/>
          <w:lang w:val="mk-MK"/>
        </w:rPr>
        <w:t xml:space="preserve"> </w:t>
      </w:r>
      <w:proofErr w:type="spellStart"/>
      <w:r w:rsidRPr="00FC40A3">
        <w:rPr>
          <w:rFonts w:ascii="Arial" w:hAnsi="Arial" w:cs="Arial"/>
          <w:lang w:val="mk-MK"/>
        </w:rPr>
        <w:t>Fund</w:t>
      </w:r>
      <w:proofErr w:type="spellEnd"/>
      <w:r w:rsidRPr="00FC40A3">
        <w:rPr>
          <w:rFonts w:ascii="Arial" w:hAnsi="Arial" w:cs="Arial"/>
          <w:lang w:val="mk-MK"/>
        </w:rPr>
        <w:t xml:space="preserve"> </w:t>
      </w:r>
      <w:proofErr w:type="spellStart"/>
      <w:r w:rsidRPr="00FC40A3">
        <w:rPr>
          <w:rFonts w:ascii="Arial" w:hAnsi="Arial" w:cs="Arial"/>
          <w:lang w:val="mk-MK"/>
        </w:rPr>
        <w:t>does</w:t>
      </w:r>
      <w:proofErr w:type="spellEnd"/>
      <w:r w:rsidRPr="00FC40A3">
        <w:rPr>
          <w:rFonts w:ascii="Arial" w:hAnsi="Arial" w:cs="Arial"/>
          <w:lang w:val="mk-MK"/>
        </w:rPr>
        <w:t xml:space="preserve"> </w:t>
      </w:r>
      <w:proofErr w:type="spellStart"/>
      <w:r w:rsidRPr="00FC40A3">
        <w:rPr>
          <w:rFonts w:ascii="Arial" w:hAnsi="Arial" w:cs="Arial"/>
          <w:lang w:val="mk-MK"/>
        </w:rPr>
        <w:t>not</w:t>
      </w:r>
      <w:proofErr w:type="spellEnd"/>
      <w:r w:rsidRPr="00FC40A3">
        <w:rPr>
          <w:rFonts w:ascii="Arial" w:hAnsi="Arial" w:cs="Arial"/>
          <w:lang w:val="mk-MK"/>
        </w:rPr>
        <w:t xml:space="preserve"> </w:t>
      </w:r>
      <w:proofErr w:type="spellStart"/>
      <w:r w:rsidRPr="00FC40A3">
        <w:rPr>
          <w:rFonts w:ascii="Arial" w:hAnsi="Arial" w:cs="Arial"/>
          <w:lang w:val="mk-MK"/>
        </w:rPr>
        <w:t>earn</w:t>
      </w:r>
      <w:proofErr w:type="spellEnd"/>
      <w:r w:rsidRPr="00FC40A3">
        <w:rPr>
          <w:rFonts w:ascii="Arial" w:hAnsi="Arial" w:cs="Arial"/>
          <w:lang w:val="mk-MK"/>
        </w:rPr>
        <w:t xml:space="preserve"> </w:t>
      </w:r>
      <w:proofErr w:type="spellStart"/>
      <w:r w:rsidRPr="00FC40A3">
        <w:rPr>
          <w:rFonts w:ascii="Arial" w:hAnsi="Arial" w:cs="Arial"/>
          <w:lang w:val="mk-MK"/>
        </w:rPr>
        <w:t>interest</w:t>
      </w:r>
      <w:proofErr w:type="spellEnd"/>
      <w:r w:rsidRPr="00FC40A3">
        <w:rPr>
          <w:rFonts w:ascii="Arial" w:hAnsi="Arial" w:cs="Arial"/>
          <w:lang w:val="mk-MK"/>
        </w:rPr>
        <w:t xml:space="preserve"> </w:t>
      </w:r>
      <w:proofErr w:type="spellStart"/>
      <w:r w:rsidRPr="00FC40A3">
        <w:rPr>
          <w:rFonts w:ascii="Arial" w:hAnsi="Arial" w:cs="Arial"/>
          <w:lang w:val="mk-MK"/>
        </w:rPr>
        <w:t>income</w:t>
      </w:r>
      <w:proofErr w:type="spellEnd"/>
      <w:r w:rsidR="00926A76">
        <w:rPr>
          <w:rFonts w:ascii="Arial" w:hAnsi="Arial" w:cs="Arial"/>
          <w:lang w:val="en-US"/>
        </w:rPr>
        <w:t>.</w:t>
      </w:r>
      <w:r w:rsidR="00926A76" w:rsidRPr="00926A76">
        <w:t xml:space="preserve"> </w:t>
      </w:r>
      <w:proofErr w:type="spellStart"/>
      <w:r w:rsidR="00926A76" w:rsidRPr="00926A76">
        <w:rPr>
          <w:rFonts w:ascii="Arial" w:hAnsi="Arial" w:cs="Arial"/>
          <w:lang w:val="mk-MK"/>
        </w:rPr>
        <w:t>Current</w:t>
      </w:r>
      <w:proofErr w:type="spellEnd"/>
      <w:r w:rsidR="00926A76" w:rsidRPr="00926A76">
        <w:rPr>
          <w:rFonts w:ascii="Arial" w:hAnsi="Arial" w:cs="Arial"/>
          <w:lang w:val="mk-MK"/>
        </w:rPr>
        <w:t xml:space="preserve"> </w:t>
      </w:r>
      <w:proofErr w:type="spellStart"/>
      <w:r w:rsidR="00926A76" w:rsidRPr="00926A76">
        <w:rPr>
          <w:rFonts w:ascii="Arial" w:hAnsi="Arial" w:cs="Arial"/>
          <w:lang w:val="mk-MK"/>
        </w:rPr>
        <w:t>accounts</w:t>
      </w:r>
      <w:proofErr w:type="spellEnd"/>
      <w:r w:rsidR="00926A76" w:rsidRPr="00926A76">
        <w:rPr>
          <w:rFonts w:ascii="Arial" w:hAnsi="Arial" w:cs="Arial"/>
          <w:lang w:val="mk-MK"/>
        </w:rPr>
        <w:t xml:space="preserve"> </w:t>
      </w:r>
      <w:proofErr w:type="spellStart"/>
      <w:r w:rsidR="00926A76" w:rsidRPr="00926A76">
        <w:rPr>
          <w:rFonts w:ascii="Arial" w:hAnsi="Arial" w:cs="Arial"/>
          <w:lang w:val="mk-MK"/>
        </w:rPr>
        <w:t>with</w:t>
      </w:r>
      <w:proofErr w:type="spellEnd"/>
      <w:r w:rsidR="00926A76" w:rsidRPr="00926A76">
        <w:rPr>
          <w:rFonts w:ascii="Arial" w:hAnsi="Arial" w:cs="Arial"/>
          <w:lang w:val="mk-MK"/>
        </w:rPr>
        <w:t xml:space="preserve"> </w:t>
      </w:r>
      <w:proofErr w:type="spellStart"/>
      <w:r w:rsidR="00926A76" w:rsidRPr="00926A76">
        <w:rPr>
          <w:rFonts w:ascii="Arial" w:hAnsi="Arial" w:cs="Arial"/>
          <w:lang w:val="mk-MK"/>
        </w:rPr>
        <w:t>local</w:t>
      </w:r>
      <w:proofErr w:type="spellEnd"/>
      <w:r w:rsidR="00926A76" w:rsidRPr="00926A76">
        <w:rPr>
          <w:rFonts w:ascii="Arial" w:hAnsi="Arial" w:cs="Arial"/>
          <w:lang w:val="mk-MK"/>
        </w:rPr>
        <w:t xml:space="preserve"> </w:t>
      </w:r>
      <w:proofErr w:type="spellStart"/>
      <w:r w:rsidR="00926A76" w:rsidRPr="00926A76">
        <w:rPr>
          <w:rFonts w:ascii="Arial" w:hAnsi="Arial" w:cs="Arial"/>
          <w:lang w:val="mk-MK"/>
        </w:rPr>
        <w:t>banks</w:t>
      </w:r>
      <w:proofErr w:type="spellEnd"/>
      <w:r w:rsidR="00926A76" w:rsidRPr="00926A76">
        <w:rPr>
          <w:rFonts w:ascii="Arial" w:hAnsi="Arial" w:cs="Arial"/>
          <w:lang w:val="mk-MK"/>
        </w:rPr>
        <w:t xml:space="preserve"> </w:t>
      </w:r>
      <w:r w:rsidR="00926A76">
        <w:rPr>
          <w:rFonts w:ascii="Arial" w:hAnsi="Arial" w:cs="Arial"/>
          <w:lang w:val="en-US"/>
        </w:rPr>
        <w:t>does not earn interest income (</w:t>
      </w:r>
      <w:r w:rsidR="00F93B95" w:rsidRPr="00CE3053">
        <w:rPr>
          <w:rFonts w:ascii="Arial" w:hAnsi="Arial" w:cs="Arial"/>
          <w:lang w:val="mk-MK"/>
        </w:rPr>
        <w:t>20</w:t>
      </w:r>
      <w:r w:rsidR="0099487D" w:rsidRPr="00CE3053">
        <w:rPr>
          <w:rFonts w:ascii="Arial" w:hAnsi="Arial" w:cs="Arial"/>
          <w:lang w:val="mk-MK"/>
        </w:rPr>
        <w:t>20</w:t>
      </w:r>
      <w:r w:rsidR="00F93B95" w:rsidRPr="00CE3053">
        <w:rPr>
          <w:rFonts w:ascii="Arial" w:hAnsi="Arial" w:cs="Arial"/>
          <w:lang w:val="mk-MK"/>
        </w:rPr>
        <w:t>: 0.0</w:t>
      </w:r>
      <w:r w:rsidR="00F93B95" w:rsidRPr="001E6526">
        <w:rPr>
          <w:rFonts w:ascii="Arial" w:hAnsi="Arial" w:cs="Arial"/>
          <w:lang w:val="mk-MK"/>
        </w:rPr>
        <w:t>0%</w:t>
      </w:r>
      <w:r w:rsidR="00F93B95" w:rsidRPr="00CE3053">
        <w:rPr>
          <w:rFonts w:ascii="Arial" w:hAnsi="Arial" w:cs="Arial"/>
          <w:lang w:val="mk-MK"/>
        </w:rPr>
        <w:t xml:space="preserve"> </w:t>
      </w:r>
      <w:r w:rsidR="00926A76">
        <w:rPr>
          <w:rFonts w:ascii="Arial" w:hAnsi="Arial" w:cs="Arial"/>
          <w:lang w:val="en-US"/>
        </w:rPr>
        <w:t>p.a.</w:t>
      </w:r>
      <w:r w:rsidR="00F93B95" w:rsidRPr="00CE3053">
        <w:rPr>
          <w:rFonts w:ascii="Arial" w:hAnsi="Arial" w:cs="Arial"/>
          <w:lang w:val="mk-MK"/>
        </w:rPr>
        <w:t>).</w:t>
      </w:r>
    </w:p>
    <w:p w14:paraId="1F5DD3E9" w14:textId="77777777" w:rsidR="006200EC" w:rsidRPr="001E6526" w:rsidRDefault="006200EC">
      <w:pPr>
        <w:spacing w:after="0" w:line="240" w:lineRule="auto"/>
        <w:rPr>
          <w:rFonts w:ascii="Arial" w:hAnsi="Arial" w:cs="Arial"/>
          <w:b/>
          <w:color w:val="4F2D7F"/>
          <w:lang w:val="mk-MK"/>
        </w:rPr>
      </w:pPr>
      <w:r w:rsidRPr="001E6526">
        <w:rPr>
          <w:rFonts w:ascii="Arial" w:hAnsi="Arial" w:cs="Arial"/>
          <w:b/>
          <w:color w:val="4F2D7F"/>
          <w:lang w:val="mk-MK"/>
        </w:rPr>
        <w:br w:type="page"/>
      </w:r>
    </w:p>
    <w:p w14:paraId="531B8F68" w14:textId="77777777" w:rsidR="00926A76" w:rsidRPr="00926A76" w:rsidRDefault="00926A76" w:rsidP="00926A76">
      <w:pPr>
        <w:pStyle w:val="ListParagraph"/>
        <w:numPr>
          <w:ilvl w:val="0"/>
          <w:numId w:val="22"/>
        </w:numPr>
        <w:rPr>
          <w:rFonts w:ascii="Arial" w:hAnsi="Arial" w:cs="Arial"/>
          <w:b/>
          <w:color w:val="4F2D7F"/>
          <w:lang w:val="mk-MK"/>
        </w:rPr>
      </w:pPr>
      <w:proofErr w:type="spellStart"/>
      <w:r w:rsidRPr="00926A76">
        <w:rPr>
          <w:rFonts w:ascii="Arial" w:hAnsi="Arial" w:cs="Arial"/>
          <w:b/>
          <w:color w:val="4F2D7F"/>
          <w:lang w:val="mk-MK"/>
        </w:rPr>
        <w:lastRenderedPageBreak/>
        <w:t>Receivables</w:t>
      </w:r>
      <w:proofErr w:type="spellEnd"/>
      <w:r w:rsidRPr="00926A76">
        <w:rPr>
          <w:rFonts w:ascii="Arial" w:hAnsi="Arial" w:cs="Arial"/>
          <w:b/>
          <w:color w:val="4F2D7F"/>
          <w:lang w:val="mk-MK"/>
        </w:rPr>
        <w:t xml:space="preserve"> </w:t>
      </w:r>
      <w:proofErr w:type="spellStart"/>
      <w:r w:rsidRPr="00926A76">
        <w:rPr>
          <w:rFonts w:ascii="Arial" w:hAnsi="Arial" w:cs="Arial"/>
          <w:b/>
          <w:color w:val="4F2D7F"/>
          <w:lang w:val="mk-MK"/>
        </w:rPr>
        <w:t>for</w:t>
      </w:r>
      <w:proofErr w:type="spellEnd"/>
      <w:r w:rsidRPr="00926A76">
        <w:rPr>
          <w:rFonts w:ascii="Arial" w:hAnsi="Arial" w:cs="Arial"/>
          <w:b/>
          <w:color w:val="4F2D7F"/>
          <w:lang w:val="mk-MK"/>
        </w:rPr>
        <w:t xml:space="preserve"> </w:t>
      </w:r>
      <w:proofErr w:type="spellStart"/>
      <w:r w:rsidRPr="00926A76">
        <w:rPr>
          <w:rFonts w:ascii="Arial" w:hAnsi="Arial" w:cs="Arial"/>
          <w:b/>
          <w:color w:val="4F2D7F"/>
          <w:lang w:val="mk-MK"/>
        </w:rPr>
        <w:t>insurance</w:t>
      </w:r>
      <w:proofErr w:type="spellEnd"/>
      <w:r w:rsidRPr="00926A76">
        <w:rPr>
          <w:rFonts w:ascii="Arial" w:hAnsi="Arial" w:cs="Arial"/>
          <w:b/>
          <w:color w:val="4F2D7F"/>
          <w:lang w:val="mk-MK"/>
        </w:rPr>
        <w:t xml:space="preserve"> </w:t>
      </w:r>
      <w:proofErr w:type="spellStart"/>
      <w:r w:rsidRPr="00926A76">
        <w:rPr>
          <w:rFonts w:ascii="Arial" w:hAnsi="Arial" w:cs="Arial"/>
          <w:b/>
          <w:color w:val="4F2D7F"/>
          <w:lang w:val="mk-MK"/>
        </w:rPr>
        <w:t>premium</w:t>
      </w:r>
      <w:proofErr w:type="spellEnd"/>
    </w:p>
    <w:tbl>
      <w:tblPr>
        <w:tblW w:w="8640" w:type="dxa"/>
        <w:tblInd w:w="86" w:type="dxa"/>
        <w:tblLook w:val="01E0" w:firstRow="1" w:lastRow="1" w:firstColumn="1" w:lastColumn="1" w:noHBand="0" w:noVBand="0"/>
      </w:tblPr>
      <w:tblGrid>
        <w:gridCol w:w="5760"/>
        <w:gridCol w:w="1440"/>
        <w:gridCol w:w="1440"/>
      </w:tblGrid>
      <w:tr w:rsidR="00F30EF8" w:rsidRPr="001E6526" w14:paraId="0A3F1FB3" w14:textId="77777777" w:rsidTr="002C44A5">
        <w:trPr>
          <w:trHeight w:val="216"/>
        </w:trPr>
        <w:tc>
          <w:tcPr>
            <w:tcW w:w="5760" w:type="dxa"/>
            <w:shd w:val="clear" w:color="auto" w:fill="auto"/>
            <w:tcMar>
              <w:left w:w="58" w:type="dxa"/>
              <w:right w:w="58" w:type="dxa"/>
            </w:tcMar>
            <w:vAlign w:val="bottom"/>
          </w:tcPr>
          <w:p w14:paraId="791939A8" w14:textId="77777777" w:rsidR="00F30EF8" w:rsidRPr="00CE3053" w:rsidRDefault="00F30EF8" w:rsidP="00F93B95">
            <w:pPr>
              <w:pStyle w:val="TableText"/>
              <w:spacing w:after="0"/>
              <w:rPr>
                <w:rFonts w:ascii="Arial" w:hAnsi="Arial"/>
                <w:sz w:val="18"/>
                <w:lang w:val="mk-MK"/>
              </w:rPr>
            </w:pPr>
          </w:p>
        </w:tc>
        <w:tc>
          <w:tcPr>
            <w:tcW w:w="2880" w:type="dxa"/>
            <w:gridSpan w:val="2"/>
            <w:shd w:val="clear" w:color="auto" w:fill="auto"/>
            <w:tcMar>
              <w:left w:w="58" w:type="dxa"/>
              <w:right w:w="58" w:type="dxa"/>
            </w:tcMar>
            <w:vAlign w:val="bottom"/>
          </w:tcPr>
          <w:p w14:paraId="5C82352E" w14:textId="65300AC8" w:rsidR="00F30EF8" w:rsidRPr="00CE3053" w:rsidRDefault="00F30EF8" w:rsidP="00F93B95">
            <w:pPr>
              <w:pStyle w:val="TableText"/>
              <w:spacing w:after="0"/>
              <w:jc w:val="right"/>
              <w:rPr>
                <w:rFonts w:ascii="Arial" w:hAnsi="Arial"/>
                <w:sz w:val="18"/>
                <w:lang w:val="mk-MK"/>
              </w:rPr>
            </w:pPr>
            <w:r w:rsidRPr="00CE3053">
              <w:rPr>
                <w:rFonts w:ascii="Arial" w:hAnsi="Arial"/>
                <w:sz w:val="18"/>
                <w:lang w:val="mk-MK"/>
              </w:rPr>
              <w:t xml:space="preserve">(000 </w:t>
            </w:r>
            <w:proofErr w:type="spellStart"/>
            <w:r w:rsidR="00926A76">
              <w:rPr>
                <w:rFonts w:ascii="Arial" w:hAnsi="Arial"/>
                <w:sz w:val="18"/>
                <w:lang w:val="en-US"/>
              </w:rPr>
              <w:t>mkd</w:t>
            </w:r>
            <w:proofErr w:type="spellEnd"/>
            <w:r w:rsidRPr="00CE3053">
              <w:rPr>
                <w:rFonts w:ascii="Arial" w:hAnsi="Arial"/>
                <w:sz w:val="18"/>
                <w:lang w:val="mk-MK"/>
              </w:rPr>
              <w:t>)</w:t>
            </w:r>
          </w:p>
        </w:tc>
      </w:tr>
      <w:tr w:rsidR="00F93B95" w:rsidRPr="001E6526" w14:paraId="303EF3E6" w14:textId="77777777" w:rsidTr="0025712C">
        <w:trPr>
          <w:trHeight w:val="216"/>
        </w:trPr>
        <w:tc>
          <w:tcPr>
            <w:tcW w:w="5760" w:type="dxa"/>
            <w:shd w:val="clear" w:color="auto" w:fill="auto"/>
            <w:tcMar>
              <w:left w:w="58" w:type="dxa"/>
              <w:right w:w="58" w:type="dxa"/>
            </w:tcMar>
            <w:vAlign w:val="bottom"/>
          </w:tcPr>
          <w:p w14:paraId="2465F8EA" w14:textId="77777777" w:rsidR="00F93B95" w:rsidRPr="00CE3053" w:rsidRDefault="00F93B95" w:rsidP="00F93B95">
            <w:pPr>
              <w:pStyle w:val="TableText"/>
              <w:spacing w:after="0"/>
              <w:rPr>
                <w:rFonts w:ascii="Arial" w:hAnsi="Arial"/>
                <w:sz w:val="18"/>
                <w:lang w:val="mk-MK"/>
              </w:rPr>
            </w:pPr>
            <w:bookmarkStart w:id="9" w:name="_Hlk64359963"/>
          </w:p>
        </w:tc>
        <w:tc>
          <w:tcPr>
            <w:tcW w:w="1440" w:type="dxa"/>
            <w:shd w:val="clear" w:color="auto" w:fill="auto"/>
            <w:tcMar>
              <w:left w:w="58" w:type="dxa"/>
              <w:right w:w="58" w:type="dxa"/>
            </w:tcMar>
            <w:vAlign w:val="bottom"/>
          </w:tcPr>
          <w:p w14:paraId="770AF56E" w14:textId="4F976863" w:rsidR="00F93B95" w:rsidRPr="00CE3053" w:rsidRDefault="00F93B95" w:rsidP="00F93B95">
            <w:pPr>
              <w:pStyle w:val="TableText"/>
              <w:spacing w:after="0"/>
              <w:jc w:val="right"/>
              <w:rPr>
                <w:rFonts w:ascii="Arial" w:hAnsi="Arial"/>
                <w:sz w:val="18"/>
                <w:lang w:val="mk-MK"/>
              </w:rPr>
            </w:pPr>
            <w:r w:rsidRPr="00CE3053">
              <w:rPr>
                <w:rFonts w:ascii="Arial" w:hAnsi="Arial"/>
                <w:sz w:val="18"/>
                <w:lang w:val="mk-MK"/>
              </w:rPr>
              <w:t>202</w:t>
            </w:r>
            <w:r w:rsidR="0099487D" w:rsidRPr="00CE3053">
              <w:rPr>
                <w:rFonts w:ascii="Arial" w:hAnsi="Arial"/>
                <w:sz w:val="18"/>
                <w:lang w:val="mk-MK"/>
              </w:rPr>
              <w:t>1</w:t>
            </w:r>
          </w:p>
        </w:tc>
        <w:tc>
          <w:tcPr>
            <w:tcW w:w="1440" w:type="dxa"/>
            <w:shd w:val="clear" w:color="auto" w:fill="auto"/>
            <w:tcMar>
              <w:left w:w="58" w:type="dxa"/>
              <w:right w:w="58" w:type="dxa"/>
            </w:tcMar>
            <w:vAlign w:val="bottom"/>
          </w:tcPr>
          <w:p w14:paraId="7A7687A6" w14:textId="1B2E9DD8" w:rsidR="00F93B95" w:rsidRPr="00CE3053" w:rsidRDefault="00F93B95" w:rsidP="00F93B95">
            <w:pPr>
              <w:pStyle w:val="TableText"/>
              <w:spacing w:after="0"/>
              <w:jc w:val="right"/>
              <w:rPr>
                <w:rFonts w:ascii="Arial" w:hAnsi="Arial"/>
                <w:sz w:val="18"/>
                <w:lang w:val="mk-MK"/>
              </w:rPr>
            </w:pPr>
            <w:r w:rsidRPr="00CE3053">
              <w:rPr>
                <w:rFonts w:ascii="Arial" w:hAnsi="Arial"/>
                <w:sz w:val="18"/>
                <w:lang w:val="mk-MK"/>
              </w:rPr>
              <w:t>20</w:t>
            </w:r>
            <w:r w:rsidR="0099487D" w:rsidRPr="00CE3053">
              <w:rPr>
                <w:rFonts w:ascii="Arial" w:hAnsi="Arial"/>
                <w:sz w:val="18"/>
                <w:lang w:val="mk-MK"/>
              </w:rPr>
              <w:t>20</w:t>
            </w:r>
          </w:p>
        </w:tc>
      </w:tr>
      <w:tr w:rsidR="00F93B95" w:rsidRPr="001E6526" w14:paraId="1F642B1B" w14:textId="77777777" w:rsidTr="0025712C">
        <w:trPr>
          <w:trHeight w:val="216"/>
        </w:trPr>
        <w:tc>
          <w:tcPr>
            <w:tcW w:w="5760" w:type="dxa"/>
            <w:shd w:val="clear" w:color="auto" w:fill="auto"/>
            <w:tcMar>
              <w:left w:w="58" w:type="dxa"/>
              <w:right w:w="58" w:type="dxa"/>
            </w:tcMar>
            <w:vAlign w:val="bottom"/>
          </w:tcPr>
          <w:p w14:paraId="7A1F9D7C" w14:textId="77777777" w:rsidR="00F93B95" w:rsidRPr="00CE3053" w:rsidRDefault="00F93B95" w:rsidP="00F93B95">
            <w:pPr>
              <w:pStyle w:val="TableText"/>
              <w:spacing w:after="0"/>
              <w:rPr>
                <w:rFonts w:ascii="Arial" w:hAnsi="Arial"/>
                <w:sz w:val="18"/>
                <w:lang w:val="mk-MK"/>
              </w:rPr>
            </w:pPr>
          </w:p>
        </w:tc>
        <w:tc>
          <w:tcPr>
            <w:tcW w:w="1440" w:type="dxa"/>
            <w:shd w:val="clear" w:color="auto" w:fill="auto"/>
            <w:tcMar>
              <w:left w:w="58" w:type="dxa"/>
              <w:right w:w="58" w:type="dxa"/>
            </w:tcMar>
            <w:vAlign w:val="bottom"/>
          </w:tcPr>
          <w:p w14:paraId="29E9A392" w14:textId="77777777" w:rsidR="00F93B95" w:rsidRPr="00CE3053" w:rsidRDefault="00F93B95" w:rsidP="00F93B95">
            <w:pPr>
              <w:pStyle w:val="TableText"/>
              <w:spacing w:after="0"/>
              <w:jc w:val="right"/>
              <w:rPr>
                <w:rFonts w:ascii="Arial" w:hAnsi="Arial"/>
                <w:sz w:val="18"/>
                <w:lang w:val="mk-MK"/>
              </w:rPr>
            </w:pPr>
          </w:p>
        </w:tc>
        <w:tc>
          <w:tcPr>
            <w:tcW w:w="1440" w:type="dxa"/>
            <w:shd w:val="clear" w:color="auto" w:fill="auto"/>
            <w:tcMar>
              <w:left w:w="58" w:type="dxa"/>
              <w:right w:w="58" w:type="dxa"/>
            </w:tcMar>
            <w:vAlign w:val="bottom"/>
          </w:tcPr>
          <w:p w14:paraId="0334E5E5" w14:textId="77777777" w:rsidR="00F93B95" w:rsidRPr="00CE3053" w:rsidRDefault="00F93B95" w:rsidP="00F93B95">
            <w:pPr>
              <w:pStyle w:val="TableText"/>
              <w:spacing w:after="0"/>
              <w:jc w:val="right"/>
              <w:rPr>
                <w:rFonts w:ascii="Arial" w:hAnsi="Arial"/>
                <w:sz w:val="18"/>
                <w:lang w:val="mk-MK"/>
              </w:rPr>
            </w:pPr>
          </w:p>
        </w:tc>
      </w:tr>
      <w:tr w:rsidR="0099487D" w:rsidRPr="001E6526" w14:paraId="3D7649B5" w14:textId="77777777" w:rsidTr="0025712C">
        <w:trPr>
          <w:trHeight w:val="216"/>
        </w:trPr>
        <w:tc>
          <w:tcPr>
            <w:tcW w:w="5760" w:type="dxa"/>
            <w:shd w:val="clear" w:color="auto" w:fill="auto"/>
            <w:tcMar>
              <w:left w:w="58" w:type="dxa"/>
              <w:right w:w="58" w:type="dxa"/>
            </w:tcMar>
            <w:vAlign w:val="bottom"/>
          </w:tcPr>
          <w:p w14:paraId="60D66507" w14:textId="1EEF3563" w:rsidR="0099487D" w:rsidRPr="001E6526" w:rsidRDefault="00926A76" w:rsidP="0099487D">
            <w:pPr>
              <w:pStyle w:val="TableText"/>
              <w:spacing w:after="0"/>
              <w:rPr>
                <w:rFonts w:ascii="Arial" w:hAnsi="Arial"/>
                <w:bCs/>
                <w:sz w:val="18"/>
                <w:lang w:val="mk-MK"/>
              </w:rPr>
            </w:pPr>
            <w:proofErr w:type="spellStart"/>
            <w:r w:rsidRPr="00926A76">
              <w:rPr>
                <w:rFonts w:ascii="Arial" w:hAnsi="Arial"/>
                <w:bCs/>
                <w:sz w:val="18"/>
                <w:lang w:val="mk-MK"/>
              </w:rPr>
              <w:t>Receivables</w:t>
            </w:r>
            <w:proofErr w:type="spellEnd"/>
            <w:r w:rsidRPr="00926A76">
              <w:rPr>
                <w:rFonts w:ascii="Arial" w:hAnsi="Arial"/>
                <w:bCs/>
                <w:sz w:val="18"/>
                <w:lang w:val="mk-MK"/>
              </w:rPr>
              <w:t xml:space="preserve"> </w:t>
            </w:r>
            <w:proofErr w:type="spellStart"/>
            <w:r w:rsidRPr="00926A76">
              <w:rPr>
                <w:rFonts w:ascii="Arial" w:hAnsi="Arial"/>
                <w:bCs/>
                <w:sz w:val="18"/>
                <w:lang w:val="mk-MK"/>
              </w:rPr>
              <w:t>for</w:t>
            </w:r>
            <w:proofErr w:type="spellEnd"/>
            <w:r w:rsidRPr="00926A76">
              <w:rPr>
                <w:rFonts w:ascii="Arial" w:hAnsi="Arial"/>
                <w:bCs/>
                <w:sz w:val="18"/>
                <w:lang w:val="mk-MK"/>
              </w:rPr>
              <w:t xml:space="preserve"> </w:t>
            </w:r>
            <w:proofErr w:type="spellStart"/>
            <w:r w:rsidRPr="00926A76">
              <w:rPr>
                <w:rFonts w:ascii="Arial" w:hAnsi="Arial"/>
                <w:bCs/>
                <w:sz w:val="18"/>
                <w:lang w:val="mk-MK"/>
              </w:rPr>
              <w:t>insurance</w:t>
            </w:r>
            <w:proofErr w:type="spellEnd"/>
            <w:r w:rsidRPr="00926A76">
              <w:rPr>
                <w:rFonts w:ascii="Arial" w:hAnsi="Arial"/>
                <w:bCs/>
                <w:sz w:val="18"/>
                <w:lang w:val="mk-MK"/>
              </w:rPr>
              <w:t xml:space="preserve"> </w:t>
            </w:r>
            <w:proofErr w:type="spellStart"/>
            <w:r w:rsidRPr="00926A76">
              <w:rPr>
                <w:rFonts w:ascii="Arial" w:hAnsi="Arial"/>
                <w:bCs/>
                <w:sz w:val="18"/>
                <w:lang w:val="mk-MK"/>
              </w:rPr>
              <w:t>premium</w:t>
            </w:r>
            <w:proofErr w:type="spellEnd"/>
          </w:p>
        </w:tc>
        <w:tc>
          <w:tcPr>
            <w:tcW w:w="1440" w:type="dxa"/>
            <w:shd w:val="clear" w:color="auto" w:fill="auto"/>
            <w:tcMar>
              <w:left w:w="58" w:type="dxa"/>
              <w:right w:w="58" w:type="dxa"/>
            </w:tcMar>
            <w:vAlign w:val="bottom"/>
          </w:tcPr>
          <w:p w14:paraId="1BEEB38F" w14:textId="4528E1AA" w:rsidR="0099487D" w:rsidRPr="00CE3053" w:rsidRDefault="0099487D" w:rsidP="0099487D">
            <w:pPr>
              <w:spacing w:after="0"/>
              <w:jc w:val="right"/>
              <w:rPr>
                <w:rFonts w:ascii="Arial" w:hAnsi="Arial" w:cs="Arial"/>
                <w:color w:val="000000"/>
                <w:lang w:val="mk-MK"/>
              </w:rPr>
            </w:pPr>
            <w:r w:rsidRPr="00CE3053">
              <w:rPr>
                <w:rFonts w:ascii="Arial" w:hAnsi="Arial" w:cs="Arial"/>
                <w:color w:val="000000"/>
                <w:lang w:val="mk-MK"/>
              </w:rPr>
              <w:t>-</w:t>
            </w:r>
          </w:p>
        </w:tc>
        <w:tc>
          <w:tcPr>
            <w:tcW w:w="1440" w:type="dxa"/>
            <w:shd w:val="clear" w:color="auto" w:fill="auto"/>
            <w:tcMar>
              <w:left w:w="58" w:type="dxa"/>
              <w:right w:w="58" w:type="dxa"/>
            </w:tcMar>
            <w:vAlign w:val="bottom"/>
          </w:tcPr>
          <w:p w14:paraId="2F6B2BA6" w14:textId="3C349BBC" w:rsidR="0099487D" w:rsidRPr="001E6526" w:rsidRDefault="0099487D" w:rsidP="0099487D">
            <w:pPr>
              <w:spacing w:after="0"/>
              <w:jc w:val="right"/>
              <w:rPr>
                <w:rFonts w:ascii="Arial" w:hAnsi="Arial" w:cs="Arial"/>
                <w:color w:val="000000"/>
                <w:lang w:val="mk-MK"/>
              </w:rPr>
            </w:pPr>
            <w:r w:rsidRPr="001E6526">
              <w:rPr>
                <w:rFonts w:ascii="Arial" w:hAnsi="Arial" w:cs="Arial"/>
                <w:color w:val="000000"/>
                <w:lang w:val="mk-MK"/>
              </w:rPr>
              <w:t>11,596</w:t>
            </w:r>
          </w:p>
        </w:tc>
      </w:tr>
      <w:tr w:rsidR="0099487D" w:rsidRPr="001E6526" w14:paraId="45868AD6" w14:textId="77777777" w:rsidTr="0025712C">
        <w:trPr>
          <w:trHeight w:val="216"/>
        </w:trPr>
        <w:tc>
          <w:tcPr>
            <w:tcW w:w="5760" w:type="dxa"/>
            <w:tcBorders>
              <w:top w:val="single" w:sz="4" w:space="0" w:color="auto"/>
              <w:bottom w:val="double" w:sz="4" w:space="0" w:color="auto"/>
            </w:tcBorders>
            <w:shd w:val="clear" w:color="auto" w:fill="auto"/>
            <w:tcMar>
              <w:left w:w="58" w:type="dxa"/>
              <w:right w:w="58" w:type="dxa"/>
            </w:tcMar>
            <w:vAlign w:val="bottom"/>
          </w:tcPr>
          <w:p w14:paraId="7DF68CC0" w14:textId="77777777" w:rsidR="0099487D" w:rsidRPr="00CE3053" w:rsidRDefault="0099487D" w:rsidP="0099487D">
            <w:pPr>
              <w:pStyle w:val="TableText"/>
              <w:spacing w:after="0"/>
              <w:rPr>
                <w:rFonts w:ascii="Arial" w:hAnsi="Arial"/>
                <w:b/>
                <w:bCs/>
                <w:sz w:val="18"/>
                <w:lang w:val="mk-MK"/>
              </w:rPr>
            </w:pPr>
          </w:p>
        </w:tc>
        <w:tc>
          <w:tcPr>
            <w:tcW w:w="1440" w:type="dxa"/>
            <w:tcBorders>
              <w:top w:val="single" w:sz="4" w:space="0" w:color="auto"/>
              <w:bottom w:val="double" w:sz="4" w:space="0" w:color="auto"/>
            </w:tcBorders>
            <w:shd w:val="clear" w:color="auto" w:fill="auto"/>
            <w:tcMar>
              <w:left w:w="58" w:type="dxa"/>
              <w:right w:w="58" w:type="dxa"/>
            </w:tcMar>
            <w:vAlign w:val="bottom"/>
          </w:tcPr>
          <w:p w14:paraId="7682A672" w14:textId="3B0A42D6" w:rsidR="0099487D" w:rsidRPr="00CE3053" w:rsidRDefault="0099487D" w:rsidP="0099487D">
            <w:pPr>
              <w:spacing w:after="0"/>
              <w:jc w:val="right"/>
              <w:rPr>
                <w:rFonts w:ascii="Arial" w:hAnsi="Arial" w:cs="Arial"/>
                <w:b/>
                <w:bCs/>
                <w:color w:val="000000"/>
                <w:lang w:val="mk-MK"/>
              </w:rPr>
            </w:pPr>
            <w:r w:rsidRPr="00CE3053">
              <w:rPr>
                <w:rFonts w:ascii="Arial" w:hAnsi="Arial" w:cs="Arial"/>
                <w:b/>
                <w:bCs/>
                <w:color w:val="000000"/>
                <w:lang w:val="mk-MK"/>
              </w:rPr>
              <w:t>-</w:t>
            </w:r>
          </w:p>
        </w:tc>
        <w:tc>
          <w:tcPr>
            <w:tcW w:w="1440" w:type="dxa"/>
            <w:tcBorders>
              <w:top w:val="single" w:sz="4" w:space="0" w:color="auto"/>
              <w:bottom w:val="double" w:sz="4" w:space="0" w:color="auto"/>
            </w:tcBorders>
            <w:shd w:val="clear" w:color="auto" w:fill="auto"/>
            <w:tcMar>
              <w:left w:w="58" w:type="dxa"/>
              <w:right w:w="58" w:type="dxa"/>
            </w:tcMar>
            <w:vAlign w:val="bottom"/>
          </w:tcPr>
          <w:p w14:paraId="0D3857A2" w14:textId="4E0D7A35" w:rsidR="0099487D" w:rsidRPr="001E6526" w:rsidRDefault="0099487D" w:rsidP="0099487D">
            <w:pPr>
              <w:spacing w:after="0"/>
              <w:jc w:val="right"/>
              <w:rPr>
                <w:rFonts w:ascii="Arial" w:hAnsi="Arial" w:cs="Arial"/>
                <w:b/>
                <w:bCs/>
                <w:color w:val="000000"/>
                <w:lang w:val="mk-MK"/>
              </w:rPr>
            </w:pPr>
            <w:r w:rsidRPr="001E6526">
              <w:rPr>
                <w:rFonts w:ascii="Arial" w:hAnsi="Arial" w:cs="Arial"/>
                <w:b/>
                <w:bCs/>
                <w:color w:val="000000"/>
                <w:lang w:val="mk-MK"/>
              </w:rPr>
              <w:t>11,596</w:t>
            </w:r>
          </w:p>
        </w:tc>
      </w:tr>
      <w:bookmarkEnd w:id="9"/>
    </w:tbl>
    <w:p w14:paraId="55891B4B" w14:textId="77777777" w:rsidR="00F93B95" w:rsidRPr="001E6526" w:rsidRDefault="00F93B95" w:rsidP="00F93B95">
      <w:pPr>
        <w:pStyle w:val="BodyText"/>
        <w:spacing w:after="0"/>
        <w:rPr>
          <w:rFonts w:ascii="Arial" w:hAnsi="Arial" w:cs="Arial"/>
          <w:lang w:val="mk-MK"/>
        </w:rPr>
      </w:pPr>
    </w:p>
    <w:p w14:paraId="07E8E723" w14:textId="77B63C29" w:rsidR="00F93B95" w:rsidRPr="001E6526" w:rsidRDefault="00926A76" w:rsidP="00F93B95">
      <w:pPr>
        <w:pStyle w:val="BodyText"/>
        <w:rPr>
          <w:rFonts w:ascii="Arial" w:hAnsi="Arial" w:cs="Arial"/>
          <w:lang w:val="mk-MK"/>
        </w:rPr>
      </w:pPr>
      <w:proofErr w:type="spellStart"/>
      <w:r w:rsidRPr="00926A76">
        <w:rPr>
          <w:rFonts w:ascii="Arial" w:hAnsi="Arial" w:cs="Arial"/>
          <w:lang w:val="mk-MK"/>
        </w:rPr>
        <w:t>Receivables</w:t>
      </w:r>
      <w:proofErr w:type="spellEnd"/>
      <w:r w:rsidRPr="00926A76">
        <w:rPr>
          <w:rFonts w:ascii="Arial" w:hAnsi="Arial" w:cs="Arial"/>
          <w:lang w:val="mk-MK"/>
        </w:rPr>
        <w:t xml:space="preserve"> </w:t>
      </w:r>
      <w:proofErr w:type="spellStart"/>
      <w:r w:rsidRPr="00926A76">
        <w:rPr>
          <w:rFonts w:ascii="Arial" w:hAnsi="Arial" w:cs="Arial"/>
          <w:lang w:val="mk-MK"/>
        </w:rPr>
        <w:t>for</w:t>
      </w:r>
      <w:proofErr w:type="spellEnd"/>
      <w:r w:rsidRPr="00926A76">
        <w:rPr>
          <w:rFonts w:ascii="Arial" w:hAnsi="Arial" w:cs="Arial"/>
          <w:lang w:val="mk-MK"/>
        </w:rPr>
        <w:t xml:space="preserve"> </w:t>
      </w:r>
      <w:proofErr w:type="spellStart"/>
      <w:r w:rsidRPr="00926A76">
        <w:rPr>
          <w:rFonts w:ascii="Arial" w:hAnsi="Arial" w:cs="Arial"/>
          <w:lang w:val="mk-MK"/>
        </w:rPr>
        <w:t>insurance</w:t>
      </w:r>
      <w:proofErr w:type="spellEnd"/>
      <w:r w:rsidRPr="00926A76">
        <w:rPr>
          <w:rFonts w:ascii="Arial" w:hAnsi="Arial" w:cs="Arial"/>
          <w:lang w:val="mk-MK"/>
        </w:rPr>
        <w:t xml:space="preserve"> </w:t>
      </w:r>
      <w:proofErr w:type="spellStart"/>
      <w:r w:rsidRPr="00926A76">
        <w:rPr>
          <w:rFonts w:ascii="Arial" w:hAnsi="Arial" w:cs="Arial"/>
          <w:lang w:val="mk-MK"/>
        </w:rPr>
        <w:t>premium</w:t>
      </w:r>
      <w:proofErr w:type="spellEnd"/>
      <w:r w:rsidRPr="00926A76">
        <w:rPr>
          <w:rFonts w:ascii="Arial" w:hAnsi="Arial" w:cs="Arial"/>
          <w:lang w:val="mk-MK"/>
        </w:rPr>
        <w:t xml:space="preserve"> </w:t>
      </w:r>
      <w:r w:rsidR="00170323">
        <w:rPr>
          <w:rFonts w:ascii="Arial" w:hAnsi="Arial" w:cs="Arial"/>
          <w:lang w:val="en-US"/>
        </w:rPr>
        <w:t>for</w:t>
      </w:r>
      <w:r w:rsidR="00170323">
        <w:rPr>
          <w:rFonts w:ascii="Arial" w:hAnsi="Arial" w:cs="Arial"/>
          <w:lang w:val="mk-MK"/>
        </w:rPr>
        <w:t xml:space="preserve"> 2020 </w:t>
      </w:r>
      <w:proofErr w:type="spellStart"/>
      <w:r w:rsidRPr="00926A76">
        <w:rPr>
          <w:rFonts w:ascii="Arial" w:hAnsi="Arial" w:cs="Arial"/>
          <w:lang w:val="mk-MK"/>
        </w:rPr>
        <w:t>refer</w:t>
      </w:r>
      <w:proofErr w:type="spellEnd"/>
      <w:r w:rsidRPr="00926A76">
        <w:rPr>
          <w:rFonts w:ascii="Arial" w:hAnsi="Arial" w:cs="Arial"/>
          <w:lang w:val="mk-MK"/>
        </w:rPr>
        <w:t xml:space="preserve"> </w:t>
      </w:r>
      <w:proofErr w:type="spellStart"/>
      <w:r w:rsidRPr="00926A76">
        <w:rPr>
          <w:rFonts w:ascii="Arial" w:hAnsi="Arial" w:cs="Arial"/>
          <w:lang w:val="mk-MK"/>
        </w:rPr>
        <w:t>to</w:t>
      </w:r>
      <w:proofErr w:type="spellEnd"/>
      <w:r w:rsidRPr="00926A76">
        <w:rPr>
          <w:rFonts w:ascii="Arial" w:hAnsi="Arial" w:cs="Arial"/>
          <w:lang w:val="mk-MK"/>
        </w:rPr>
        <w:t xml:space="preserve"> </w:t>
      </w:r>
      <w:proofErr w:type="spellStart"/>
      <w:r w:rsidRPr="00926A76">
        <w:rPr>
          <w:rFonts w:ascii="Arial" w:hAnsi="Arial" w:cs="Arial"/>
          <w:lang w:val="mk-MK"/>
        </w:rPr>
        <w:t>unpaid</w:t>
      </w:r>
      <w:proofErr w:type="spellEnd"/>
      <w:r w:rsidRPr="00926A76">
        <w:rPr>
          <w:rFonts w:ascii="Arial" w:hAnsi="Arial" w:cs="Arial"/>
          <w:lang w:val="mk-MK"/>
        </w:rPr>
        <w:t xml:space="preserve"> </w:t>
      </w:r>
      <w:proofErr w:type="spellStart"/>
      <w:r w:rsidRPr="00926A76">
        <w:rPr>
          <w:rFonts w:ascii="Arial" w:hAnsi="Arial" w:cs="Arial"/>
          <w:lang w:val="mk-MK"/>
        </w:rPr>
        <w:t>premium</w:t>
      </w:r>
      <w:proofErr w:type="spellEnd"/>
      <w:r w:rsidRPr="00926A76">
        <w:rPr>
          <w:rFonts w:ascii="Arial" w:hAnsi="Arial" w:cs="Arial"/>
          <w:lang w:val="mk-MK"/>
        </w:rPr>
        <w:t xml:space="preserve"> </w:t>
      </w:r>
      <w:proofErr w:type="spellStart"/>
      <w:r w:rsidRPr="00926A76">
        <w:rPr>
          <w:rFonts w:ascii="Arial" w:hAnsi="Arial" w:cs="Arial"/>
          <w:lang w:val="mk-MK"/>
        </w:rPr>
        <w:t>from</w:t>
      </w:r>
      <w:proofErr w:type="spellEnd"/>
      <w:r w:rsidRPr="00926A76">
        <w:rPr>
          <w:rFonts w:ascii="Arial" w:hAnsi="Arial" w:cs="Arial"/>
          <w:lang w:val="mk-MK"/>
        </w:rPr>
        <w:t xml:space="preserve"> NLB </w:t>
      </w:r>
      <w:proofErr w:type="spellStart"/>
      <w:r w:rsidRPr="00926A76">
        <w:rPr>
          <w:rFonts w:ascii="Arial" w:hAnsi="Arial" w:cs="Arial"/>
          <w:lang w:val="mk-MK"/>
        </w:rPr>
        <w:t>Bank</w:t>
      </w:r>
      <w:proofErr w:type="spellEnd"/>
      <w:r w:rsidRPr="00926A76">
        <w:rPr>
          <w:rFonts w:ascii="Arial" w:hAnsi="Arial" w:cs="Arial"/>
          <w:lang w:val="mk-MK"/>
        </w:rPr>
        <w:t xml:space="preserve"> </w:t>
      </w:r>
      <w:proofErr w:type="spellStart"/>
      <w:r w:rsidRPr="00926A76">
        <w:rPr>
          <w:rFonts w:ascii="Arial" w:hAnsi="Arial" w:cs="Arial"/>
          <w:lang w:val="mk-MK"/>
        </w:rPr>
        <w:t>for</w:t>
      </w:r>
      <w:proofErr w:type="spellEnd"/>
      <w:r w:rsidRPr="00926A76">
        <w:rPr>
          <w:rFonts w:ascii="Arial" w:hAnsi="Arial" w:cs="Arial"/>
          <w:lang w:val="mk-MK"/>
        </w:rPr>
        <w:t xml:space="preserve"> </w:t>
      </w:r>
      <w:proofErr w:type="spellStart"/>
      <w:r w:rsidRPr="00926A76">
        <w:rPr>
          <w:rFonts w:ascii="Arial" w:hAnsi="Arial" w:cs="Arial"/>
          <w:lang w:val="mk-MK"/>
        </w:rPr>
        <w:t>the</w:t>
      </w:r>
      <w:proofErr w:type="spellEnd"/>
      <w:r w:rsidRPr="00926A76">
        <w:rPr>
          <w:rFonts w:ascii="Arial" w:hAnsi="Arial" w:cs="Arial"/>
          <w:lang w:val="mk-MK"/>
        </w:rPr>
        <w:t xml:space="preserve"> </w:t>
      </w:r>
      <w:proofErr w:type="spellStart"/>
      <w:r w:rsidRPr="00926A76">
        <w:rPr>
          <w:rFonts w:ascii="Arial" w:hAnsi="Arial" w:cs="Arial"/>
          <w:lang w:val="mk-MK"/>
        </w:rPr>
        <w:t>month</w:t>
      </w:r>
      <w:proofErr w:type="spellEnd"/>
      <w:r w:rsidRPr="00926A76">
        <w:rPr>
          <w:rFonts w:ascii="Arial" w:hAnsi="Arial" w:cs="Arial"/>
          <w:lang w:val="mk-MK"/>
        </w:rPr>
        <w:t xml:space="preserve"> </w:t>
      </w:r>
      <w:proofErr w:type="spellStart"/>
      <w:r w:rsidRPr="00926A76">
        <w:rPr>
          <w:rFonts w:ascii="Arial" w:hAnsi="Arial" w:cs="Arial"/>
          <w:lang w:val="mk-MK"/>
        </w:rPr>
        <w:t>of</w:t>
      </w:r>
      <w:proofErr w:type="spellEnd"/>
      <w:r w:rsidRPr="00926A76">
        <w:rPr>
          <w:rFonts w:ascii="Arial" w:hAnsi="Arial" w:cs="Arial"/>
          <w:lang w:val="mk-MK"/>
        </w:rPr>
        <w:t xml:space="preserve"> </w:t>
      </w:r>
      <w:proofErr w:type="spellStart"/>
      <w:r w:rsidRPr="00926A76">
        <w:rPr>
          <w:rFonts w:ascii="Arial" w:hAnsi="Arial" w:cs="Arial"/>
          <w:lang w:val="mk-MK"/>
        </w:rPr>
        <w:t>December</w:t>
      </w:r>
      <w:proofErr w:type="spellEnd"/>
      <w:r w:rsidRPr="00926A76">
        <w:rPr>
          <w:rFonts w:ascii="Arial" w:hAnsi="Arial" w:cs="Arial"/>
          <w:lang w:val="mk-MK"/>
        </w:rPr>
        <w:t xml:space="preserve"> 2020</w:t>
      </w:r>
      <w:r w:rsidR="00F93B95" w:rsidRPr="001E6526">
        <w:rPr>
          <w:rFonts w:ascii="Arial" w:hAnsi="Arial" w:cs="Arial"/>
          <w:lang w:val="mk-MK"/>
        </w:rPr>
        <w:t>.</w:t>
      </w:r>
    </w:p>
    <w:p w14:paraId="0E173045" w14:textId="5E63B6D1" w:rsidR="00F93B95" w:rsidRPr="00CE3053" w:rsidRDefault="003B3BBA" w:rsidP="0061511C">
      <w:pPr>
        <w:pStyle w:val="NumberedHeading1"/>
        <w:numPr>
          <w:ilvl w:val="0"/>
          <w:numId w:val="22"/>
        </w:numPr>
        <w:spacing w:before="0" w:after="0" w:line="260" w:lineRule="atLeast"/>
        <w:rPr>
          <w:rFonts w:ascii="Arial" w:hAnsi="Arial" w:cs="Arial"/>
          <w:b/>
          <w:color w:val="4F2D7F"/>
          <w:sz w:val="18"/>
          <w:lang w:val="mk-MK"/>
        </w:rPr>
      </w:pPr>
      <w:r>
        <w:rPr>
          <w:rFonts w:ascii="Arial" w:hAnsi="Arial" w:cs="Arial"/>
          <w:b/>
          <w:color w:val="4F2D7F"/>
          <w:sz w:val="18"/>
          <w:lang w:val="en-US"/>
        </w:rPr>
        <w:t>Equity</w:t>
      </w:r>
    </w:p>
    <w:p w14:paraId="2AA377C5" w14:textId="522F4027" w:rsidR="00F93B95" w:rsidRPr="003B3BBA" w:rsidRDefault="003B3BBA" w:rsidP="00F93B95">
      <w:pPr>
        <w:pStyle w:val="Heading4"/>
        <w:rPr>
          <w:rFonts w:ascii="Arial" w:hAnsi="Arial" w:cs="Arial"/>
          <w:lang w:val="en-US"/>
        </w:rPr>
      </w:pPr>
      <w:r>
        <w:rPr>
          <w:rFonts w:ascii="Arial" w:hAnsi="Arial" w:cs="Arial"/>
          <w:lang w:val="en-US"/>
        </w:rPr>
        <w:t>Paid capital</w:t>
      </w:r>
    </w:p>
    <w:p w14:paraId="5C369CF4" w14:textId="209BB35D" w:rsidR="00F93B95" w:rsidRPr="00CE3053" w:rsidRDefault="003B3BBA" w:rsidP="00F93B95">
      <w:pPr>
        <w:pStyle w:val="BodyText"/>
        <w:jc w:val="both"/>
        <w:rPr>
          <w:rFonts w:ascii="Arial" w:hAnsi="Arial" w:cs="Arial"/>
          <w:lang w:val="mk-MK"/>
        </w:rPr>
      </w:pPr>
      <w:proofErr w:type="spellStart"/>
      <w:r w:rsidRPr="003B3BBA">
        <w:rPr>
          <w:rFonts w:ascii="Arial" w:hAnsi="Arial" w:cs="Arial"/>
          <w:lang w:val="mk-MK"/>
        </w:rPr>
        <w:t>The</w:t>
      </w:r>
      <w:proofErr w:type="spellEnd"/>
      <w:r w:rsidRPr="003B3BBA">
        <w:rPr>
          <w:rFonts w:ascii="Arial" w:hAnsi="Arial" w:cs="Arial"/>
          <w:lang w:val="mk-MK"/>
        </w:rPr>
        <w:t xml:space="preserve"> </w:t>
      </w:r>
      <w:proofErr w:type="spellStart"/>
      <w:r w:rsidRPr="003B3BBA">
        <w:rPr>
          <w:rFonts w:ascii="Arial" w:hAnsi="Arial" w:cs="Arial"/>
          <w:lang w:val="mk-MK"/>
        </w:rPr>
        <w:t>founder’s</w:t>
      </w:r>
      <w:proofErr w:type="spellEnd"/>
      <w:r w:rsidRPr="003B3BBA">
        <w:rPr>
          <w:rFonts w:ascii="Arial" w:hAnsi="Arial" w:cs="Arial"/>
          <w:lang w:val="mk-MK"/>
        </w:rPr>
        <w:t xml:space="preserve"> </w:t>
      </w:r>
      <w:proofErr w:type="spellStart"/>
      <w:r w:rsidRPr="003B3BBA">
        <w:rPr>
          <w:rFonts w:ascii="Arial" w:hAnsi="Arial" w:cs="Arial"/>
          <w:lang w:val="mk-MK"/>
        </w:rPr>
        <w:t>capital</w:t>
      </w:r>
      <w:proofErr w:type="spellEnd"/>
      <w:r w:rsidRPr="003B3BBA">
        <w:rPr>
          <w:rFonts w:ascii="Arial" w:hAnsi="Arial" w:cs="Arial"/>
          <w:lang w:val="mk-MK"/>
        </w:rPr>
        <w:t xml:space="preserve"> </w:t>
      </w:r>
      <w:proofErr w:type="spellStart"/>
      <w:r w:rsidRPr="003B3BBA">
        <w:rPr>
          <w:rFonts w:ascii="Arial" w:hAnsi="Arial" w:cs="Arial"/>
          <w:lang w:val="mk-MK"/>
        </w:rPr>
        <w:t>of</w:t>
      </w:r>
      <w:proofErr w:type="spellEnd"/>
      <w:r w:rsidRPr="003B3BBA">
        <w:rPr>
          <w:rFonts w:ascii="Arial" w:hAnsi="Arial" w:cs="Arial"/>
          <w:lang w:val="mk-MK"/>
        </w:rPr>
        <w:t xml:space="preserve"> </w:t>
      </w:r>
      <w:proofErr w:type="spellStart"/>
      <w:r w:rsidRPr="003B3BBA">
        <w:rPr>
          <w:rFonts w:ascii="Arial" w:hAnsi="Arial" w:cs="Arial"/>
          <w:lang w:val="mk-MK"/>
        </w:rPr>
        <w:t>the</w:t>
      </w:r>
      <w:proofErr w:type="spellEnd"/>
      <w:r w:rsidRPr="003B3BBA">
        <w:rPr>
          <w:rFonts w:ascii="Arial" w:hAnsi="Arial" w:cs="Arial"/>
          <w:lang w:val="mk-MK"/>
        </w:rPr>
        <w:t xml:space="preserve"> </w:t>
      </w:r>
      <w:proofErr w:type="spellStart"/>
      <w:r w:rsidRPr="003B3BBA">
        <w:rPr>
          <w:rFonts w:ascii="Arial" w:hAnsi="Arial" w:cs="Arial"/>
          <w:lang w:val="mk-MK"/>
        </w:rPr>
        <w:t>Fund</w:t>
      </w:r>
      <w:proofErr w:type="spellEnd"/>
      <w:r w:rsidRPr="003B3BBA">
        <w:rPr>
          <w:rFonts w:ascii="Arial" w:hAnsi="Arial" w:cs="Arial"/>
          <w:lang w:val="mk-MK"/>
        </w:rPr>
        <w:t xml:space="preserve"> </w:t>
      </w:r>
      <w:proofErr w:type="spellStart"/>
      <w:r w:rsidRPr="003B3BBA">
        <w:rPr>
          <w:rFonts w:ascii="Arial" w:hAnsi="Arial" w:cs="Arial"/>
          <w:lang w:val="mk-MK"/>
        </w:rPr>
        <w:t>is</w:t>
      </w:r>
      <w:proofErr w:type="spellEnd"/>
      <w:r w:rsidRPr="003B3BBA">
        <w:rPr>
          <w:rFonts w:ascii="Arial" w:hAnsi="Arial" w:cs="Arial"/>
          <w:lang w:val="mk-MK"/>
        </w:rPr>
        <w:t xml:space="preserve"> </w:t>
      </w:r>
      <w:proofErr w:type="spellStart"/>
      <w:r w:rsidRPr="003B3BBA">
        <w:rPr>
          <w:rFonts w:ascii="Arial" w:hAnsi="Arial" w:cs="Arial"/>
          <w:lang w:val="mk-MK"/>
        </w:rPr>
        <w:t>owned</w:t>
      </w:r>
      <w:proofErr w:type="spellEnd"/>
      <w:r w:rsidRPr="003B3BBA">
        <w:rPr>
          <w:rFonts w:ascii="Arial" w:hAnsi="Arial" w:cs="Arial"/>
          <w:lang w:val="mk-MK"/>
        </w:rPr>
        <w:t xml:space="preserve"> </w:t>
      </w:r>
      <w:proofErr w:type="spellStart"/>
      <w:r w:rsidRPr="003B3BBA">
        <w:rPr>
          <w:rFonts w:ascii="Arial" w:hAnsi="Arial" w:cs="Arial"/>
          <w:lang w:val="mk-MK"/>
        </w:rPr>
        <w:t>by</w:t>
      </w:r>
      <w:proofErr w:type="spellEnd"/>
      <w:r w:rsidRPr="003B3BBA">
        <w:rPr>
          <w:rFonts w:ascii="Arial" w:hAnsi="Arial" w:cs="Arial"/>
          <w:lang w:val="mk-MK"/>
        </w:rPr>
        <w:t xml:space="preserve"> </w:t>
      </w:r>
      <w:proofErr w:type="spellStart"/>
      <w:r w:rsidRPr="003B3BBA">
        <w:rPr>
          <w:rFonts w:ascii="Arial" w:hAnsi="Arial" w:cs="Arial"/>
          <w:lang w:val="mk-MK"/>
        </w:rPr>
        <w:t>the</w:t>
      </w:r>
      <w:proofErr w:type="spellEnd"/>
      <w:r w:rsidRPr="003B3BBA">
        <w:rPr>
          <w:rFonts w:ascii="Arial" w:hAnsi="Arial" w:cs="Arial"/>
          <w:lang w:val="mk-MK"/>
        </w:rPr>
        <w:t xml:space="preserve"> </w:t>
      </w:r>
      <w:proofErr w:type="spellStart"/>
      <w:r w:rsidRPr="003B3BBA">
        <w:rPr>
          <w:rFonts w:ascii="Arial" w:hAnsi="Arial" w:cs="Arial"/>
          <w:lang w:val="mk-MK"/>
        </w:rPr>
        <w:t>Republic</w:t>
      </w:r>
      <w:proofErr w:type="spellEnd"/>
      <w:r w:rsidRPr="003B3BBA">
        <w:rPr>
          <w:rFonts w:ascii="Arial" w:hAnsi="Arial" w:cs="Arial"/>
          <w:lang w:val="mk-MK"/>
        </w:rPr>
        <w:t xml:space="preserve"> </w:t>
      </w:r>
      <w:proofErr w:type="spellStart"/>
      <w:r w:rsidRPr="003B3BBA">
        <w:rPr>
          <w:rFonts w:ascii="Arial" w:hAnsi="Arial" w:cs="Arial"/>
          <w:lang w:val="mk-MK"/>
        </w:rPr>
        <w:t>of</w:t>
      </w:r>
      <w:proofErr w:type="spellEnd"/>
      <w:r w:rsidRPr="003B3BBA">
        <w:rPr>
          <w:rFonts w:ascii="Arial" w:hAnsi="Arial" w:cs="Arial"/>
          <w:lang w:val="mk-MK"/>
        </w:rPr>
        <w:t xml:space="preserve"> </w:t>
      </w:r>
      <w:proofErr w:type="spellStart"/>
      <w:r w:rsidRPr="003B3BBA">
        <w:rPr>
          <w:rFonts w:ascii="Arial" w:hAnsi="Arial" w:cs="Arial"/>
          <w:lang w:val="mk-MK"/>
        </w:rPr>
        <w:t>North</w:t>
      </w:r>
      <w:proofErr w:type="spellEnd"/>
      <w:r w:rsidRPr="003B3BBA">
        <w:rPr>
          <w:rFonts w:ascii="Arial" w:hAnsi="Arial" w:cs="Arial"/>
          <w:lang w:val="mk-MK"/>
        </w:rPr>
        <w:t xml:space="preserve"> </w:t>
      </w:r>
      <w:proofErr w:type="spellStart"/>
      <w:r w:rsidRPr="003B3BBA">
        <w:rPr>
          <w:rFonts w:ascii="Arial" w:hAnsi="Arial" w:cs="Arial"/>
          <w:lang w:val="mk-MK"/>
        </w:rPr>
        <w:t>Macedonia</w:t>
      </w:r>
      <w:proofErr w:type="spellEnd"/>
      <w:r w:rsidRPr="003B3BBA">
        <w:rPr>
          <w:rFonts w:ascii="Arial" w:hAnsi="Arial" w:cs="Arial"/>
          <w:lang w:val="mk-MK"/>
        </w:rPr>
        <w:t xml:space="preserve"> </w:t>
      </w:r>
      <w:proofErr w:type="spellStart"/>
      <w:r w:rsidRPr="003B3BBA">
        <w:rPr>
          <w:rFonts w:ascii="Arial" w:hAnsi="Arial" w:cs="Arial"/>
          <w:lang w:val="mk-MK"/>
        </w:rPr>
        <w:t>and</w:t>
      </w:r>
      <w:proofErr w:type="spellEnd"/>
      <w:r w:rsidRPr="003B3BBA">
        <w:rPr>
          <w:rFonts w:ascii="Arial" w:hAnsi="Arial" w:cs="Arial"/>
          <w:lang w:val="mk-MK"/>
        </w:rPr>
        <w:t xml:space="preserve"> </w:t>
      </w:r>
      <w:proofErr w:type="spellStart"/>
      <w:r w:rsidRPr="003B3BBA">
        <w:rPr>
          <w:rFonts w:ascii="Arial" w:hAnsi="Arial" w:cs="Arial"/>
          <w:lang w:val="mk-MK"/>
        </w:rPr>
        <w:t>as</w:t>
      </w:r>
      <w:proofErr w:type="spellEnd"/>
      <w:r w:rsidRPr="003B3BBA">
        <w:rPr>
          <w:rFonts w:ascii="Arial" w:hAnsi="Arial" w:cs="Arial"/>
          <w:lang w:val="mk-MK"/>
        </w:rPr>
        <w:t xml:space="preserve"> </w:t>
      </w:r>
      <w:proofErr w:type="spellStart"/>
      <w:r w:rsidRPr="003B3BBA">
        <w:rPr>
          <w:rFonts w:ascii="Arial" w:hAnsi="Arial" w:cs="Arial"/>
          <w:lang w:val="mk-MK"/>
        </w:rPr>
        <w:t>of</w:t>
      </w:r>
      <w:proofErr w:type="spellEnd"/>
      <w:r w:rsidRPr="003B3BBA">
        <w:rPr>
          <w:rFonts w:ascii="Arial" w:hAnsi="Arial" w:cs="Arial"/>
          <w:lang w:val="mk-MK"/>
        </w:rPr>
        <w:t xml:space="preserve"> </w:t>
      </w:r>
      <w:r w:rsidR="00F93B95" w:rsidRPr="00CE3053">
        <w:rPr>
          <w:rFonts w:ascii="Arial" w:hAnsi="Arial" w:cs="Arial"/>
          <w:lang w:val="mk-MK"/>
        </w:rPr>
        <w:t xml:space="preserve">31 </w:t>
      </w:r>
      <w:r>
        <w:rPr>
          <w:rFonts w:ascii="Arial" w:hAnsi="Arial" w:cs="Arial"/>
          <w:lang w:val="en-US"/>
        </w:rPr>
        <w:t>December</w:t>
      </w:r>
      <w:r w:rsidR="00F93B95" w:rsidRPr="00CE3053">
        <w:rPr>
          <w:rFonts w:ascii="Arial" w:hAnsi="Arial" w:cs="Arial"/>
          <w:lang w:val="mk-MK"/>
        </w:rPr>
        <w:t xml:space="preserve"> 202</w:t>
      </w:r>
      <w:r w:rsidR="00861600" w:rsidRPr="00CE3053">
        <w:rPr>
          <w:rFonts w:ascii="Arial" w:hAnsi="Arial" w:cs="Arial"/>
          <w:lang w:val="mk-MK"/>
        </w:rPr>
        <w:t>1</w:t>
      </w:r>
      <w:r w:rsidR="00F93B95" w:rsidRPr="00CE3053">
        <w:rPr>
          <w:rFonts w:ascii="Arial" w:hAnsi="Arial" w:cs="Arial"/>
          <w:lang w:val="mk-MK"/>
        </w:rPr>
        <w:t xml:space="preserve"> </w:t>
      </w:r>
      <w:proofErr w:type="spellStart"/>
      <w:r w:rsidRPr="003B3BBA">
        <w:rPr>
          <w:rFonts w:ascii="Arial" w:hAnsi="Arial" w:cs="Arial"/>
          <w:lang w:val="mk-MK"/>
        </w:rPr>
        <w:t>is</w:t>
      </w:r>
      <w:proofErr w:type="spellEnd"/>
      <w:r w:rsidRPr="003B3BBA">
        <w:rPr>
          <w:rFonts w:ascii="Arial" w:hAnsi="Arial" w:cs="Arial"/>
          <w:lang w:val="mk-MK"/>
        </w:rPr>
        <w:t xml:space="preserve"> </w:t>
      </w:r>
      <w:proofErr w:type="spellStart"/>
      <w:r w:rsidRPr="003B3BBA">
        <w:rPr>
          <w:rFonts w:ascii="Arial" w:hAnsi="Arial" w:cs="Arial"/>
          <w:lang w:val="mk-MK"/>
        </w:rPr>
        <w:t>in</w:t>
      </w:r>
      <w:proofErr w:type="spellEnd"/>
      <w:r w:rsidRPr="003B3BBA">
        <w:rPr>
          <w:rFonts w:ascii="Arial" w:hAnsi="Arial" w:cs="Arial"/>
          <w:lang w:val="mk-MK"/>
        </w:rPr>
        <w:t xml:space="preserve"> </w:t>
      </w:r>
      <w:proofErr w:type="spellStart"/>
      <w:r w:rsidRPr="003B3BBA">
        <w:rPr>
          <w:rFonts w:ascii="Arial" w:hAnsi="Arial" w:cs="Arial"/>
          <w:lang w:val="mk-MK"/>
        </w:rPr>
        <w:t>amount</w:t>
      </w:r>
      <w:proofErr w:type="spellEnd"/>
      <w:r w:rsidRPr="003B3BBA">
        <w:rPr>
          <w:rFonts w:ascii="Arial" w:hAnsi="Arial" w:cs="Arial"/>
          <w:lang w:val="mk-MK"/>
        </w:rPr>
        <w:t xml:space="preserve"> </w:t>
      </w:r>
      <w:proofErr w:type="spellStart"/>
      <w:r w:rsidRPr="003B3BBA">
        <w:rPr>
          <w:rFonts w:ascii="Arial" w:hAnsi="Arial" w:cs="Arial"/>
          <w:lang w:val="mk-MK"/>
        </w:rPr>
        <w:t>of</w:t>
      </w:r>
      <w:proofErr w:type="spellEnd"/>
      <w:r w:rsidRPr="003B3BBA">
        <w:rPr>
          <w:rFonts w:ascii="Arial" w:hAnsi="Arial" w:cs="Arial"/>
          <w:lang w:val="mk-MK"/>
        </w:rPr>
        <w:t xml:space="preserve"> </w:t>
      </w:r>
      <w:proofErr w:type="spellStart"/>
      <w:r w:rsidRPr="003B3BBA">
        <w:rPr>
          <w:rFonts w:ascii="Arial" w:hAnsi="Arial" w:cs="Arial"/>
          <w:lang w:val="mk-MK"/>
        </w:rPr>
        <w:t>Denar</w:t>
      </w:r>
      <w:proofErr w:type="spellEnd"/>
      <w:r w:rsidRPr="003B3BBA">
        <w:rPr>
          <w:rFonts w:ascii="Arial" w:hAnsi="Arial" w:cs="Arial"/>
          <w:lang w:val="mk-MK"/>
        </w:rPr>
        <w:t xml:space="preserve"> </w:t>
      </w:r>
      <w:r w:rsidR="00F93B95" w:rsidRPr="00CE3053">
        <w:rPr>
          <w:rFonts w:ascii="Arial" w:hAnsi="Arial" w:cs="Arial"/>
          <w:lang w:val="mk-MK"/>
        </w:rPr>
        <w:t xml:space="preserve">10,300 </w:t>
      </w:r>
      <w:proofErr w:type="spellStart"/>
      <w:r>
        <w:rPr>
          <w:rFonts w:ascii="Arial" w:hAnsi="Arial" w:cs="Arial"/>
          <w:lang w:val="en-US"/>
        </w:rPr>
        <w:t>thoudsand</w:t>
      </w:r>
      <w:proofErr w:type="spellEnd"/>
      <w:r w:rsidR="00F93B95" w:rsidRPr="00CE3053">
        <w:rPr>
          <w:rFonts w:ascii="Arial" w:hAnsi="Arial" w:cs="Arial"/>
          <w:lang w:val="mk-MK"/>
        </w:rPr>
        <w:t xml:space="preserve"> (20</w:t>
      </w:r>
      <w:r w:rsidR="00861600" w:rsidRPr="00CE3053">
        <w:rPr>
          <w:rFonts w:ascii="Arial" w:hAnsi="Arial" w:cs="Arial"/>
          <w:lang w:val="mk-MK"/>
        </w:rPr>
        <w:t>20</w:t>
      </w:r>
      <w:r w:rsidR="00F93B95" w:rsidRPr="00CE3053">
        <w:rPr>
          <w:rFonts w:ascii="Arial" w:hAnsi="Arial" w:cs="Arial"/>
          <w:lang w:val="mk-MK"/>
        </w:rPr>
        <w:t xml:space="preserve">: </w:t>
      </w:r>
      <w:r>
        <w:rPr>
          <w:rFonts w:ascii="Arial" w:hAnsi="Arial" w:cs="Arial"/>
          <w:lang w:val="en-US"/>
        </w:rPr>
        <w:t xml:space="preserve">Denar </w:t>
      </w:r>
      <w:r w:rsidR="00F93B95" w:rsidRPr="00CE3053">
        <w:rPr>
          <w:rFonts w:ascii="Arial" w:hAnsi="Arial" w:cs="Arial"/>
          <w:lang w:val="mk-MK"/>
        </w:rPr>
        <w:t xml:space="preserve">10,300 </w:t>
      </w:r>
      <w:r>
        <w:rPr>
          <w:rFonts w:ascii="Arial" w:hAnsi="Arial" w:cs="Arial"/>
          <w:lang w:val="en-US"/>
        </w:rPr>
        <w:t>thousand</w:t>
      </w:r>
      <w:r w:rsidR="00F93B95" w:rsidRPr="00CE3053">
        <w:rPr>
          <w:rFonts w:ascii="Arial" w:hAnsi="Arial" w:cs="Arial"/>
          <w:lang w:val="mk-MK"/>
        </w:rPr>
        <w:t>).</w:t>
      </w:r>
    </w:p>
    <w:p w14:paraId="3630150F" w14:textId="0C1AC170" w:rsidR="00F93B95" w:rsidRPr="00835B1D" w:rsidRDefault="00835B1D" w:rsidP="00F93B95">
      <w:pPr>
        <w:pStyle w:val="Heading4"/>
        <w:jc w:val="both"/>
        <w:rPr>
          <w:rFonts w:ascii="Arial" w:hAnsi="Arial" w:cs="Arial"/>
          <w:lang w:val="en-US"/>
        </w:rPr>
      </w:pPr>
      <w:r>
        <w:rPr>
          <w:rFonts w:ascii="Arial" w:hAnsi="Arial" w:cs="Arial"/>
          <w:lang w:val="en-US"/>
        </w:rPr>
        <w:t>Insurance Fond</w:t>
      </w:r>
    </w:p>
    <w:p w14:paraId="6DA4A0CF" w14:textId="204E19AD" w:rsidR="00F93B95" w:rsidRPr="00CE3053" w:rsidRDefault="00835B1D" w:rsidP="00F93B95">
      <w:pPr>
        <w:pStyle w:val="BodyText"/>
        <w:spacing w:after="284"/>
        <w:jc w:val="both"/>
        <w:rPr>
          <w:rFonts w:ascii="Arial" w:hAnsi="Arial" w:cs="Arial"/>
          <w:lang w:val="mk-MK"/>
        </w:rPr>
      </w:pPr>
      <w:proofErr w:type="spellStart"/>
      <w:r w:rsidRPr="00835B1D">
        <w:rPr>
          <w:rFonts w:ascii="Arial" w:hAnsi="Arial" w:cs="Arial"/>
          <w:lang w:val="mk-MK"/>
        </w:rPr>
        <w:t>As</w:t>
      </w:r>
      <w:proofErr w:type="spellEnd"/>
      <w:r w:rsidRPr="00835B1D">
        <w:rPr>
          <w:rFonts w:ascii="Arial" w:hAnsi="Arial" w:cs="Arial"/>
          <w:lang w:val="mk-MK"/>
        </w:rPr>
        <w:t xml:space="preserve"> </w:t>
      </w:r>
      <w:proofErr w:type="spellStart"/>
      <w:r w:rsidRPr="00835B1D">
        <w:rPr>
          <w:rFonts w:ascii="Arial" w:hAnsi="Arial" w:cs="Arial"/>
          <w:lang w:val="mk-MK"/>
        </w:rPr>
        <w:t>of</w:t>
      </w:r>
      <w:proofErr w:type="spellEnd"/>
      <w:r w:rsidRPr="00835B1D">
        <w:rPr>
          <w:rFonts w:ascii="Arial" w:hAnsi="Arial" w:cs="Arial"/>
          <w:lang w:val="mk-MK"/>
        </w:rPr>
        <w:t xml:space="preserve"> </w:t>
      </w:r>
      <w:proofErr w:type="spellStart"/>
      <w:r w:rsidRPr="00835B1D">
        <w:rPr>
          <w:rFonts w:ascii="Arial" w:hAnsi="Arial" w:cs="Arial"/>
          <w:lang w:val="mk-MK"/>
        </w:rPr>
        <w:t>December</w:t>
      </w:r>
      <w:proofErr w:type="spellEnd"/>
      <w:r w:rsidRPr="00835B1D">
        <w:rPr>
          <w:rFonts w:ascii="Arial" w:hAnsi="Arial" w:cs="Arial"/>
          <w:lang w:val="mk-MK"/>
        </w:rPr>
        <w:t xml:space="preserve"> 31, </w:t>
      </w:r>
      <w:r w:rsidR="00F93B95" w:rsidRPr="00CE3053">
        <w:rPr>
          <w:rFonts w:ascii="Arial" w:hAnsi="Arial" w:cs="Arial"/>
          <w:lang w:val="mk-MK"/>
        </w:rPr>
        <w:t>202</w:t>
      </w:r>
      <w:r w:rsidR="00861600" w:rsidRPr="00CE3053">
        <w:rPr>
          <w:rFonts w:ascii="Arial" w:hAnsi="Arial" w:cs="Arial"/>
          <w:lang w:val="mk-MK"/>
        </w:rPr>
        <w:t>1</w:t>
      </w:r>
      <w:r>
        <w:rPr>
          <w:rFonts w:ascii="Arial" w:hAnsi="Arial" w:cs="Arial"/>
          <w:lang w:val="en-US"/>
        </w:rPr>
        <w:t>,</w:t>
      </w:r>
      <w:r w:rsidR="00F93B95" w:rsidRPr="00CE3053">
        <w:rPr>
          <w:rFonts w:ascii="Arial" w:hAnsi="Arial" w:cs="Arial"/>
          <w:lang w:val="mk-MK"/>
        </w:rPr>
        <w:t xml:space="preserve"> </w:t>
      </w:r>
      <w:proofErr w:type="spellStart"/>
      <w:r w:rsidRPr="00835B1D">
        <w:rPr>
          <w:rFonts w:ascii="Arial" w:hAnsi="Arial" w:cs="Arial"/>
          <w:lang w:val="mk-MK"/>
        </w:rPr>
        <w:t>the</w:t>
      </w:r>
      <w:proofErr w:type="spellEnd"/>
      <w:r w:rsidRPr="00835B1D">
        <w:rPr>
          <w:rFonts w:ascii="Arial" w:hAnsi="Arial" w:cs="Arial"/>
          <w:lang w:val="mk-MK"/>
        </w:rPr>
        <w:t xml:space="preserve"> </w:t>
      </w:r>
      <w:proofErr w:type="spellStart"/>
      <w:r w:rsidRPr="00835B1D">
        <w:rPr>
          <w:rFonts w:ascii="Arial" w:hAnsi="Arial" w:cs="Arial"/>
          <w:lang w:val="mk-MK"/>
        </w:rPr>
        <w:t>investments</w:t>
      </w:r>
      <w:proofErr w:type="spellEnd"/>
      <w:r w:rsidRPr="00835B1D">
        <w:rPr>
          <w:rFonts w:ascii="Arial" w:hAnsi="Arial" w:cs="Arial"/>
          <w:lang w:val="mk-MK"/>
        </w:rPr>
        <w:t xml:space="preserve"> </w:t>
      </w:r>
      <w:proofErr w:type="spellStart"/>
      <w:r w:rsidRPr="00835B1D">
        <w:rPr>
          <w:rFonts w:ascii="Arial" w:hAnsi="Arial" w:cs="Arial"/>
          <w:lang w:val="mk-MK"/>
        </w:rPr>
        <w:t>and</w:t>
      </w:r>
      <w:proofErr w:type="spellEnd"/>
      <w:r w:rsidRPr="00835B1D">
        <w:rPr>
          <w:rFonts w:ascii="Arial" w:hAnsi="Arial" w:cs="Arial"/>
          <w:lang w:val="mk-MK"/>
        </w:rPr>
        <w:t xml:space="preserve"> </w:t>
      </w:r>
      <w:proofErr w:type="spellStart"/>
      <w:r w:rsidRPr="00835B1D">
        <w:rPr>
          <w:rFonts w:ascii="Arial" w:hAnsi="Arial" w:cs="Arial"/>
          <w:lang w:val="mk-MK"/>
        </w:rPr>
        <w:t>cash</w:t>
      </w:r>
      <w:proofErr w:type="spellEnd"/>
      <w:r w:rsidRPr="00835B1D">
        <w:rPr>
          <w:rFonts w:ascii="Arial" w:hAnsi="Arial" w:cs="Arial"/>
          <w:lang w:val="mk-MK"/>
        </w:rPr>
        <w:t xml:space="preserve"> </w:t>
      </w:r>
      <w:proofErr w:type="spellStart"/>
      <w:r w:rsidRPr="00835B1D">
        <w:rPr>
          <w:rFonts w:ascii="Arial" w:hAnsi="Arial" w:cs="Arial"/>
          <w:lang w:val="mk-MK"/>
        </w:rPr>
        <w:t>of</w:t>
      </w:r>
      <w:proofErr w:type="spellEnd"/>
      <w:r w:rsidRPr="00835B1D">
        <w:rPr>
          <w:rFonts w:ascii="Arial" w:hAnsi="Arial" w:cs="Arial"/>
          <w:lang w:val="mk-MK"/>
        </w:rPr>
        <w:t xml:space="preserve"> </w:t>
      </w:r>
      <w:proofErr w:type="spellStart"/>
      <w:r w:rsidRPr="00835B1D">
        <w:rPr>
          <w:rFonts w:ascii="Arial" w:hAnsi="Arial" w:cs="Arial"/>
          <w:lang w:val="mk-MK"/>
        </w:rPr>
        <w:t>the</w:t>
      </w:r>
      <w:proofErr w:type="spellEnd"/>
      <w:r w:rsidRPr="00835B1D">
        <w:rPr>
          <w:rFonts w:ascii="Arial" w:hAnsi="Arial" w:cs="Arial"/>
          <w:lang w:val="mk-MK"/>
        </w:rPr>
        <w:t xml:space="preserve"> </w:t>
      </w:r>
      <w:proofErr w:type="spellStart"/>
      <w:r w:rsidRPr="00835B1D">
        <w:rPr>
          <w:rFonts w:ascii="Arial" w:hAnsi="Arial" w:cs="Arial"/>
          <w:lang w:val="mk-MK"/>
        </w:rPr>
        <w:t>Fund</w:t>
      </w:r>
      <w:proofErr w:type="spellEnd"/>
      <w:r w:rsidRPr="00835B1D">
        <w:rPr>
          <w:rFonts w:ascii="Arial" w:hAnsi="Arial" w:cs="Arial"/>
          <w:lang w:val="mk-MK"/>
        </w:rPr>
        <w:t xml:space="preserve"> </w:t>
      </w:r>
      <w:proofErr w:type="spellStart"/>
      <w:r w:rsidRPr="00835B1D">
        <w:rPr>
          <w:rFonts w:ascii="Arial" w:hAnsi="Arial" w:cs="Arial"/>
          <w:lang w:val="mk-MK"/>
        </w:rPr>
        <w:t>amount</w:t>
      </w:r>
      <w:proofErr w:type="spellEnd"/>
      <w:r w:rsidRPr="00835B1D">
        <w:rPr>
          <w:rFonts w:ascii="Arial" w:hAnsi="Arial" w:cs="Arial"/>
          <w:lang w:val="mk-MK"/>
        </w:rPr>
        <w:t xml:space="preserve"> </w:t>
      </w:r>
      <w:proofErr w:type="spellStart"/>
      <w:r w:rsidRPr="00835B1D">
        <w:rPr>
          <w:rFonts w:ascii="Arial" w:hAnsi="Arial" w:cs="Arial"/>
          <w:lang w:val="mk-MK"/>
        </w:rPr>
        <w:t>to</w:t>
      </w:r>
      <w:proofErr w:type="spellEnd"/>
      <w:r w:rsidRPr="00835B1D">
        <w:rPr>
          <w:rFonts w:ascii="Arial" w:hAnsi="Arial" w:cs="Arial"/>
          <w:lang w:val="mk-MK"/>
        </w:rPr>
        <w:t xml:space="preserve"> </w:t>
      </w:r>
      <w:r w:rsidR="00F93B95" w:rsidRPr="00CE3053">
        <w:rPr>
          <w:rFonts w:ascii="Arial" w:hAnsi="Arial" w:cs="Arial"/>
          <w:lang w:val="mk-MK"/>
        </w:rPr>
        <w:t>4.</w:t>
      </w:r>
      <w:r w:rsidR="00861600" w:rsidRPr="00CE3053">
        <w:rPr>
          <w:rFonts w:ascii="Arial" w:hAnsi="Arial" w:cs="Arial"/>
          <w:lang w:val="mk-MK"/>
        </w:rPr>
        <w:t>80</w:t>
      </w:r>
      <w:r w:rsidR="00F93B95" w:rsidRPr="00CE3053">
        <w:rPr>
          <w:rFonts w:ascii="Arial" w:hAnsi="Arial" w:cs="Arial"/>
          <w:lang w:val="mk-MK"/>
        </w:rPr>
        <w:t>% (20</w:t>
      </w:r>
      <w:r w:rsidR="00676002" w:rsidRPr="00CE3053">
        <w:rPr>
          <w:rFonts w:ascii="Arial" w:hAnsi="Arial" w:cs="Arial"/>
          <w:lang w:val="mk-MK"/>
        </w:rPr>
        <w:t>20</w:t>
      </w:r>
      <w:r w:rsidR="00F93B95" w:rsidRPr="00CE3053">
        <w:rPr>
          <w:rFonts w:ascii="Arial" w:hAnsi="Arial" w:cs="Arial"/>
          <w:lang w:val="mk-MK"/>
        </w:rPr>
        <w:t xml:space="preserve">: </w:t>
      </w:r>
      <w:r w:rsidR="00861600" w:rsidRPr="00CE3053">
        <w:rPr>
          <w:rFonts w:ascii="Arial" w:hAnsi="Arial" w:cs="Arial"/>
          <w:lang w:val="mk-MK"/>
        </w:rPr>
        <w:t>4</w:t>
      </w:r>
      <w:r w:rsidR="00F93B95" w:rsidRPr="00CE3053">
        <w:rPr>
          <w:rFonts w:ascii="Arial" w:hAnsi="Arial" w:cs="Arial"/>
          <w:lang w:val="mk-MK"/>
        </w:rPr>
        <w:t>.</w:t>
      </w:r>
      <w:r w:rsidR="00861600" w:rsidRPr="00CE3053">
        <w:rPr>
          <w:rFonts w:ascii="Arial" w:hAnsi="Arial" w:cs="Arial"/>
          <w:lang w:val="mk-MK"/>
        </w:rPr>
        <w:t>94</w:t>
      </w:r>
      <w:r w:rsidR="00391E07" w:rsidRPr="00CE3053">
        <w:rPr>
          <w:rFonts w:ascii="Arial" w:hAnsi="Arial" w:cs="Arial"/>
          <w:lang w:val="mk-MK"/>
        </w:rPr>
        <w:t>77</w:t>
      </w:r>
      <w:r w:rsidR="00F93B95" w:rsidRPr="00CE3053">
        <w:rPr>
          <w:rFonts w:ascii="Arial" w:hAnsi="Arial" w:cs="Arial"/>
          <w:lang w:val="mk-MK"/>
        </w:rPr>
        <w:t xml:space="preserve">%) </w:t>
      </w:r>
      <w:proofErr w:type="spellStart"/>
      <w:r w:rsidRPr="00835B1D">
        <w:rPr>
          <w:rFonts w:ascii="Arial" w:hAnsi="Arial" w:cs="Arial"/>
          <w:lang w:val="mk-MK"/>
        </w:rPr>
        <w:t>of</w:t>
      </w:r>
      <w:proofErr w:type="spellEnd"/>
      <w:r w:rsidRPr="00835B1D">
        <w:rPr>
          <w:rFonts w:ascii="Arial" w:hAnsi="Arial" w:cs="Arial"/>
          <w:lang w:val="mk-MK"/>
        </w:rPr>
        <w:t xml:space="preserve"> </w:t>
      </w:r>
      <w:proofErr w:type="spellStart"/>
      <w:r w:rsidRPr="00835B1D">
        <w:rPr>
          <w:rFonts w:ascii="Arial" w:hAnsi="Arial" w:cs="Arial"/>
          <w:lang w:val="mk-MK"/>
        </w:rPr>
        <w:t>the</w:t>
      </w:r>
      <w:proofErr w:type="spellEnd"/>
      <w:r w:rsidRPr="00835B1D">
        <w:rPr>
          <w:rFonts w:ascii="Arial" w:hAnsi="Arial" w:cs="Arial"/>
          <w:lang w:val="mk-MK"/>
        </w:rPr>
        <w:t xml:space="preserve"> </w:t>
      </w:r>
      <w:proofErr w:type="spellStart"/>
      <w:r w:rsidRPr="00835B1D">
        <w:rPr>
          <w:rFonts w:ascii="Arial" w:hAnsi="Arial" w:cs="Arial"/>
          <w:lang w:val="mk-MK"/>
        </w:rPr>
        <w:t>total</w:t>
      </w:r>
      <w:proofErr w:type="spellEnd"/>
      <w:r w:rsidRPr="00835B1D">
        <w:rPr>
          <w:rFonts w:ascii="Arial" w:hAnsi="Arial" w:cs="Arial"/>
          <w:lang w:val="mk-MK"/>
        </w:rPr>
        <w:t xml:space="preserve"> </w:t>
      </w:r>
      <w:proofErr w:type="spellStart"/>
      <w:r w:rsidRPr="00835B1D">
        <w:rPr>
          <w:rFonts w:ascii="Arial" w:hAnsi="Arial" w:cs="Arial"/>
          <w:lang w:val="mk-MK"/>
        </w:rPr>
        <w:t>deposits</w:t>
      </w:r>
      <w:proofErr w:type="spellEnd"/>
      <w:r w:rsidRPr="00835B1D">
        <w:rPr>
          <w:rFonts w:ascii="Arial" w:hAnsi="Arial" w:cs="Arial"/>
          <w:lang w:val="mk-MK"/>
        </w:rPr>
        <w:t xml:space="preserve"> </w:t>
      </w:r>
      <w:proofErr w:type="spellStart"/>
      <w:r w:rsidRPr="00835B1D">
        <w:rPr>
          <w:rFonts w:ascii="Arial" w:hAnsi="Arial" w:cs="Arial"/>
          <w:lang w:val="mk-MK"/>
        </w:rPr>
        <w:t>of</w:t>
      </w:r>
      <w:proofErr w:type="spellEnd"/>
      <w:r w:rsidRPr="00835B1D">
        <w:rPr>
          <w:rFonts w:ascii="Arial" w:hAnsi="Arial" w:cs="Arial"/>
          <w:lang w:val="mk-MK"/>
        </w:rPr>
        <w:t xml:space="preserve"> </w:t>
      </w:r>
      <w:proofErr w:type="spellStart"/>
      <w:r w:rsidRPr="00835B1D">
        <w:rPr>
          <w:rFonts w:ascii="Arial" w:hAnsi="Arial" w:cs="Arial"/>
          <w:lang w:val="mk-MK"/>
        </w:rPr>
        <w:t>individuals</w:t>
      </w:r>
      <w:proofErr w:type="spellEnd"/>
      <w:r w:rsidRPr="00835B1D">
        <w:rPr>
          <w:rFonts w:ascii="Arial" w:hAnsi="Arial" w:cs="Arial"/>
          <w:lang w:val="mk-MK"/>
        </w:rPr>
        <w:t xml:space="preserve"> </w:t>
      </w:r>
      <w:proofErr w:type="spellStart"/>
      <w:r w:rsidRPr="00835B1D">
        <w:rPr>
          <w:rFonts w:ascii="Arial" w:hAnsi="Arial" w:cs="Arial"/>
          <w:lang w:val="mk-MK"/>
        </w:rPr>
        <w:t>in</w:t>
      </w:r>
      <w:proofErr w:type="spellEnd"/>
      <w:r w:rsidRPr="00835B1D">
        <w:rPr>
          <w:rFonts w:ascii="Arial" w:hAnsi="Arial" w:cs="Arial"/>
          <w:lang w:val="mk-MK"/>
        </w:rPr>
        <w:t xml:space="preserve"> </w:t>
      </w:r>
      <w:proofErr w:type="spellStart"/>
      <w:r w:rsidRPr="00835B1D">
        <w:rPr>
          <w:rFonts w:ascii="Arial" w:hAnsi="Arial" w:cs="Arial"/>
          <w:lang w:val="mk-MK"/>
        </w:rPr>
        <w:t>banks</w:t>
      </w:r>
      <w:proofErr w:type="spellEnd"/>
      <w:r w:rsidRPr="00835B1D">
        <w:rPr>
          <w:rFonts w:ascii="Arial" w:hAnsi="Arial" w:cs="Arial"/>
          <w:lang w:val="mk-MK"/>
        </w:rPr>
        <w:t xml:space="preserve">, </w:t>
      </w:r>
      <w:proofErr w:type="spellStart"/>
      <w:r w:rsidRPr="00835B1D">
        <w:rPr>
          <w:rFonts w:ascii="Arial" w:hAnsi="Arial" w:cs="Arial"/>
          <w:lang w:val="mk-MK"/>
        </w:rPr>
        <w:t>branches</w:t>
      </w:r>
      <w:proofErr w:type="spellEnd"/>
      <w:r w:rsidRPr="00835B1D">
        <w:rPr>
          <w:rFonts w:ascii="Arial" w:hAnsi="Arial" w:cs="Arial"/>
          <w:lang w:val="mk-MK"/>
        </w:rPr>
        <w:t xml:space="preserve"> </w:t>
      </w:r>
      <w:proofErr w:type="spellStart"/>
      <w:r w:rsidRPr="00835B1D">
        <w:rPr>
          <w:rFonts w:ascii="Arial" w:hAnsi="Arial" w:cs="Arial"/>
          <w:lang w:val="mk-MK"/>
        </w:rPr>
        <w:t>of</w:t>
      </w:r>
      <w:proofErr w:type="spellEnd"/>
      <w:r w:rsidRPr="00835B1D">
        <w:rPr>
          <w:rFonts w:ascii="Arial" w:hAnsi="Arial" w:cs="Arial"/>
          <w:lang w:val="mk-MK"/>
        </w:rPr>
        <w:t xml:space="preserve"> </w:t>
      </w:r>
      <w:proofErr w:type="spellStart"/>
      <w:r w:rsidRPr="00835B1D">
        <w:rPr>
          <w:rFonts w:ascii="Arial" w:hAnsi="Arial" w:cs="Arial"/>
          <w:lang w:val="mk-MK"/>
        </w:rPr>
        <w:t>foreign</w:t>
      </w:r>
      <w:proofErr w:type="spellEnd"/>
      <w:r w:rsidRPr="00835B1D">
        <w:rPr>
          <w:rFonts w:ascii="Arial" w:hAnsi="Arial" w:cs="Arial"/>
          <w:lang w:val="mk-MK"/>
        </w:rPr>
        <w:t xml:space="preserve"> </w:t>
      </w:r>
      <w:proofErr w:type="spellStart"/>
      <w:r w:rsidRPr="00835B1D">
        <w:rPr>
          <w:rFonts w:ascii="Arial" w:hAnsi="Arial" w:cs="Arial"/>
          <w:lang w:val="mk-MK"/>
        </w:rPr>
        <w:t>banks</w:t>
      </w:r>
      <w:proofErr w:type="spellEnd"/>
      <w:r w:rsidRPr="00835B1D">
        <w:rPr>
          <w:rFonts w:ascii="Arial" w:hAnsi="Arial" w:cs="Arial"/>
          <w:lang w:val="mk-MK"/>
        </w:rPr>
        <w:t xml:space="preserve"> </w:t>
      </w:r>
      <w:proofErr w:type="spellStart"/>
      <w:r w:rsidRPr="00835B1D">
        <w:rPr>
          <w:rFonts w:ascii="Arial" w:hAnsi="Arial" w:cs="Arial"/>
          <w:lang w:val="mk-MK"/>
        </w:rPr>
        <w:t>and</w:t>
      </w:r>
      <w:proofErr w:type="spellEnd"/>
      <w:r w:rsidRPr="00835B1D">
        <w:rPr>
          <w:rFonts w:ascii="Arial" w:hAnsi="Arial" w:cs="Arial"/>
          <w:lang w:val="mk-MK"/>
        </w:rPr>
        <w:t xml:space="preserve"> </w:t>
      </w:r>
      <w:proofErr w:type="spellStart"/>
      <w:r w:rsidRPr="00835B1D">
        <w:rPr>
          <w:rFonts w:ascii="Arial" w:hAnsi="Arial" w:cs="Arial"/>
          <w:lang w:val="mk-MK"/>
        </w:rPr>
        <w:t>savings</w:t>
      </w:r>
      <w:proofErr w:type="spellEnd"/>
      <w:r w:rsidRPr="00835B1D">
        <w:rPr>
          <w:rFonts w:ascii="Arial" w:hAnsi="Arial" w:cs="Arial"/>
          <w:lang w:val="mk-MK"/>
        </w:rPr>
        <w:t xml:space="preserve"> </w:t>
      </w:r>
      <w:proofErr w:type="spellStart"/>
      <w:r w:rsidRPr="00835B1D">
        <w:rPr>
          <w:rFonts w:ascii="Arial" w:hAnsi="Arial" w:cs="Arial"/>
          <w:lang w:val="mk-MK"/>
        </w:rPr>
        <w:t>houses</w:t>
      </w:r>
      <w:proofErr w:type="spellEnd"/>
      <w:r w:rsidRPr="00835B1D">
        <w:rPr>
          <w:rFonts w:ascii="Arial" w:hAnsi="Arial" w:cs="Arial"/>
          <w:lang w:val="mk-MK"/>
        </w:rPr>
        <w:t xml:space="preserve"> </w:t>
      </w:r>
      <w:proofErr w:type="spellStart"/>
      <w:r w:rsidRPr="00835B1D">
        <w:rPr>
          <w:rFonts w:ascii="Arial" w:hAnsi="Arial" w:cs="Arial"/>
          <w:lang w:val="mk-MK"/>
        </w:rPr>
        <w:t>in</w:t>
      </w:r>
      <w:proofErr w:type="spellEnd"/>
      <w:r w:rsidRPr="00835B1D">
        <w:rPr>
          <w:rFonts w:ascii="Arial" w:hAnsi="Arial" w:cs="Arial"/>
          <w:lang w:val="mk-MK"/>
        </w:rPr>
        <w:t xml:space="preserve"> </w:t>
      </w:r>
      <w:proofErr w:type="spellStart"/>
      <w:r w:rsidRPr="00835B1D">
        <w:rPr>
          <w:rFonts w:ascii="Arial" w:hAnsi="Arial" w:cs="Arial"/>
          <w:lang w:val="mk-MK"/>
        </w:rPr>
        <w:t>the</w:t>
      </w:r>
      <w:proofErr w:type="spellEnd"/>
      <w:r w:rsidRPr="00835B1D">
        <w:rPr>
          <w:rFonts w:ascii="Arial" w:hAnsi="Arial" w:cs="Arial"/>
          <w:lang w:val="mk-MK"/>
        </w:rPr>
        <w:t xml:space="preserve"> </w:t>
      </w:r>
      <w:proofErr w:type="spellStart"/>
      <w:r w:rsidRPr="00835B1D">
        <w:rPr>
          <w:rFonts w:ascii="Arial" w:hAnsi="Arial" w:cs="Arial"/>
          <w:lang w:val="mk-MK"/>
        </w:rPr>
        <w:t>Republic</w:t>
      </w:r>
      <w:proofErr w:type="spellEnd"/>
      <w:r w:rsidRPr="00835B1D">
        <w:rPr>
          <w:rFonts w:ascii="Arial" w:hAnsi="Arial" w:cs="Arial"/>
          <w:lang w:val="mk-MK"/>
        </w:rPr>
        <w:t xml:space="preserve"> </w:t>
      </w:r>
      <w:proofErr w:type="spellStart"/>
      <w:r w:rsidRPr="00835B1D">
        <w:rPr>
          <w:rFonts w:ascii="Arial" w:hAnsi="Arial" w:cs="Arial"/>
          <w:lang w:val="mk-MK"/>
        </w:rPr>
        <w:t>of</w:t>
      </w:r>
      <w:proofErr w:type="spellEnd"/>
      <w:r w:rsidRPr="00835B1D">
        <w:rPr>
          <w:rFonts w:ascii="Arial" w:hAnsi="Arial" w:cs="Arial"/>
          <w:lang w:val="mk-MK"/>
        </w:rPr>
        <w:t xml:space="preserve"> </w:t>
      </w:r>
      <w:r w:rsidR="00471347">
        <w:rPr>
          <w:rFonts w:ascii="Arial" w:hAnsi="Arial" w:cs="Arial"/>
          <w:lang w:val="en-US"/>
        </w:rPr>
        <w:t>North</w:t>
      </w:r>
      <w:r w:rsidRPr="00835B1D">
        <w:rPr>
          <w:rFonts w:ascii="Arial" w:hAnsi="Arial" w:cs="Arial"/>
          <w:lang w:val="mk-MK"/>
        </w:rPr>
        <w:t xml:space="preserve"> </w:t>
      </w:r>
      <w:proofErr w:type="spellStart"/>
      <w:r w:rsidRPr="00835B1D">
        <w:rPr>
          <w:rFonts w:ascii="Arial" w:hAnsi="Arial" w:cs="Arial"/>
          <w:lang w:val="mk-MK"/>
        </w:rPr>
        <w:t>Macedonia</w:t>
      </w:r>
      <w:proofErr w:type="spellEnd"/>
      <w:r w:rsidRPr="00835B1D">
        <w:rPr>
          <w:rFonts w:ascii="Arial" w:hAnsi="Arial" w:cs="Arial"/>
          <w:lang w:val="mk-MK"/>
        </w:rPr>
        <w:t xml:space="preserve">, </w:t>
      </w:r>
      <w:proofErr w:type="spellStart"/>
      <w:r w:rsidRPr="00835B1D">
        <w:rPr>
          <w:rFonts w:ascii="Arial" w:hAnsi="Arial" w:cs="Arial"/>
          <w:lang w:val="mk-MK"/>
        </w:rPr>
        <w:t>members</w:t>
      </w:r>
      <w:proofErr w:type="spellEnd"/>
      <w:r w:rsidRPr="00835B1D">
        <w:rPr>
          <w:rFonts w:ascii="Arial" w:hAnsi="Arial" w:cs="Arial"/>
          <w:lang w:val="mk-MK"/>
        </w:rPr>
        <w:t xml:space="preserve"> </w:t>
      </w:r>
      <w:proofErr w:type="spellStart"/>
      <w:r w:rsidRPr="00835B1D">
        <w:rPr>
          <w:rFonts w:ascii="Arial" w:hAnsi="Arial" w:cs="Arial"/>
          <w:lang w:val="mk-MK"/>
        </w:rPr>
        <w:t>of</w:t>
      </w:r>
      <w:proofErr w:type="spellEnd"/>
      <w:r w:rsidRPr="00835B1D">
        <w:rPr>
          <w:rFonts w:ascii="Arial" w:hAnsi="Arial" w:cs="Arial"/>
          <w:lang w:val="mk-MK"/>
        </w:rPr>
        <w:t xml:space="preserve"> </w:t>
      </w:r>
      <w:proofErr w:type="spellStart"/>
      <w:r w:rsidRPr="00835B1D">
        <w:rPr>
          <w:rFonts w:ascii="Arial" w:hAnsi="Arial" w:cs="Arial"/>
          <w:lang w:val="mk-MK"/>
        </w:rPr>
        <w:t>the</w:t>
      </w:r>
      <w:proofErr w:type="spellEnd"/>
      <w:r w:rsidRPr="00835B1D">
        <w:rPr>
          <w:rFonts w:ascii="Arial" w:hAnsi="Arial" w:cs="Arial"/>
          <w:lang w:val="mk-MK"/>
        </w:rPr>
        <w:t xml:space="preserve"> </w:t>
      </w:r>
      <w:proofErr w:type="spellStart"/>
      <w:r w:rsidRPr="00835B1D">
        <w:rPr>
          <w:rFonts w:ascii="Arial" w:hAnsi="Arial" w:cs="Arial"/>
          <w:lang w:val="mk-MK"/>
        </w:rPr>
        <w:t>Fund</w:t>
      </w:r>
      <w:proofErr w:type="spellEnd"/>
      <w:r w:rsidRPr="00835B1D">
        <w:rPr>
          <w:rFonts w:ascii="Arial" w:hAnsi="Arial" w:cs="Arial"/>
          <w:lang w:val="mk-MK"/>
        </w:rPr>
        <w:t>.</w:t>
      </w:r>
    </w:p>
    <w:p w14:paraId="4182B651" w14:textId="55358A66" w:rsidR="004F415F" w:rsidRPr="00CE3053" w:rsidRDefault="008B15F7" w:rsidP="004F415F">
      <w:pPr>
        <w:pStyle w:val="BodyText"/>
        <w:jc w:val="both"/>
        <w:rPr>
          <w:rFonts w:ascii="Arial" w:hAnsi="Arial" w:cs="Arial"/>
          <w:lang w:val="mk-MK"/>
        </w:rPr>
      </w:pPr>
      <w:proofErr w:type="spellStart"/>
      <w:r w:rsidRPr="008B15F7">
        <w:rPr>
          <w:rFonts w:ascii="Arial" w:hAnsi="Arial" w:cs="Arial"/>
          <w:lang w:val="mk-MK"/>
        </w:rPr>
        <w:t>On</w:t>
      </w:r>
      <w:proofErr w:type="spellEnd"/>
      <w:r w:rsidRPr="008B15F7">
        <w:rPr>
          <w:rFonts w:ascii="Arial" w:hAnsi="Arial" w:cs="Arial"/>
          <w:lang w:val="mk-MK"/>
        </w:rPr>
        <w:t xml:space="preserve"> 12 </w:t>
      </w:r>
      <w:proofErr w:type="spellStart"/>
      <w:r w:rsidRPr="008B15F7">
        <w:rPr>
          <w:rFonts w:ascii="Arial" w:hAnsi="Arial" w:cs="Arial"/>
          <w:lang w:val="mk-MK"/>
        </w:rPr>
        <w:t>August</w:t>
      </w:r>
      <w:proofErr w:type="spellEnd"/>
      <w:r w:rsidRPr="008B15F7">
        <w:rPr>
          <w:rFonts w:ascii="Arial" w:hAnsi="Arial" w:cs="Arial"/>
          <w:lang w:val="mk-MK"/>
        </w:rPr>
        <w:t xml:space="preserve"> 2020, </w:t>
      </w:r>
      <w:proofErr w:type="spellStart"/>
      <w:r w:rsidRPr="008B15F7">
        <w:rPr>
          <w:rFonts w:ascii="Arial" w:hAnsi="Arial" w:cs="Arial"/>
          <w:lang w:val="mk-MK"/>
        </w:rPr>
        <w:t>in</w:t>
      </w:r>
      <w:proofErr w:type="spellEnd"/>
      <w:r w:rsidRPr="008B15F7">
        <w:rPr>
          <w:rFonts w:ascii="Arial" w:hAnsi="Arial" w:cs="Arial"/>
          <w:lang w:val="mk-MK"/>
        </w:rPr>
        <w:t xml:space="preserve"> </w:t>
      </w:r>
      <w:proofErr w:type="spellStart"/>
      <w:r w:rsidRPr="008B15F7">
        <w:rPr>
          <w:rFonts w:ascii="Arial" w:hAnsi="Arial" w:cs="Arial"/>
          <w:lang w:val="mk-MK"/>
        </w:rPr>
        <w:t>accordance</w:t>
      </w:r>
      <w:proofErr w:type="spellEnd"/>
      <w:r w:rsidRPr="008B15F7">
        <w:rPr>
          <w:rFonts w:ascii="Arial" w:hAnsi="Arial" w:cs="Arial"/>
          <w:lang w:val="mk-MK"/>
        </w:rPr>
        <w:t xml:space="preserve"> </w:t>
      </w:r>
      <w:proofErr w:type="spellStart"/>
      <w:r w:rsidRPr="008B15F7">
        <w:rPr>
          <w:rFonts w:ascii="Arial" w:hAnsi="Arial" w:cs="Arial"/>
          <w:lang w:val="mk-MK"/>
        </w:rPr>
        <w:t>with</w:t>
      </w:r>
      <w:proofErr w:type="spellEnd"/>
      <w:r w:rsidRPr="008B15F7">
        <w:rPr>
          <w:rFonts w:ascii="Arial" w:hAnsi="Arial" w:cs="Arial"/>
          <w:lang w:val="mk-MK"/>
        </w:rPr>
        <w:t xml:space="preserve"> </w:t>
      </w:r>
      <w:proofErr w:type="spellStart"/>
      <w:r w:rsidRPr="008B15F7">
        <w:rPr>
          <w:rFonts w:ascii="Arial" w:hAnsi="Arial" w:cs="Arial"/>
          <w:lang w:val="mk-MK"/>
        </w:rPr>
        <w:t>Decision</w:t>
      </w:r>
      <w:proofErr w:type="spellEnd"/>
      <w:r w:rsidRPr="008B15F7">
        <w:rPr>
          <w:rFonts w:ascii="Arial" w:hAnsi="Arial" w:cs="Arial"/>
          <w:lang w:val="mk-MK"/>
        </w:rPr>
        <w:t xml:space="preserve"> </w:t>
      </w:r>
      <w:proofErr w:type="spellStart"/>
      <w:r w:rsidRPr="008B15F7">
        <w:rPr>
          <w:rFonts w:ascii="Arial" w:hAnsi="Arial" w:cs="Arial"/>
          <w:lang w:val="mk-MK"/>
        </w:rPr>
        <w:t>No</w:t>
      </w:r>
      <w:proofErr w:type="spellEnd"/>
      <w:r w:rsidRPr="008B15F7">
        <w:rPr>
          <w:rFonts w:ascii="Arial" w:hAnsi="Arial" w:cs="Arial"/>
          <w:lang w:val="mk-MK"/>
        </w:rPr>
        <w:t xml:space="preserve">. 15-20139 </w:t>
      </w:r>
      <w:proofErr w:type="spellStart"/>
      <w:r w:rsidRPr="008B15F7">
        <w:rPr>
          <w:rFonts w:ascii="Arial" w:hAnsi="Arial" w:cs="Arial"/>
          <w:lang w:val="mk-MK"/>
        </w:rPr>
        <w:t>of</w:t>
      </w:r>
      <w:proofErr w:type="spellEnd"/>
      <w:r w:rsidRPr="008B15F7">
        <w:rPr>
          <w:rFonts w:ascii="Arial" w:hAnsi="Arial" w:cs="Arial"/>
          <w:lang w:val="mk-MK"/>
        </w:rPr>
        <w:t xml:space="preserve"> </w:t>
      </w:r>
      <w:proofErr w:type="spellStart"/>
      <w:r w:rsidRPr="008B15F7">
        <w:rPr>
          <w:rFonts w:ascii="Arial" w:hAnsi="Arial" w:cs="Arial"/>
          <w:lang w:val="mk-MK"/>
        </w:rPr>
        <w:t>the</w:t>
      </w:r>
      <w:proofErr w:type="spellEnd"/>
      <w:r w:rsidRPr="008B15F7">
        <w:rPr>
          <w:rFonts w:ascii="Arial" w:hAnsi="Arial" w:cs="Arial"/>
          <w:lang w:val="mk-MK"/>
        </w:rPr>
        <w:t xml:space="preserve"> </w:t>
      </w:r>
      <w:proofErr w:type="spellStart"/>
      <w:r w:rsidRPr="008B15F7">
        <w:rPr>
          <w:rFonts w:ascii="Arial" w:hAnsi="Arial" w:cs="Arial"/>
          <w:lang w:val="mk-MK"/>
        </w:rPr>
        <w:t>Governor</w:t>
      </w:r>
      <w:proofErr w:type="spellEnd"/>
      <w:r w:rsidRPr="008B15F7">
        <w:rPr>
          <w:rFonts w:ascii="Arial" w:hAnsi="Arial" w:cs="Arial"/>
          <w:lang w:val="mk-MK"/>
        </w:rPr>
        <w:t xml:space="preserve"> </w:t>
      </w:r>
      <w:proofErr w:type="spellStart"/>
      <w:r w:rsidRPr="008B15F7">
        <w:rPr>
          <w:rFonts w:ascii="Arial" w:hAnsi="Arial" w:cs="Arial"/>
          <w:lang w:val="mk-MK"/>
        </w:rPr>
        <w:t>of</w:t>
      </w:r>
      <w:proofErr w:type="spellEnd"/>
      <w:r w:rsidRPr="008B15F7">
        <w:rPr>
          <w:rFonts w:ascii="Arial" w:hAnsi="Arial" w:cs="Arial"/>
          <w:lang w:val="mk-MK"/>
        </w:rPr>
        <w:t xml:space="preserve"> </w:t>
      </w:r>
      <w:proofErr w:type="spellStart"/>
      <w:r w:rsidRPr="008B15F7">
        <w:rPr>
          <w:rFonts w:ascii="Arial" w:hAnsi="Arial" w:cs="Arial"/>
          <w:lang w:val="mk-MK"/>
        </w:rPr>
        <w:t>the</w:t>
      </w:r>
      <w:proofErr w:type="spellEnd"/>
      <w:r w:rsidRPr="008B15F7">
        <w:rPr>
          <w:rFonts w:ascii="Arial" w:hAnsi="Arial" w:cs="Arial"/>
          <w:lang w:val="mk-MK"/>
        </w:rPr>
        <w:t xml:space="preserve"> </w:t>
      </w:r>
      <w:proofErr w:type="spellStart"/>
      <w:r w:rsidRPr="008B15F7">
        <w:rPr>
          <w:rFonts w:ascii="Arial" w:hAnsi="Arial" w:cs="Arial"/>
          <w:lang w:val="mk-MK"/>
        </w:rPr>
        <w:t>National</w:t>
      </w:r>
      <w:proofErr w:type="spellEnd"/>
      <w:r w:rsidRPr="008B15F7">
        <w:rPr>
          <w:rFonts w:ascii="Arial" w:hAnsi="Arial" w:cs="Arial"/>
          <w:lang w:val="mk-MK"/>
        </w:rPr>
        <w:t xml:space="preserve"> </w:t>
      </w:r>
      <w:proofErr w:type="spellStart"/>
      <w:r w:rsidRPr="008B15F7">
        <w:rPr>
          <w:rFonts w:ascii="Arial" w:hAnsi="Arial" w:cs="Arial"/>
          <w:lang w:val="mk-MK"/>
        </w:rPr>
        <w:t>Bank</w:t>
      </w:r>
      <w:proofErr w:type="spellEnd"/>
      <w:r w:rsidRPr="008B15F7">
        <w:rPr>
          <w:rFonts w:ascii="Arial" w:hAnsi="Arial" w:cs="Arial"/>
          <w:lang w:val="mk-MK"/>
        </w:rPr>
        <w:t xml:space="preserve"> </w:t>
      </w:r>
      <w:proofErr w:type="spellStart"/>
      <w:r w:rsidRPr="008B15F7">
        <w:rPr>
          <w:rFonts w:ascii="Arial" w:hAnsi="Arial" w:cs="Arial"/>
          <w:lang w:val="mk-MK"/>
        </w:rPr>
        <w:t>of</w:t>
      </w:r>
      <w:proofErr w:type="spellEnd"/>
      <w:r w:rsidRPr="008B15F7">
        <w:rPr>
          <w:rFonts w:ascii="Arial" w:hAnsi="Arial" w:cs="Arial"/>
          <w:lang w:val="mk-MK"/>
        </w:rPr>
        <w:t xml:space="preserve"> </w:t>
      </w:r>
      <w:proofErr w:type="spellStart"/>
      <w:r w:rsidRPr="008B15F7">
        <w:rPr>
          <w:rFonts w:ascii="Arial" w:hAnsi="Arial" w:cs="Arial"/>
          <w:lang w:val="mk-MK"/>
        </w:rPr>
        <w:t>the</w:t>
      </w:r>
      <w:proofErr w:type="spellEnd"/>
      <w:r w:rsidRPr="008B15F7">
        <w:rPr>
          <w:rFonts w:ascii="Arial" w:hAnsi="Arial" w:cs="Arial"/>
          <w:lang w:val="mk-MK"/>
        </w:rPr>
        <w:t xml:space="preserve"> </w:t>
      </w:r>
      <w:proofErr w:type="spellStart"/>
      <w:r w:rsidRPr="008B15F7">
        <w:rPr>
          <w:rFonts w:ascii="Arial" w:hAnsi="Arial" w:cs="Arial"/>
          <w:lang w:val="mk-MK"/>
        </w:rPr>
        <w:t>Republic</w:t>
      </w:r>
      <w:proofErr w:type="spellEnd"/>
      <w:r w:rsidRPr="008B15F7">
        <w:rPr>
          <w:rFonts w:ascii="Arial" w:hAnsi="Arial" w:cs="Arial"/>
          <w:lang w:val="mk-MK"/>
        </w:rPr>
        <w:t xml:space="preserve"> </w:t>
      </w:r>
      <w:proofErr w:type="spellStart"/>
      <w:r w:rsidRPr="008B15F7">
        <w:rPr>
          <w:rFonts w:ascii="Arial" w:hAnsi="Arial" w:cs="Arial"/>
          <w:lang w:val="mk-MK"/>
        </w:rPr>
        <w:t>of</w:t>
      </w:r>
      <w:proofErr w:type="spellEnd"/>
      <w:r w:rsidRPr="008B15F7">
        <w:rPr>
          <w:rFonts w:ascii="Arial" w:hAnsi="Arial" w:cs="Arial"/>
          <w:lang w:val="mk-MK"/>
        </w:rPr>
        <w:t xml:space="preserve"> </w:t>
      </w:r>
      <w:proofErr w:type="spellStart"/>
      <w:r w:rsidRPr="008B15F7">
        <w:rPr>
          <w:rFonts w:ascii="Arial" w:hAnsi="Arial" w:cs="Arial"/>
          <w:lang w:val="mk-MK"/>
        </w:rPr>
        <w:t>North</w:t>
      </w:r>
      <w:proofErr w:type="spellEnd"/>
      <w:r w:rsidRPr="008B15F7">
        <w:rPr>
          <w:rFonts w:ascii="Arial" w:hAnsi="Arial" w:cs="Arial"/>
          <w:lang w:val="mk-MK"/>
        </w:rPr>
        <w:t xml:space="preserve"> </w:t>
      </w:r>
      <w:proofErr w:type="spellStart"/>
      <w:r w:rsidRPr="008B15F7">
        <w:rPr>
          <w:rFonts w:ascii="Arial" w:hAnsi="Arial" w:cs="Arial"/>
          <w:lang w:val="mk-MK"/>
        </w:rPr>
        <w:t>Macedonia</w:t>
      </w:r>
      <w:proofErr w:type="spellEnd"/>
      <w:r w:rsidRPr="008B15F7">
        <w:rPr>
          <w:rFonts w:ascii="Arial" w:hAnsi="Arial" w:cs="Arial"/>
          <w:lang w:val="mk-MK"/>
        </w:rPr>
        <w:t xml:space="preserve">, </w:t>
      </w:r>
      <w:proofErr w:type="spellStart"/>
      <w:r w:rsidRPr="008B15F7">
        <w:rPr>
          <w:rFonts w:ascii="Arial" w:hAnsi="Arial" w:cs="Arial"/>
          <w:lang w:val="mk-MK"/>
        </w:rPr>
        <w:t>the</w:t>
      </w:r>
      <w:proofErr w:type="spellEnd"/>
      <w:r w:rsidRPr="008B15F7">
        <w:rPr>
          <w:rFonts w:ascii="Arial" w:hAnsi="Arial" w:cs="Arial"/>
          <w:lang w:val="mk-MK"/>
        </w:rPr>
        <w:t xml:space="preserve"> </w:t>
      </w:r>
      <w:proofErr w:type="spellStart"/>
      <w:r w:rsidRPr="008B15F7">
        <w:rPr>
          <w:rFonts w:ascii="Arial" w:hAnsi="Arial" w:cs="Arial"/>
          <w:lang w:val="mk-MK"/>
        </w:rPr>
        <w:t>license</w:t>
      </w:r>
      <w:proofErr w:type="spellEnd"/>
      <w:r w:rsidRPr="008B15F7">
        <w:rPr>
          <w:rFonts w:ascii="Arial" w:hAnsi="Arial" w:cs="Arial"/>
          <w:lang w:val="mk-MK"/>
        </w:rPr>
        <w:t xml:space="preserve"> </w:t>
      </w:r>
      <w:proofErr w:type="spellStart"/>
      <w:r w:rsidRPr="008B15F7">
        <w:rPr>
          <w:rFonts w:ascii="Arial" w:hAnsi="Arial" w:cs="Arial"/>
          <w:lang w:val="mk-MK"/>
        </w:rPr>
        <w:t>for</w:t>
      </w:r>
      <w:proofErr w:type="spellEnd"/>
      <w:r w:rsidRPr="008B15F7">
        <w:rPr>
          <w:rFonts w:ascii="Arial" w:hAnsi="Arial" w:cs="Arial"/>
          <w:lang w:val="mk-MK"/>
        </w:rPr>
        <w:t xml:space="preserve"> </w:t>
      </w:r>
      <w:proofErr w:type="spellStart"/>
      <w:r w:rsidRPr="008B15F7">
        <w:rPr>
          <w:rFonts w:ascii="Arial" w:hAnsi="Arial" w:cs="Arial"/>
          <w:lang w:val="mk-MK"/>
        </w:rPr>
        <w:t>establishment</w:t>
      </w:r>
      <w:proofErr w:type="spellEnd"/>
      <w:r w:rsidRPr="008B15F7">
        <w:rPr>
          <w:rFonts w:ascii="Arial" w:hAnsi="Arial" w:cs="Arial"/>
          <w:lang w:val="mk-MK"/>
        </w:rPr>
        <w:t xml:space="preserve"> </w:t>
      </w:r>
      <w:proofErr w:type="spellStart"/>
      <w:r w:rsidRPr="008B15F7">
        <w:rPr>
          <w:rFonts w:ascii="Arial" w:hAnsi="Arial" w:cs="Arial"/>
          <w:lang w:val="mk-MK"/>
        </w:rPr>
        <w:t>and</w:t>
      </w:r>
      <w:proofErr w:type="spellEnd"/>
      <w:r w:rsidRPr="008B15F7">
        <w:rPr>
          <w:rFonts w:ascii="Arial" w:hAnsi="Arial" w:cs="Arial"/>
          <w:lang w:val="mk-MK"/>
        </w:rPr>
        <w:t xml:space="preserve"> </w:t>
      </w:r>
      <w:proofErr w:type="spellStart"/>
      <w:r w:rsidRPr="008B15F7">
        <w:rPr>
          <w:rFonts w:ascii="Arial" w:hAnsi="Arial" w:cs="Arial"/>
          <w:lang w:val="mk-MK"/>
        </w:rPr>
        <w:t>operation</w:t>
      </w:r>
      <w:proofErr w:type="spellEnd"/>
      <w:r w:rsidRPr="008B15F7">
        <w:rPr>
          <w:rFonts w:ascii="Arial" w:hAnsi="Arial" w:cs="Arial"/>
          <w:lang w:val="mk-MK"/>
        </w:rPr>
        <w:t xml:space="preserve"> </w:t>
      </w:r>
      <w:proofErr w:type="spellStart"/>
      <w:r w:rsidRPr="008B15F7">
        <w:rPr>
          <w:rFonts w:ascii="Arial" w:hAnsi="Arial" w:cs="Arial"/>
          <w:lang w:val="mk-MK"/>
        </w:rPr>
        <w:t>of</w:t>
      </w:r>
      <w:proofErr w:type="spellEnd"/>
      <w:r w:rsidRPr="008B15F7">
        <w:rPr>
          <w:rFonts w:ascii="Arial" w:hAnsi="Arial" w:cs="Arial"/>
          <w:lang w:val="mk-MK"/>
        </w:rPr>
        <w:t xml:space="preserve"> </w:t>
      </w:r>
      <w:proofErr w:type="spellStart"/>
      <w:r w:rsidRPr="008B15F7">
        <w:rPr>
          <w:rFonts w:ascii="Arial" w:hAnsi="Arial" w:cs="Arial"/>
          <w:lang w:val="mk-MK"/>
        </w:rPr>
        <w:t>Eurostandard</w:t>
      </w:r>
      <w:proofErr w:type="spellEnd"/>
      <w:r w:rsidRPr="008B15F7">
        <w:rPr>
          <w:rFonts w:ascii="Arial" w:hAnsi="Arial" w:cs="Arial"/>
          <w:lang w:val="mk-MK"/>
        </w:rPr>
        <w:t xml:space="preserve"> </w:t>
      </w:r>
      <w:proofErr w:type="spellStart"/>
      <w:r w:rsidRPr="008B15F7">
        <w:rPr>
          <w:rFonts w:ascii="Arial" w:hAnsi="Arial" w:cs="Arial"/>
          <w:lang w:val="mk-MK"/>
        </w:rPr>
        <w:t>Bank</w:t>
      </w:r>
      <w:proofErr w:type="spellEnd"/>
      <w:r w:rsidRPr="008B15F7">
        <w:rPr>
          <w:rFonts w:ascii="Arial" w:hAnsi="Arial" w:cs="Arial"/>
          <w:lang w:val="mk-MK"/>
        </w:rPr>
        <w:t xml:space="preserve"> AD, Skopje </w:t>
      </w:r>
      <w:proofErr w:type="spellStart"/>
      <w:r w:rsidRPr="008B15F7">
        <w:rPr>
          <w:rFonts w:ascii="Arial" w:hAnsi="Arial" w:cs="Arial"/>
          <w:lang w:val="mk-MK"/>
        </w:rPr>
        <w:t>was</w:t>
      </w:r>
      <w:proofErr w:type="spellEnd"/>
      <w:r w:rsidRPr="008B15F7">
        <w:rPr>
          <w:rFonts w:ascii="Arial" w:hAnsi="Arial" w:cs="Arial"/>
          <w:lang w:val="mk-MK"/>
        </w:rPr>
        <w:t xml:space="preserve"> </w:t>
      </w:r>
      <w:proofErr w:type="spellStart"/>
      <w:r w:rsidRPr="008B15F7">
        <w:rPr>
          <w:rFonts w:ascii="Arial" w:hAnsi="Arial" w:cs="Arial"/>
          <w:lang w:val="mk-MK"/>
        </w:rPr>
        <w:t>revoked</w:t>
      </w:r>
      <w:proofErr w:type="spellEnd"/>
      <w:r w:rsidRPr="008B15F7">
        <w:rPr>
          <w:rFonts w:ascii="Arial" w:hAnsi="Arial" w:cs="Arial"/>
          <w:lang w:val="mk-MK"/>
        </w:rPr>
        <w:t xml:space="preserve">, </w:t>
      </w:r>
      <w:proofErr w:type="spellStart"/>
      <w:r w:rsidRPr="008B15F7">
        <w:rPr>
          <w:rFonts w:ascii="Arial" w:hAnsi="Arial" w:cs="Arial"/>
          <w:lang w:val="mk-MK"/>
        </w:rPr>
        <w:t>which</w:t>
      </w:r>
      <w:proofErr w:type="spellEnd"/>
      <w:r w:rsidRPr="008B15F7">
        <w:rPr>
          <w:rFonts w:ascii="Arial" w:hAnsi="Arial" w:cs="Arial"/>
          <w:lang w:val="mk-MK"/>
        </w:rPr>
        <w:t xml:space="preserve"> </w:t>
      </w:r>
      <w:proofErr w:type="spellStart"/>
      <w:r w:rsidRPr="008B15F7">
        <w:rPr>
          <w:rFonts w:ascii="Arial" w:hAnsi="Arial" w:cs="Arial"/>
          <w:lang w:val="mk-MK"/>
        </w:rPr>
        <w:t>established</w:t>
      </w:r>
      <w:proofErr w:type="spellEnd"/>
      <w:r w:rsidRPr="008B15F7">
        <w:rPr>
          <w:rFonts w:ascii="Arial" w:hAnsi="Arial" w:cs="Arial"/>
          <w:lang w:val="mk-MK"/>
        </w:rPr>
        <w:t xml:space="preserve"> </w:t>
      </w:r>
      <w:proofErr w:type="spellStart"/>
      <w:r w:rsidRPr="008B15F7">
        <w:rPr>
          <w:rFonts w:ascii="Arial" w:hAnsi="Arial" w:cs="Arial"/>
          <w:lang w:val="mk-MK"/>
        </w:rPr>
        <w:t>conditions</w:t>
      </w:r>
      <w:proofErr w:type="spellEnd"/>
      <w:r w:rsidRPr="008B15F7">
        <w:rPr>
          <w:rFonts w:ascii="Arial" w:hAnsi="Arial" w:cs="Arial"/>
          <w:lang w:val="mk-MK"/>
        </w:rPr>
        <w:t xml:space="preserve"> </w:t>
      </w:r>
      <w:proofErr w:type="spellStart"/>
      <w:r w:rsidRPr="008B15F7">
        <w:rPr>
          <w:rFonts w:ascii="Arial" w:hAnsi="Arial" w:cs="Arial"/>
          <w:lang w:val="mk-MK"/>
        </w:rPr>
        <w:t>for</w:t>
      </w:r>
      <w:proofErr w:type="spellEnd"/>
      <w:r w:rsidRPr="008B15F7">
        <w:rPr>
          <w:rFonts w:ascii="Arial" w:hAnsi="Arial" w:cs="Arial"/>
          <w:lang w:val="mk-MK"/>
        </w:rPr>
        <w:t xml:space="preserve"> </w:t>
      </w:r>
      <w:proofErr w:type="spellStart"/>
      <w:r w:rsidRPr="008B15F7">
        <w:rPr>
          <w:rFonts w:ascii="Arial" w:hAnsi="Arial" w:cs="Arial"/>
          <w:lang w:val="mk-MK"/>
        </w:rPr>
        <w:t>opening</w:t>
      </w:r>
      <w:proofErr w:type="spellEnd"/>
      <w:r w:rsidRPr="008B15F7">
        <w:rPr>
          <w:rFonts w:ascii="Arial" w:hAnsi="Arial" w:cs="Arial"/>
          <w:lang w:val="mk-MK"/>
        </w:rPr>
        <w:t xml:space="preserve"> a </w:t>
      </w:r>
      <w:proofErr w:type="spellStart"/>
      <w:r w:rsidRPr="008B15F7">
        <w:rPr>
          <w:rFonts w:ascii="Arial" w:hAnsi="Arial" w:cs="Arial"/>
          <w:lang w:val="mk-MK"/>
        </w:rPr>
        <w:t>bankruptcy</w:t>
      </w:r>
      <w:proofErr w:type="spellEnd"/>
      <w:r w:rsidRPr="008B15F7">
        <w:rPr>
          <w:rFonts w:ascii="Arial" w:hAnsi="Arial" w:cs="Arial"/>
          <w:lang w:val="mk-MK"/>
        </w:rPr>
        <w:t xml:space="preserve"> </w:t>
      </w:r>
      <w:proofErr w:type="spellStart"/>
      <w:r w:rsidRPr="008B15F7">
        <w:rPr>
          <w:rFonts w:ascii="Arial" w:hAnsi="Arial" w:cs="Arial"/>
          <w:lang w:val="mk-MK"/>
        </w:rPr>
        <w:t>procedure</w:t>
      </w:r>
      <w:proofErr w:type="spellEnd"/>
      <w:r w:rsidRPr="008B15F7">
        <w:rPr>
          <w:rFonts w:ascii="Arial" w:hAnsi="Arial" w:cs="Arial"/>
          <w:lang w:val="mk-MK"/>
        </w:rPr>
        <w:t xml:space="preserve">. </w:t>
      </w:r>
      <w:proofErr w:type="spellStart"/>
      <w:r w:rsidRPr="008B15F7">
        <w:rPr>
          <w:rFonts w:ascii="Arial" w:hAnsi="Arial" w:cs="Arial"/>
          <w:lang w:val="mk-MK"/>
        </w:rPr>
        <w:t>Based</w:t>
      </w:r>
      <w:proofErr w:type="spellEnd"/>
      <w:r w:rsidRPr="008B15F7">
        <w:rPr>
          <w:rFonts w:ascii="Arial" w:hAnsi="Arial" w:cs="Arial"/>
          <w:lang w:val="mk-MK"/>
        </w:rPr>
        <w:t xml:space="preserve"> </w:t>
      </w:r>
      <w:proofErr w:type="spellStart"/>
      <w:r w:rsidRPr="008B15F7">
        <w:rPr>
          <w:rFonts w:ascii="Arial" w:hAnsi="Arial" w:cs="Arial"/>
          <w:lang w:val="mk-MK"/>
        </w:rPr>
        <w:t>on</w:t>
      </w:r>
      <w:proofErr w:type="spellEnd"/>
      <w:r w:rsidRPr="008B15F7">
        <w:rPr>
          <w:rFonts w:ascii="Arial" w:hAnsi="Arial" w:cs="Arial"/>
          <w:lang w:val="mk-MK"/>
        </w:rPr>
        <w:t xml:space="preserve"> </w:t>
      </w:r>
      <w:proofErr w:type="spellStart"/>
      <w:r w:rsidRPr="008B15F7">
        <w:rPr>
          <w:rFonts w:ascii="Arial" w:hAnsi="Arial" w:cs="Arial"/>
          <w:lang w:val="mk-MK"/>
        </w:rPr>
        <w:t>this</w:t>
      </w:r>
      <w:proofErr w:type="spellEnd"/>
      <w:r w:rsidRPr="008B15F7">
        <w:rPr>
          <w:rFonts w:ascii="Arial" w:hAnsi="Arial" w:cs="Arial"/>
          <w:lang w:val="mk-MK"/>
        </w:rPr>
        <w:t xml:space="preserve"> </w:t>
      </w:r>
      <w:proofErr w:type="spellStart"/>
      <w:r w:rsidRPr="008B15F7">
        <w:rPr>
          <w:rFonts w:ascii="Arial" w:hAnsi="Arial" w:cs="Arial"/>
          <w:lang w:val="mk-MK"/>
        </w:rPr>
        <w:t>decision</w:t>
      </w:r>
      <w:proofErr w:type="spellEnd"/>
      <w:r w:rsidRPr="008B15F7">
        <w:rPr>
          <w:rFonts w:ascii="Arial" w:hAnsi="Arial" w:cs="Arial"/>
          <w:lang w:val="mk-MK"/>
        </w:rPr>
        <w:t xml:space="preserve">, </w:t>
      </w:r>
      <w:proofErr w:type="spellStart"/>
      <w:r w:rsidRPr="008B15F7">
        <w:rPr>
          <w:rFonts w:ascii="Arial" w:hAnsi="Arial" w:cs="Arial"/>
          <w:lang w:val="mk-MK"/>
        </w:rPr>
        <w:t>on</w:t>
      </w:r>
      <w:proofErr w:type="spellEnd"/>
      <w:r w:rsidRPr="008B15F7">
        <w:rPr>
          <w:rFonts w:ascii="Arial" w:hAnsi="Arial" w:cs="Arial"/>
          <w:lang w:val="mk-MK"/>
        </w:rPr>
        <w:t xml:space="preserve"> </w:t>
      </w:r>
      <w:proofErr w:type="spellStart"/>
      <w:r w:rsidRPr="008B15F7">
        <w:rPr>
          <w:rFonts w:ascii="Arial" w:hAnsi="Arial" w:cs="Arial"/>
          <w:lang w:val="mk-MK"/>
        </w:rPr>
        <w:t>the</w:t>
      </w:r>
      <w:proofErr w:type="spellEnd"/>
      <w:r w:rsidRPr="008B15F7">
        <w:rPr>
          <w:rFonts w:ascii="Arial" w:hAnsi="Arial" w:cs="Arial"/>
          <w:lang w:val="mk-MK"/>
        </w:rPr>
        <w:t xml:space="preserve"> </w:t>
      </w:r>
      <w:proofErr w:type="spellStart"/>
      <w:r w:rsidRPr="008B15F7">
        <w:rPr>
          <w:rFonts w:ascii="Arial" w:hAnsi="Arial" w:cs="Arial"/>
          <w:lang w:val="mk-MK"/>
        </w:rPr>
        <w:t>same</w:t>
      </w:r>
      <w:proofErr w:type="spellEnd"/>
      <w:r w:rsidRPr="008B15F7">
        <w:rPr>
          <w:rFonts w:ascii="Arial" w:hAnsi="Arial" w:cs="Arial"/>
          <w:lang w:val="mk-MK"/>
        </w:rPr>
        <w:t xml:space="preserve"> </w:t>
      </w:r>
      <w:proofErr w:type="spellStart"/>
      <w:r w:rsidRPr="008B15F7">
        <w:rPr>
          <w:rFonts w:ascii="Arial" w:hAnsi="Arial" w:cs="Arial"/>
          <w:lang w:val="mk-MK"/>
        </w:rPr>
        <w:t>date</w:t>
      </w:r>
      <w:proofErr w:type="spellEnd"/>
      <w:r w:rsidRPr="008B15F7">
        <w:rPr>
          <w:rFonts w:ascii="Arial" w:hAnsi="Arial" w:cs="Arial"/>
          <w:lang w:val="mk-MK"/>
        </w:rPr>
        <w:t xml:space="preserve"> </w:t>
      </w:r>
      <w:proofErr w:type="spellStart"/>
      <w:r w:rsidRPr="008B15F7">
        <w:rPr>
          <w:rFonts w:ascii="Arial" w:hAnsi="Arial" w:cs="Arial"/>
          <w:lang w:val="mk-MK"/>
        </w:rPr>
        <w:t>the</w:t>
      </w:r>
      <w:proofErr w:type="spellEnd"/>
      <w:r w:rsidRPr="008B15F7">
        <w:rPr>
          <w:rFonts w:ascii="Arial" w:hAnsi="Arial" w:cs="Arial"/>
          <w:lang w:val="mk-MK"/>
        </w:rPr>
        <w:t xml:space="preserve"> </w:t>
      </w:r>
      <w:proofErr w:type="spellStart"/>
      <w:r w:rsidRPr="008B15F7">
        <w:rPr>
          <w:rFonts w:ascii="Arial" w:hAnsi="Arial" w:cs="Arial"/>
          <w:lang w:val="mk-MK"/>
        </w:rPr>
        <w:t>Fund</w:t>
      </w:r>
      <w:proofErr w:type="spellEnd"/>
      <w:r w:rsidRPr="008B15F7">
        <w:rPr>
          <w:rFonts w:ascii="Arial" w:hAnsi="Arial" w:cs="Arial"/>
          <w:lang w:val="mk-MK"/>
        </w:rPr>
        <w:t xml:space="preserve"> </w:t>
      </w:r>
      <w:proofErr w:type="spellStart"/>
      <w:r w:rsidRPr="008B15F7">
        <w:rPr>
          <w:rFonts w:ascii="Arial" w:hAnsi="Arial" w:cs="Arial"/>
          <w:lang w:val="mk-MK"/>
        </w:rPr>
        <w:t>made</w:t>
      </w:r>
      <w:proofErr w:type="spellEnd"/>
      <w:r w:rsidRPr="008B15F7">
        <w:rPr>
          <w:rFonts w:ascii="Arial" w:hAnsi="Arial" w:cs="Arial"/>
          <w:lang w:val="mk-MK"/>
        </w:rPr>
        <w:t xml:space="preserve"> a </w:t>
      </w:r>
      <w:proofErr w:type="spellStart"/>
      <w:r w:rsidRPr="008B15F7">
        <w:rPr>
          <w:rFonts w:ascii="Arial" w:hAnsi="Arial" w:cs="Arial"/>
          <w:lang w:val="mk-MK"/>
        </w:rPr>
        <w:t>decision</w:t>
      </w:r>
      <w:proofErr w:type="spellEnd"/>
      <w:r w:rsidRPr="008B15F7">
        <w:rPr>
          <w:rFonts w:ascii="Arial" w:hAnsi="Arial" w:cs="Arial"/>
          <w:lang w:val="mk-MK"/>
        </w:rPr>
        <w:t xml:space="preserve"> </w:t>
      </w:r>
      <w:proofErr w:type="spellStart"/>
      <w:r w:rsidRPr="008B15F7">
        <w:rPr>
          <w:rFonts w:ascii="Arial" w:hAnsi="Arial" w:cs="Arial"/>
          <w:lang w:val="mk-MK"/>
        </w:rPr>
        <w:t>to</w:t>
      </w:r>
      <w:proofErr w:type="spellEnd"/>
      <w:r w:rsidRPr="008B15F7">
        <w:rPr>
          <w:rFonts w:ascii="Arial" w:hAnsi="Arial" w:cs="Arial"/>
          <w:lang w:val="mk-MK"/>
        </w:rPr>
        <w:t xml:space="preserve"> </w:t>
      </w:r>
      <w:proofErr w:type="spellStart"/>
      <w:r w:rsidRPr="008B15F7">
        <w:rPr>
          <w:rFonts w:ascii="Arial" w:hAnsi="Arial" w:cs="Arial"/>
          <w:lang w:val="mk-MK"/>
        </w:rPr>
        <w:t>terminate</w:t>
      </w:r>
      <w:proofErr w:type="spellEnd"/>
      <w:r w:rsidRPr="008B15F7">
        <w:rPr>
          <w:rFonts w:ascii="Arial" w:hAnsi="Arial" w:cs="Arial"/>
          <w:lang w:val="mk-MK"/>
        </w:rPr>
        <w:t xml:space="preserve"> </w:t>
      </w:r>
      <w:proofErr w:type="spellStart"/>
      <w:r w:rsidRPr="008B15F7">
        <w:rPr>
          <w:rFonts w:ascii="Arial" w:hAnsi="Arial" w:cs="Arial"/>
          <w:lang w:val="mk-MK"/>
        </w:rPr>
        <w:t>the</w:t>
      </w:r>
      <w:proofErr w:type="spellEnd"/>
      <w:r w:rsidRPr="008B15F7">
        <w:rPr>
          <w:rFonts w:ascii="Arial" w:hAnsi="Arial" w:cs="Arial"/>
          <w:lang w:val="mk-MK"/>
        </w:rPr>
        <w:t xml:space="preserve"> </w:t>
      </w:r>
      <w:proofErr w:type="spellStart"/>
      <w:r w:rsidRPr="008B15F7">
        <w:rPr>
          <w:rFonts w:ascii="Arial" w:hAnsi="Arial" w:cs="Arial"/>
          <w:lang w:val="mk-MK"/>
        </w:rPr>
        <w:t>membership</w:t>
      </w:r>
      <w:proofErr w:type="spellEnd"/>
      <w:r w:rsidRPr="008B15F7">
        <w:rPr>
          <w:rFonts w:ascii="Arial" w:hAnsi="Arial" w:cs="Arial"/>
          <w:lang w:val="mk-MK"/>
        </w:rPr>
        <w:t xml:space="preserve"> </w:t>
      </w:r>
      <w:proofErr w:type="spellStart"/>
      <w:r w:rsidRPr="008B15F7">
        <w:rPr>
          <w:rFonts w:ascii="Arial" w:hAnsi="Arial" w:cs="Arial"/>
          <w:lang w:val="mk-MK"/>
        </w:rPr>
        <w:t>of</w:t>
      </w:r>
      <w:proofErr w:type="spellEnd"/>
      <w:r w:rsidRPr="008B15F7">
        <w:rPr>
          <w:rFonts w:ascii="Arial" w:hAnsi="Arial" w:cs="Arial"/>
          <w:lang w:val="mk-MK"/>
        </w:rPr>
        <w:t xml:space="preserve"> </w:t>
      </w:r>
      <w:proofErr w:type="spellStart"/>
      <w:r w:rsidRPr="008B15F7">
        <w:rPr>
          <w:rFonts w:ascii="Arial" w:hAnsi="Arial" w:cs="Arial"/>
          <w:lang w:val="mk-MK"/>
        </w:rPr>
        <w:t>Eurostandard</w:t>
      </w:r>
      <w:proofErr w:type="spellEnd"/>
      <w:r w:rsidRPr="008B15F7">
        <w:rPr>
          <w:rFonts w:ascii="Arial" w:hAnsi="Arial" w:cs="Arial"/>
          <w:lang w:val="mk-MK"/>
        </w:rPr>
        <w:t xml:space="preserve"> </w:t>
      </w:r>
      <w:proofErr w:type="spellStart"/>
      <w:r w:rsidRPr="008B15F7">
        <w:rPr>
          <w:rFonts w:ascii="Arial" w:hAnsi="Arial" w:cs="Arial"/>
          <w:lang w:val="mk-MK"/>
        </w:rPr>
        <w:t>Bank</w:t>
      </w:r>
      <w:proofErr w:type="spellEnd"/>
      <w:r w:rsidRPr="008B15F7">
        <w:rPr>
          <w:rFonts w:ascii="Arial" w:hAnsi="Arial" w:cs="Arial"/>
          <w:lang w:val="mk-MK"/>
        </w:rPr>
        <w:t xml:space="preserve"> AD, Skopje </w:t>
      </w:r>
      <w:proofErr w:type="spellStart"/>
      <w:r w:rsidRPr="008B15F7">
        <w:rPr>
          <w:rFonts w:ascii="Arial" w:hAnsi="Arial" w:cs="Arial"/>
          <w:lang w:val="mk-MK"/>
        </w:rPr>
        <w:t>in</w:t>
      </w:r>
      <w:proofErr w:type="spellEnd"/>
      <w:r w:rsidRPr="008B15F7">
        <w:rPr>
          <w:rFonts w:ascii="Arial" w:hAnsi="Arial" w:cs="Arial"/>
          <w:lang w:val="mk-MK"/>
        </w:rPr>
        <w:t xml:space="preserve"> </w:t>
      </w:r>
      <w:proofErr w:type="spellStart"/>
      <w:r w:rsidRPr="008B15F7">
        <w:rPr>
          <w:rFonts w:ascii="Arial" w:hAnsi="Arial" w:cs="Arial"/>
          <w:lang w:val="mk-MK"/>
        </w:rPr>
        <w:t>the</w:t>
      </w:r>
      <w:proofErr w:type="spellEnd"/>
      <w:r w:rsidRPr="008B15F7">
        <w:rPr>
          <w:rFonts w:ascii="Arial" w:hAnsi="Arial" w:cs="Arial"/>
          <w:lang w:val="mk-MK"/>
        </w:rPr>
        <w:t xml:space="preserve"> </w:t>
      </w:r>
      <w:proofErr w:type="spellStart"/>
      <w:r w:rsidRPr="008B15F7">
        <w:rPr>
          <w:rFonts w:ascii="Arial" w:hAnsi="Arial" w:cs="Arial"/>
          <w:lang w:val="mk-MK"/>
        </w:rPr>
        <w:t>Fund</w:t>
      </w:r>
      <w:proofErr w:type="spellEnd"/>
      <w:r w:rsidRPr="008B15F7">
        <w:rPr>
          <w:rFonts w:ascii="Arial" w:hAnsi="Arial" w:cs="Arial"/>
          <w:lang w:val="mk-MK"/>
        </w:rPr>
        <w:t xml:space="preserve"> </w:t>
      </w:r>
      <w:proofErr w:type="spellStart"/>
      <w:r w:rsidRPr="008B15F7">
        <w:rPr>
          <w:rFonts w:ascii="Arial" w:hAnsi="Arial" w:cs="Arial"/>
          <w:lang w:val="mk-MK"/>
        </w:rPr>
        <w:t>and</w:t>
      </w:r>
      <w:proofErr w:type="spellEnd"/>
      <w:r w:rsidRPr="008B15F7">
        <w:rPr>
          <w:rFonts w:ascii="Arial" w:hAnsi="Arial" w:cs="Arial"/>
          <w:lang w:val="mk-MK"/>
        </w:rPr>
        <w:t xml:space="preserve"> a </w:t>
      </w:r>
      <w:proofErr w:type="spellStart"/>
      <w:r w:rsidRPr="008B15F7">
        <w:rPr>
          <w:rFonts w:ascii="Arial" w:hAnsi="Arial" w:cs="Arial"/>
          <w:lang w:val="mk-MK"/>
        </w:rPr>
        <w:t>decision</w:t>
      </w:r>
      <w:proofErr w:type="spellEnd"/>
      <w:r w:rsidRPr="008B15F7">
        <w:rPr>
          <w:rFonts w:ascii="Arial" w:hAnsi="Arial" w:cs="Arial"/>
          <w:lang w:val="mk-MK"/>
        </w:rPr>
        <w:t xml:space="preserve"> </w:t>
      </w:r>
      <w:proofErr w:type="spellStart"/>
      <w:r w:rsidRPr="008B15F7">
        <w:rPr>
          <w:rFonts w:ascii="Arial" w:hAnsi="Arial" w:cs="Arial"/>
          <w:lang w:val="mk-MK"/>
        </w:rPr>
        <w:t>to</w:t>
      </w:r>
      <w:proofErr w:type="spellEnd"/>
      <w:r w:rsidRPr="008B15F7">
        <w:rPr>
          <w:rFonts w:ascii="Arial" w:hAnsi="Arial" w:cs="Arial"/>
          <w:lang w:val="mk-MK"/>
        </w:rPr>
        <w:t xml:space="preserve"> </w:t>
      </w:r>
      <w:proofErr w:type="spellStart"/>
      <w:r w:rsidRPr="008B15F7">
        <w:rPr>
          <w:rFonts w:ascii="Arial" w:hAnsi="Arial" w:cs="Arial"/>
          <w:lang w:val="mk-MK"/>
        </w:rPr>
        <w:t>start</w:t>
      </w:r>
      <w:proofErr w:type="spellEnd"/>
      <w:r w:rsidRPr="008B15F7">
        <w:rPr>
          <w:rFonts w:ascii="Arial" w:hAnsi="Arial" w:cs="Arial"/>
          <w:lang w:val="mk-MK"/>
        </w:rPr>
        <w:t xml:space="preserve"> </w:t>
      </w:r>
      <w:proofErr w:type="spellStart"/>
      <w:r w:rsidRPr="008B15F7">
        <w:rPr>
          <w:rFonts w:ascii="Arial" w:hAnsi="Arial" w:cs="Arial"/>
          <w:lang w:val="mk-MK"/>
        </w:rPr>
        <w:t>compensating</w:t>
      </w:r>
      <w:proofErr w:type="spellEnd"/>
      <w:r w:rsidRPr="008B15F7">
        <w:rPr>
          <w:rFonts w:ascii="Arial" w:hAnsi="Arial" w:cs="Arial"/>
          <w:lang w:val="mk-MK"/>
        </w:rPr>
        <w:t xml:space="preserve"> </w:t>
      </w:r>
      <w:proofErr w:type="spellStart"/>
      <w:r w:rsidRPr="008B15F7">
        <w:rPr>
          <w:rFonts w:ascii="Arial" w:hAnsi="Arial" w:cs="Arial"/>
          <w:lang w:val="mk-MK"/>
        </w:rPr>
        <w:t>the</w:t>
      </w:r>
      <w:proofErr w:type="spellEnd"/>
      <w:r w:rsidRPr="008B15F7">
        <w:rPr>
          <w:rFonts w:ascii="Arial" w:hAnsi="Arial" w:cs="Arial"/>
          <w:lang w:val="mk-MK"/>
        </w:rPr>
        <w:t xml:space="preserve"> </w:t>
      </w:r>
      <w:proofErr w:type="spellStart"/>
      <w:r w:rsidRPr="008B15F7">
        <w:rPr>
          <w:rFonts w:ascii="Arial" w:hAnsi="Arial" w:cs="Arial"/>
          <w:lang w:val="mk-MK"/>
        </w:rPr>
        <w:t>depositors</w:t>
      </w:r>
      <w:proofErr w:type="spellEnd"/>
      <w:r w:rsidRPr="008B15F7">
        <w:rPr>
          <w:rFonts w:ascii="Arial" w:hAnsi="Arial" w:cs="Arial"/>
          <w:lang w:val="mk-MK"/>
        </w:rPr>
        <w:t xml:space="preserve"> </w:t>
      </w:r>
      <w:proofErr w:type="spellStart"/>
      <w:r w:rsidRPr="008B15F7">
        <w:rPr>
          <w:rFonts w:ascii="Arial" w:hAnsi="Arial" w:cs="Arial"/>
          <w:lang w:val="mk-MK"/>
        </w:rPr>
        <w:t>in</w:t>
      </w:r>
      <w:proofErr w:type="spellEnd"/>
      <w:r w:rsidRPr="008B15F7">
        <w:rPr>
          <w:rFonts w:ascii="Arial" w:hAnsi="Arial" w:cs="Arial"/>
          <w:lang w:val="mk-MK"/>
        </w:rPr>
        <w:t xml:space="preserve"> </w:t>
      </w:r>
      <w:proofErr w:type="spellStart"/>
      <w:r w:rsidRPr="008B15F7">
        <w:rPr>
          <w:rFonts w:ascii="Arial" w:hAnsi="Arial" w:cs="Arial"/>
          <w:lang w:val="mk-MK"/>
        </w:rPr>
        <w:t>accordance</w:t>
      </w:r>
      <w:proofErr w:type="spellEnd"/>
      <w:r w:rsidRPr="008B15F7">
        <w:rPr>
          <w:rFonts w:ascii="Arial" w:hAnsi="Arial" w:cs="Arial"/>
          <w:lang w:val="mk-MK"/>
        </w:rPr>
        <w:t xml:space="preserve"> </w:t>
      </w:r>
      <w:proofErr w:type="spellStart"/>
      <w:r w:rsidRPr="008B15F7">
        <w:rPr>
          <w:rFonts w:ascii="Arial" w:hAnsi="Arial" w:cs="Arial"/>
          <w:lang w:val="mk-MK"/>
        </w:rPr>
        <w:t>with</w:t>
      </w:r>
      <w:proofErr w:type="spellEnd"/>
      <w:r w:rsidRPr="008B15F7">
        <w:rPr>
          <w:rFonts w:ascii="Arial" w:hAnsi="Arial" w:cs="Arial"/>
          <w:lang w:val="mk-MK"/>
        </w:rPr>
        <w:t xml:space="preserve"> </w:t>
      </w:r>
      <w:proofErr w:type="spellStart"/>
      <w:r w:rsidRPr="008B15F7">
        <w:rPr>
          <w:rFonts w:ascii="Arial" w:hAnsi="Arial" w:cs="Arial"/>
          <w:lang w:val="mk-MK"/>
        </w:rPr>
        <w:t>the</w:t>
      </w:r>
      <w:proofErr w:type="spellEnd"/>
      <w:r w:rsidRPr="008B15F7">
        <w:rPr>
          <w:rFonts w:ascii="Arial" w:hAnsi="Arial" w:cs="Arial"/>
          <w:lang w:val="mk-MK"/>
        </w:rPr>
        <w:t xml:space="preserve"> </w:t>
      </w:r>
      <w:proofErr w:type="spellStart"/>
      <w:r w:rsidRPr="008B15F7">
        <w:rPr>
          <w:rFonts w:ascii="Arial" w:hAnsi="Arial" w:cs="Arial"/>
          <w:lang w:val="mk-MK"/>
        </w:rPr>
        <w:t>legislation</w:t>
      </w:r>
      <w:proofErr w:type="spellEnd"/>
      <w:r w:rsidRPr="008B15F7">
        <w:rPr>
          <w:rFonts w:ascii="Arial" w:hAnsi="Arial" w:cs="Arial"/>
          <w:lang w:val="mk-MK"/>
        </w:rPr>
        <w:t xml:space="preserve"> </w:t>
      </w:r>
      <w:proofErr w:type="spellStart"/>
      <w:r w:rsidRPr="008B15F7">
        <w:rPr>
          <w:rFonts w:ascii="Arial" w:hAnsi="Arial" w:cs="Arial"/>
          <w:lang w:val="mk-MK"/>
        </w:rPr>
        <w:t>and</w:t>
      </w:r>
      <w:proofErr w:type="spellEnd"/>
      <w:r w:rsidRPr="008B15F7">
        <w:rPr>
          <w:rFonts w:ascii="Arial" w:hAnsi="Arial" w:cs="Arial"/>
          <w:lang w:val="mk-MK"/>
        </w:rPr>
        <w:t xml:space="preserve"> </w:t>
      </w:r>
      <w:proofErr w:type="spellStart"/>
      <w:r w:rsidRPr="008B15F7">
        <w:rPr>
          <w:rFonts w:ascii="Arial" w:hAnsi="Arial" w:cs="Arial"/>
          <w:lang w:val="mk-MK"/>
        </w:rPr>
        <w:t>internal</w:t>
      </w:r>
      <w:proofErr w:type="spellEnd"/>
      <w:r w:rsidRPr="008B15F7">
        <w:rPr>
          <w:rFonts w:ascii="Arial" w:hAnsi="Arial" w:cs="Arial"/>
          <w:lang w:val="mk-MK"/>
        </w:rPr>
        <w:t xml:space="preserve"> </w:t>
      </w:r>
      <w:proofErr w:type="spellStart"/>
      <w:r w:rsidRPr="008B15F7">
        <w:rPr>
          <w:rFonts w:ascii="Arial" w:hAnsi="Arial" w:cs="Arial"/>
          <w:lang w:val="mk-MK"/>
        </w:rPr>
        <w:t>acts</w:t>
      </w:r>
      <w:proofErr w:type="spellEnd"/>
      <w:r w:rsidRPr="008B15F7">
        <w:rPr>
          <w:rFonts w:ascii="Arial" w:hAnsi="Arial" w:cs="Arial"/>
          <w:lang w:val="mk-MK"/>
        </w:rPr>
        <w:t xml:space="preserve"> </w:t>
      </w:r>
      <w:proofErr w:type="spellStart"/>
      <w:r w:rsidRPr="008B15F7">
        <w:rPr>
          <w:rFonts w:ascii="Arial" w:hAnsi="Arial" w:cs="Arial"/>
          <w:lang w:val="mk-MK"/>
        </w:rPr>
        <w:t>of</w:t>
      </w:r>
      <w:proofErr w:type="spellEnd"/>
      <w:r w:rsidRPr="008B15F7">
        <w:rPr>
          <w:rFonts w:ascii="Arial" w:hAnsi="Arial" w:cs="Arial"/>
          <w:lang w:val="mk-MK"/>
        </w:rPr>
        <w:t xml:space="preserve"> </w:t>
      </w:r>
      <w:proofErr w:type="spellStart"/>
      <w:r w:rsidRPr="008B15F7">
        <w:rPr>
          <w:rFonts w:ascii="Arial" w:hAnsi="Arial" w:cs="Arial"/>
          <w:lang w:val="mk-MK"/>
        </w:rPr>
        <w:t>the</w:t>
      </w:r>
      <w:proofErr w:type="spellEnd"/>
      <w:r w:rsidRPr="008B15F7">
        <w:rPr>
          <w:rFonts w:ascii="Arial" w:hAnsi="Arial" w:cs="Arial"/>
          <w:lang w:val="mk-MK"/>
        </w:rPr>
        <w:t xml:space="preserve"> </w:t>
      </w:r>
      <w:proofErr w:type="spellStart"/>
      <w:r w:rsidRPr="008B15F7">
        <w:rPr>
          <w:rFonts w:ascii="Arial" w:hAnsi="Arial" w:cs="Arial"/>
          <w:lang w:val="mk-MK"/>
        </w:rPr>
        <w:t>Fund</w:t>
      </w:r>
      <w:proofErr w:type="spellEnd"/>
      <w:r w:rsidRPr="008B15F7">
        <w:rPr>
          <w:rFonts w:ascii="Arial" w:hAnsi="Arial" w:cs="Arial"/>
          <w:lang w:val="mk-MK"/>
        </w:rPr>
        <w:t>.</w:t>
      </w:r>
      <w:r w:rsidR="00F93B95" w:rsidRPr="00CE3053">
        <w:rPr>
          <w:rFonts w:ascii="Arial" w:hAnsi="Arial" w:cs="Arial"/>
          <w:lang w:val="mk-MK"/>
        </w:rPr>
        <w:t xml:space="preserve"> </w:t>
      </w:r>
      <w:proofErr w:type="spellStart"/>
      <w:r w:rsidRPr="008B15F7">
        <w:rPr>
          <w:rFonts w:ascii="Arial" w:hAnsi="Arial" w:cs="Arial"/>
          <w:lang w:val="mk-MK"/>
        </w:rPr>
        <w:t>During</w:t>
      </w:r>
      <w:proofErr w:type="spellEnd"/>
      <w:r w:rsidRPr="008B15F7">
        <w:rPr>
          <w:rFonts w:ascii="Arial" w:hAnsi="Arial" w:cs="Arial"/>
          <w:lang w:val="mk-MK"/>
        </w:rPr>
        <w:t xml:space="preserve"> 2021, </w:t>
      </w:r>
      <w:proofErr w:type="spellStart"/>
      <w:r w:rsidRPr="008B15F7">
        <w:rPr>
          <w:rFonts w:ascii="Arial" w:hAnsi="Arial" w:cs="Arial"/>
          <w:lang w:val="mk-MK"/>
        </w:rPr>
        <w:t>the</w:t>
      </w:r>
      <w:proofErr w:type="spellEnd"/>
      <w:r w:rsidRPr="008B15F7">
        <w:rPr>
          <w:rFonts w:ascii="Arial" w:hAnsi="Arial" w:cs="Arial"/>
          <w:lang w:val="mk-MK"/>
        </w:rPr>
        <w:t xml:space="preserve"> </w:t>
      </w:r>
      <w:proofErr w:type="spellStart"/>
      <w:r w:rsidRPr="008B15F7">
        <w:rPr>
          <w:rFonts w:ascii="Arial" w:hAnsi="Arial" w:cs="Arial"/>
          <w:lang w:val="mk-MK"/>
        </w:rPr>
        <w:t>Security</w:t>
      </w:r>
      <w:proofErr w:type="spellEnd"/>
      <w:r w:rsidRPr="008B15F7">
        <w:rPr>
          <w:rFonts w:ascii="Arial" w:hAnsi="Arial" w:cs="Arial"/>
          <w:lang w:val="mk-MK"/>
        </w:rPr>
        <w:t xml:space="preserve"> </w:t>
      </w:r>
      <w:proofErr w:type="spellStart"/>
      <w:r w:rsidRPr="008B15F7">
        <w:rPr>
          <w:rFonts w:ascii="Arial" w:hAnsi="Arial" w:cs="Arial"/>
          <w:lang w:val="mk-MK"/>
        </w:rPr>
        <w:t>Fund</w:t>
      </w:r>
      <w:proofErr w:type="spellEnd"/>
      <w:r w:rsidRPr="008B15F7">
        <w:rPr>
          <w:rFonts w:ascii="Arial" w:hAnsi="Arial" w:cs="Arial"/>
          <w:lang w:val="mk-MK"/>
        </w:rPr>
        <w:t xml:space="preserve"> </w:t>
      </w:r>
      <w:proofErr w:type="spellStart"/>
      <w:r w:rsidRPr="008B15F7">
        <w:rPr>
          <w:rFonts w:ascii="Arial" w:hAnsi="Arial" w:cs="Arial"/>
          <w:lang w:val="mk-MK"/>
        </w:rPr>
        <w:t>paid</w:t>
      </w:r>
      <w:proofErr w:type="spellEnd"/>
      <w:r w:rsidRPr="008B15F7">
        <w:rPr>
          <w:rFonts w:ascii="Arial" w:hAnsi="Arial" w:cs="Arial"/>
          <w:lang w:val="mk-MK"/>
        </w:rPr>
        <w:t xml:space="preserve"> a </w:t>
      </w:r>
      <w:proofErr w:type="spellStart"/>
      <w:r w:rsidRPr="008B15F7">
        <w:rPr>
          <w:rFonts w:ascii="Arial" w:hAnsi="Arial" w:cs="Arial"/>
          <w:lang w:val="mk-MK"/>
        </w:rPr>
        <w:t>total</w:t>
      </w:r>
      <w:proofErr w:type="spellEnd"/>
      <w:r w:rsidRPr="008B15F7">
        <w:rPr>
          <w:rFonts w:ascii="Arial" w:hAnsi="Arial" w:cs="Arial"/>
          <w:lang w:val="mk-MK"/>
        </w:rPr>
        <w:t xml:space="preserve"> </w:t>
      </w:r>
      <w:proofErr w:type="spellStart"/>
      <w:r w:rsidRPr="008B15F7">
        <w:rPr>
          <w:rFonts w:ascii="Arial" w:hAnsi="Arial" w:cs="Arial"/>
          <w:lang w:val="mk-MK"/>
        </w:rPr>
        <w:t>amount</w:t>
      </w:r>
      <w:proofErr w:type="spellEnd"/>
      <w:r w:rsidRPr="008B15F7">
        <w:rPr>
          <w:rFonts w:ascii="Arial" w:hAnsi="Arial" w:cs="Arial"/>
          <w:lang w:val="mk-MK"/>
        </w:rPr>
        <w:t xml:space="preserve"> </w:t>
      </w:r>
      <w:proofErr w:type="spellStart"/>
      <w:r w:rsidRPr="008B15F7">
        <w:rPr>
          <w:rFonts w:ascii="Arial" w:hAnsi="Arial" w:cs="Arial"/>
          <w:lang w:val="mk-MK"/>
        </w:rPr>
        <w:t>of</w:t>
      </w:r>
      <w:proofErr w:type="spellEnd"/>
      <w:r w:rsidRPr="008B15F7">
        <w:rPr>
          <w:rFonts w:ascii="Arial" w:hAnsi="Arial" w:cs="Arial"/>
          <w:lang w:val="mk-MK"/>
        </w:rPr>
        <w:t xml:space="preserve"> </w:t>
      </w:r>
      <w:proofErr w:type="spellStart"/>
      <w:r w:rsidRPr="008B15F7">
        <w:rPr>
          <w:rFonts w:ascii="Arial" w:hAnsi="Arial" w:cs="Arial"/>
          <w:lang w:val="mk-MK"/>
        </w:rPr>
        <w:t>compensation</w:t>
      </w:r>
      <w:proofErr w:type="spellEnd"/>
      <w:r w:rsidRPr="008B15F7">
        <w:rPr>
          <w:rFonts w:ascii="Arial" w:hAnsi="Arial" w:cs="Arial"/>
          <w:lang w:val="mk-MK"/>
        </w:rPr>
        <w:t xml:space="preserve"> </w:t>
      </w:r>
      <w:proofErr w:type="spellStart"/>
      <w:r w:rsidRPr="008B15F7">
        <w:rPr>
          <w:rFonts w:ascii="Arial" w:hAnsi="Arial" w:cs="Arial"/>
          <w:lang w:val="mk-MK"/>
        </w:rPr>
        <w:t>to</w:t>
      </w:r>
      <w:proofErr w:type="spellEnd"/>
      <w:r w:rsidRPr="008B15F7">
        <w:rPr>
          <w:rFonts w:ascii="Arial" w:hAnsi="Arial" w:cs="Arial"/>
          <w:lang w:val="mk-MK"/>
        </w:rPr>
        <w:t xml:space="preserve"> </w:t>
      </w:r>
      <w:proofErr w:type="spellStart"/>
      <w:r w:rsidRPr="008B15F7">
        <w:rPr>
          <w:rFonts w:ascii="Arial" w:hAnsi="Arial" w:cs="Arial"/>
          <w:lang w:val="mk-MK"/>
        </w:rPr>
        <w:t>depositors</w:t>
      </w:r>
      <w:proofErr w:type="spellEnd"/>
      <w:r w:rsidRPr="008B15F7">
        <w:rPr>
          <w:rFonts w:ascii="Arial" w:hAnsi="Arial" w:cs="Arial"/>
          <w:lang w:val="mk-MK"/>
        </w:rPr>
        <w:t xml:space="preserve"> </w:t>
      </w:r>
      <w:proofErr w:type="spellStart"/>
      <w:r w:rsidRPr="008B15F7">
        <w:rPr>
          <w:rFonts w:ascii="Arial" w:hAnsi="Arial" w:cs="Arial"/>
          <w:lang w:val="mk-MK"/>
        </w:rPr>
        <w:t>of</w:t>
      </w:r>
      <w:proofErr w:type="spellEnd"/>
      <w:r w:rsidRPr="008B15F7">
        <w:rPr>
          <w:rFonts w:ascii="Arial" w:hAnsi="Arial" w:cs="Arial"/>
          <w:lang w:val="mk-MK"/>
        </w:rPr>
        <w:t xml:space="preserve"> 3,082 </w:t>
      </w:r>
      <w:proofErr w:type="spellStart"/>
      <w:r w:rsidRPr="008B15F7">
        <w:rPr>
          <w:rFonts w:ascii="Arial" w:hAnsi="Arial" w:cs="Arial"/>
          <w:lang w:val="mk-MK"/>
        </w:rPr>
        <w:t>thousand</w:t>
      </w:r>
      <w:proofErr w:type="spellEnd"/>
      <w:r w:rsidRPr="008B15F7">
        <w:rPr>
          <w:rFonts w:ascii="Arial" w:hAnsi="Arial" w:cs="Arial"/>
          <w:lang w:val="mk-MK"/>
        </w:rPr>
        <w:t xml:space="preserve"> </w:t>
      </w:r>
      <w:proofErr w:type="spellStart"/>
      <w:r w:rsidRPr="008B15F7">
        <w:rPr>
          <w:rFonts w:ascii="Arial" w:hAnsi="Arial" w:cs="Arial"/>
          <w:lang w:val="mk-MK"/>
        </w:rPr>
        <w:t>denars</w:t>
      </w:r>
      <w:proofErr w:type="spellEnd"/>
      <w:r w:rsidRPr="008B15F7">
        <w:rPr>
          <w:rFonts w:ascii="Arial" w:hAnsi="Arial" w:cs="Arial"/>
          <w:lang w:val="mk-MK"/>
        </w:rPr>
        <w:t xml:space="preserve"> (2020: </w:t>
      </w:r>
      <w:r w:rsidR="00D029A8">
        <w:rPr>
          <w:rFonts w:ascii="Arial" w:hAnsi="Arial" w:cs="Arial"/>
          <w:lang w:val="en-US"/>
        </w:rPr>
        <w:t xml:space="preserve">Denar </w:t>
      </w:r>
      <w:r w:rsidRPr="008B15F7">
        <w:rPr>
          <w:rFonts w:ascii="Arial" w:hAnsi="Arial" w:cs="Arial"/>
          <w:lang w:val="mk-MK"/>
        </w:rPr>
        <w:t xml:space="preserve">4,177,532 </w:t>
      </w:r>
      <w:proofErr w:type="spellStart"/>
      <w:r w:rsidRPr="008B15F7">
        <w:rPr>
          <w:rFonts w:ascii="Arial" w:hAnsi="Arial" w:cs="Arial"/>
          <w:lang w:val="mk-MK"/>
        </w:rPr>
        <w:t>thousand</w:t>
      </w:r>
      <w:proofErr w:type="spellEnd"/>
      <w:r w:rsidRPr="008B15F7">
        <w:rPr>
          <w:rFonts w:ascii="Arial" w:hAnsi="Arial" w:cs="Arial"/>
          <w:lang w:val="mk-MK"/>
        </w:rPr>
        <w:t xml:space="preserve">), </w:t>
      </w:r>
      <w:proofErr w:type="spellStart"/>
      <w:r w:rsidRPr="008B15F7">
        <w:rPr>
          <w:rFonts w:ascii="Arial" w:hAnsi="Arial" w:cs="Arial"/>
          <w:lang w:val="mk-MK"/>
        </w:rPr>
        <w:t>of</w:t>
      </w:r>
      <w:proofErr w:type="spellEnd"/>
      <w:r w:rsidRPr="008B15F7">
        <w:rPr>
          <w:rFonts w:ascii="Arial" w:hAnsi="Arial" w:cs="Arial"/>
          <w:lang w:val="mk-MK"/>
        </w:rPr>
        <w:t xml:space="preserve"> </w:t>
      </w:r>
      <w:proofErr w:type="spellStart"/>
      <w:r w:rsidRPr="008B15F7">
        <w:rPr>
          <w:rFonts w:ascii="Arial" w:hAnsi="Arial" w:cs="Arial"/>
          <w:lang w:val="mk-MK"/>
        </w:rPr>
        <w:t>which</w:t>
      </w:r>
      <w:proofErr w:type="spellEnd"/>
      <w:r w:rsidRPr="008B15F7">
        <w:rPr>
          <w:rFonts w:ascii="Arial" w:hAnsi="Arial" w:cs="Arial"/>
          <w:lang w:val="mk-MK"/>
        </w:rPr>
        <w:t xml:space="preserve"> 3,011 </w:t>
      </w:r>
      <w:proofErr w:type="spellStart"/>
      <w:r w:rsidRPr="008B15F7">
        <w:rPr>
          <w:rFonts w:ascii="Arial" w:hAnsi="Arial" w:cs="Arial"/>
          <w:lang w:val="mk-MK"/>
        </w:rPr>
        <w:t>thousand</w:t>
      </w:r>
      <w:proofErr w:type="spellEnd"/>
      <w:r w:rsidRPr="008B15F7">
        <w:rPr>
          <w:rFonts w:ascii="Arial" w:hAnsi="Arial" w:cs="Arial"/>
          <w:lang w:val="mk-MK"/>
        </w:rPr>
        <w:t xml:space="preserve"> </w:t>
      </w:r>
      <w:proofErr w:type="spellStart"/>
      <w:r w:rsidRPr="008B15F7">
        <w:rPr>
          <w:rFonts w:ascii="Arial" w:hAnsi="Arial" w:cs="Arial"/>
          <w:lang w:val="mk-MK"/>
        </w:rPr>
        <w:t>denars</w:t>
      </w:r>
      <w:proofErr w:type="spellEnd"/>
      <w:r w:rsidRPr="008B15F7">
        <w:rPr>
          <w:rFonts w:ascii="Arial" w:hAnsi="Arial" w:cs="Arial"/>
          <w:lang w:val="mk-MK"/>
        </w:rPr>
        <w:t xml:space="preserve"> </w:t>
      </w:r>
      <w:proofErr w:type="spellStart"/>
      <w:r w:rsidRPr="008B15F7">
        <w:rPr>
          <w:rFonts w:ascii="Arial" w:hAnsi="Arial" w:cs="Arial"/>
          <w:lang w:val="mk-MK"/>
        </w:rPr>
        <w:t>refer</w:t>
      </w:r>
      <w:proofErr w:type="spellEnd"/>
      <w:r w:rsidRPr="008B15F7">
        <w:rPr>
          <w:rFonts w:ascii="Arial" w:hAnsi="Arial" w:cs="Arial"/>
          <w:lang w:val="mk-MK"/>
        </w:rPr>
        <w:t xml:space="preserve"> </w:t>
      </w:r>
      <w:proofErr w:type="spellStart"/>
      <w:r w:rsidRPr="008B15F7">
        <w:rPr>
          <w:rFonts w:ascii="Arial" w:hAnsi="Arial" w:cs="Arial"/>
          <w:lang w:val="mk-MK"/>
        </w:rPr>
        <w:t>to</w:t>
      </w:r>
      <w:proofErr w:type="spellEnd"/>
      <w:r w:rsidRPr="008B15F7">
        <w:rPr>
          <w:rFonts w:ascii="Arial" w:hAnsi="Arial" w:cs="Arial"/>
          <w:lang w:val="mk-MK"/>
        </w:rPr>
        <w:t xml:space="preserve"> </w:t>
      </w:r>
      <w:proofErr w:type="spellStart"/>
      <w:r w:rsidRPr="008B15F7">
        <w:rPr>
          <w:rFonts w:ascii="Arial" w:hAnsi="Arial" w:cs="Arial"/>
          <w:lang w:val="mk-MK"/>
        </w:rPr>
        <w:t>paid</w:t>
      </w:r>
      <w:proofErr w:type="spellEnd"/>
      <w:r w:rsidRPr="008B15F7">
        <w:rPr>
          <w:rFonts w:ascii="Arial" w:hAnsi="Arial" w:cs="Arial"/>
          <w:lang w:val="mk-MK"/>
        </w:rPr>
        <w:t xml:space="preserve"> </w:t>
      </w:r>
      <w:proofErr w:type="spellStart"/>
      <w:r w:rsidRPr="008B15F7">
        <w:rPr>
          <w:rFonts w:ascii="Arial" w:hAnsi="Arial" w:cs="Arial"/>
          <w:lang w:val="mk-MK"/>
        </w:rPr>
        <w:t>compensation</w:t>
      </w:r>
      <w:proofErr w:type="spellEnd"/>
      <w:r w:rsidRPr="008B15F7">
        <w:rPr>
          <w:rFonts w:ascii="Arial" w:hAnsi="Arial" w:cs="Arial"/>
          <w:lang w:val="mk-MK"/>
        </w:rPr>
        <w:t xml:space="preserve"> </w:t>
      </w:r>
      <w:proofErr w:type="spellStart"/>
      <w:r w:rsidRPr="008B15F7">
        <w:rPr>
          <w:rFonts w:ascii="Arial" w:hAnsi="Arial" w:cs="Arial"/>
          <w:lang w:val="mk-MK"/>
        </w:rPr>
        <w:t>to</w:t>
      </w:r>
      <w:proofErr w:type="spellEnd"/>
      <w:r w:rsidRPr="008B15F7">
        <w:rPr>
          <w:rFonts w:ascii="Arial" w:hAnsi="Arial" w:cs="Arial"/>
          <w:lang w:val="mk-MK"/>
        </w:rPr>
        <w:t xml:space="preserve"> </w:t>
      </w:r>
      <w:proofErr w:type="spellStart"/>
      <w:r w:rsidRPr="008B15F7">
        <w:rPr>
          <w:rFonts w:ascii="Arial" w:hAnsi="Arial" w:cs="Arial"/>
          <w:lang w:val="mk-MK"/>
        </w:rPr>
        <w:t>depositors</w:t>
      </w:r>
      <w:proofErr w:type="spellEnd"/>
      <w:r w:rsidRPr="008B15F7">
        <w:rPr>
          <w:rFonts w:ascii="Arial" w:hAnsi="Arial" w:cs="Arial"/>
          <w:lang w:val="mk-MK"/>
        </w:rPr>
        <w:t xml:space="preserve"> </w:t>
      </w:r>
      <w:proofErr w:type="spellStart"/>
      <w:r w:rsidRPr="008B15F7">
        <w:rPr>
          <w:rFonts w:ascii="Arial" w:hAnsi="Arial" w:cs="Arial"/>
          <w:lang w:val="mk-MK"/>
        </w:rPr>
        <w:t>from</w:t>
      </w:r>
      <w:proofErr w:type="spellEnd"/>
      <w:r w:rsidRPr="008B15F7">
        <w:rPr>
          <w:rFonts w:ascii="Arial" w:hAnsi="Arial" w:cs="Arial"/>
          <w:lang w:val="mk-MK"/>
        </w:rPr>
        <w:t xml:space="preserve"> </w:t>
      </w:r>
      <w:proofErr w:type="spellStart"/>
      <w:r w:rsidRPr="008B15F7">
        <w:rPr>
          <w:rFonts w:ascii="Arial" w:hAnsi="Arial" w:cs="Arial"/>
          <w:lang w:val="mk-MK"/>
        </w:rPr>
        <w:t>Eurostandard</w:t>
      </w:r>
      <w:proofErr w:type="spellEnd"/>
      <w:r w:rsidRPr="008B15F7">
        <w:rPr>
          <w:rFonts w:ascii="Arial" w:hAnsi="Arial" w:cs="Arial"/>
          <w:lang w:val="mk-MK"/>
        </w:rPr>
        <w:t xml:space="preserve"> </w:t>
      </w:r>
      <w:proofErr w:type="spellStart"/>
      <w:r w:rsidRPr="008B15F7">
        <w:rPr>
          <w:rFonts w:ascii="Arial" w:hAnsi="Arial" w:cs="Arial"/>
          <w:lang w:val="mk-MK"/>
        </w:rPr>
        <w:t>Bank</w:t>
      </w:r>
      <w:proofErr w:type="spellEnd"/>
      <w:r w:rsidRPr="008B15F7">
        <w:rPr>
          <w:rFonts w:ascii="Arial" w:hAnsi="Arial" w:cs="Arial"/>
          <w:lang w:val="mk-MK"/>
        </w:rPr>
        <w:t xml:space="preserve"> AD Skopje (2020: </w:t>
      </w:r>
      <w:r w:rsidR="00D029A8">
        <w:rPr>
          <w:rFonts w:ascii="Arial" w:hAnsi="Arial" w:cs="Arial"/>
          <w:lang w:val="en-US"/>
        </w:rPr>
        <w:t xml:space="preserve">Denar </w:t>
      </w:r>
      <w:r w:rsidRPr="008B15F7">
        <w:rPr>
          <w:rFonts w:ascii="Arial" w:hAnsi="Arial" w:cs="Arial"/>
          <w:lang w:val="mk-MK"/>
        </w:rPr>
        <w:t xml:space="preserve">4,177,523 </w:t>
      </w:r>
      <w:proofErr w:type="spellStart"/>
      <w:r w:rsidRPr="008B15F7">
        <w:rPr>
          <w:rFonts w:ascii="Arial" w:hAnsi="Arial" w:cs="Arial"/>
          <w:lang w:val="mk-MK"/>
        </w:rPr>
        <w:t>thousan</w:t>
      </w:r>
      <w:proofErr w:type="spellEnd"/>
      <w:r w:rsidR="00D029A8">
        <w:rPr>
          <w:rFonts w:ascii="Arial" w:hAnsi="Arial" w:cs="Arial"/>
          <w:lang w:val="en-US"/>
        </w:rPr>
        <w:t>d</w:t>
      </w:r>
      <w:r w:rsidRPr="008B15F7">
        <w:rPr>
          <w:rFonts w:ascii="Arial" w:hAnsi="Arial" w:cs="Arial"/>
          <w:lang w:val="mk-MK"/>
        </w:rPr>
        <w:t xml:space="preserve">), </w:t>
      </w:r>
      <w:proofErr w:type="spellStart"/>
      <w:r w:rsidRPr="008B15F7">
        <w:rPr>
          <w:rFonts w:ascii="Arial" w:hAnsi="Arial" w:cs="Arial"/>
          <w:lang w:val="mk-MK"/>
        </w:rPr>
        <w:t>while</w:t>
      </w:r>
      <w:proofErr w:type="spellEnd"/>
      <w:r w:rsidRPr="008B15F7">
        <w:rPr>
          <w:rFonts w:ascii="Arial" w:hAnsi="Arial" w:cs="Arial"/>
          <w:lang w:val="mk-MK"/>
        </w:rPr>
        <w:t xml:space="preserve"> 71 </w:t>
      </w:r>
      <w:proofErr w:type="spellStart"/>
      <w:r w:rsidRPr="008B15F7">
        <w:rPr>
          <w:rFonts w:ascii="Arial" w:hAnsi="Arial" w:cs="Arial"/>
          <w:lang w:val="mk-MK"/>
        </w:rPr>
        <w:t>thousand</w:t>
      </w:r>
      <w:proofErr w:type="spellEnd"/>
      <w:r w:rsidRPr="008B15F7">
        <w:rPr>
          <w:rFonts w:ascii="Arial" w:hAnsi="Arial" w:cs="Arial"/>
          <w:lang w:val="mk-MK"/>
        </w:rPr>
        <w:t xml:space="preserve"> </w:t>
      </w:r>
      <w:proofErr w:type="spellStart"/>
      <w:r w:rsidRPr="008B15F7">
        <w:rPr>
          <w:rFonts w:ascii="Arial" w:hAnsi="Arial" w:cs="Arial"/>
          <w:lang w:val="mk-MK"/>
        </w:rPr>
        <w:t>denars</w:t>
      </w:r>
      <w:proofErr w:type="spellEnd"/>
      <w:r w:rsidRPr="008B15F7">
        <w:rPr>
          <w:rFonts w:ascii="Arial" w:hAnsi="Arial" w:cs="Arial"/>
          <w:lang w:val="mk-MK"/>
        </w:rPr>
        <w:t xml:space="preserve"> (2020: </w:t>
      </w:r>
      <w:r w:rsidR="00D029A8">
        <w:rPr>
          <w:rFonts w:ascii="Arial" w:hAnsi="Arial" w:cs="Arial"/>
          <w:lang w:val="en-US"/>
        </w:rPr>
        <w:t xml:space="preserve">Denar </w:t>
      </w:r>
      <w:r w:rsidRPr="008B15F7">
        <w:rPr>
          <w:rFonts w:ascii="Arial" w:hAnsi="Arial" w:cs="Arial"/>
          <w:lang w:val="mk-MK"/>
        </w:rPr>
        <w:t xml:space="preserve">9 </w:t>
      </w:r>
      <w:proofErr w:type="spellStart"/>
      <w:r w:rsidRPr="008B15F7">
        <w:rPr>
          <w:rFonts w:ascii="Arial" w:hAnsi="Arial" w:cs="Arial"/>
          <w:lang w:val="mk-MK"/>
        </w:rPr>
        <w:t>thousand</w:t>
      </w:r>
      <w:proofErr w:type="spellEnd"/>
      <w:r w:rsidRPr="008B15F7">
        <w:rPr>
          <w:rFonts w:ascii="Arial" w:hAnsi="Arial" w:cs="Arial"/>
          <w:lang w:val="mk-MK"/>
        </w:rPr>
        <w:t xml:space="preserve">), </w:t>
      </w:r>
      <w:proofErr w:type="spellStart"/>
      <w:r w:rsidRPr="008B15F7">
        <w:rPr>
          <w:rFonts w:ascii="Arial" w:hAnsi="Arial" w:cs="Arial"/>
          <w:lang w:val="mk-MK"/>
        </w:rPr>
        <w:t>refer</w:t>
      </w:r>
      <w:proofErr w:type="spellEnd"/>
      <w:r w:rsidRPr="008B15F7">
        <w:rPr>
          <w:rFonts w:ascii="Arial" w:hAnsi="Arial" w:cs="Arial"/>
          <w:lang w:val="mk-MK"/>
        </w:rPr>
        <w:t xml:space="preserve"> </w:t>
      </w:r>
      <w:proofErr w:type="spellStart"/>
      <w:r w:rsidRPr="008B15F7">
        <w:rPr>
          <w:rFonts w:ascii="Arial" w:hAnsi="Arial" w:cs="Arial"/>
          <w:lang w:val="mk-MK"/>
        </w:rPr>
        <w:t>to</w:t>
      </w:r>
      <w:proofErr w:type="spellEnd"/>
      <w:r w:rsidRPr="008B15F7">
        <w:rPr>
          <w:rFonts w:ascii="Arial" w:hAnsi="Arial" w:cs="Arial"/>
          <w:lang w:val="mk-MK"/>
        </w:rPr>
        <w:t xml:space="preserve"> </w:t>
      </w:r>
      <w:proofErr w:type="spellStart"/>
      <w:r w:rsidRPr="008B15F7">
        <w:rPr>
          <w:rFonts w:ascii="Arial" w:hAnsi="Arial" w:cs="Arial"/>
          <w:lang w:val="mk-MK"/>
        </w:rPr>
        <w:t>compensation</w:t>
      </w:r>
      <w:proofErr w:type="spellEnd"/>
      <w:r w:rsidRPr="008B15F7">
        <w:rPr>
          <w:rFonts w:ascii="Arial" w:hAnsi="Arial" w:cs="Arial"/>
          <w:lang w:val="mk-MK"/>
        </w:rPr>
        <w:t xml:space="preserve"> </w:t>
      </w:r>
      <w:proofErr w:type="spellStart"/>
      <w:r w:rsidRPr="008B15F7">
        <w:rPr>
          <w:rFonts w:ascii="Arial" w:hAnsi="Arial" w:cs="Arial"/>
          <w:lang w:val="mk-MK"/>
        </w:rPr>
        <w:t>of</w:t>
      </w:r>
      <w:proofErr w:type="spellEnd"/>
      <w:r w:rsidRPr="008B15F7">
        <w:rPr>
          <w:rFonts w:ascii="Arial" w:hAnsi="Arial" w:cs="Arial"/>
          <w:lang w:val="mk-MK"/>
        </w:rPr>
        <w:t xml:space="preserve"> </w:t>
      </w:r>
      <w:proofErr w:type="spellStart"/>
      <w:r w:rsidRPr="008B15F7">
        <w:rPr>
          <w:rFonts w:ascii="Arial" w:hAnsi="Arial" w:cs="Arial"/>
          <w:lang w:val="mk-MK"/>
        </w:rPr>
        <w:t>depositors</w:t>
      </w:r>
      <w:proofErr w:type="spellEnd"/>
      <w:r w:rsidRPr="008B15F7">
        <w:rPr>
          <w:rFonts w:ascii="Arial" w:hAnsi="Arial" w:cs="Arial"/>
          <w:lang w:val="mk-MK"/>
        </w:rPr>
        <w:t xml:space="preserve"> </w:t>
      </w:r>
      <w:proofErr w:type="spellStart"/>
      <w:r w:rsidRPr="008B15F7">
        <w:rPr>
          <w:rFonts w:ascii="Arial" w:hAnsi="Arial" w:cs="Arial"/>
          <w:lang w:val="mk-MK"/>
        </w:rPr>
        <w:t>from</w:t>
      </w:r>
      <w:proofErr w:type="spellEnd"/>
      <w:r w:rsidRPr="008B15F7">
        <w:rPr>
          <w:rFonts w:ascii="Arial" w:hAnsi="Arial" w:cs="Arial"/>
          <w:lang w:val="mk-MK"/>
        </w:rPr>
        <w:t xml:space="preserve"> </w:t>
      </w:r>
      <w:proofErr w:type="spellStart"/>
      <w:r w:rsidRPr="008B15F7">
        <w:rPr>
          <w:rFonts w:ascii="Arial" w:hAnsi="Arial" w:cs="Arial"/>
          <w:lang w:val="mk-MK"/>
        </w:rPr>
        <w:t>Makedonska</w:t>
      </w:r>
      <w:proofErr w:type="spellEnd"/>
      <w:r w:rsidRPr="008B15F7">
        <w:rPr>
          <w:rFonts w:ascii="Arial" w:hAnsi="Arial" w:cs="Arial"/>
          <w:lang w:val="mk-MK"/>
        </w:rPr>
        <w:t xml:space="preserve"> Banka Skopje - </w:t>
      </w:r>
      <w:proofErr w:type="spellStart"/>
      <w:r w:rsidRPr="008B15F7">
        <w:rPr>
          <w:rFonts w:ascii="Arial" w:hAnsi="Arial" w:cs="Arial"/>
          <w:lang w:val="mk-MK"/>
        </w:rPr>
        <w:t>in</w:t>
      </w:r>
      <w:proofErr w:type="spellEnd"/>
      <w:r w:rsidRPr="008B15F7">
        <w:rPr>
          <w:rFonts w:ascii="Arial" w:hAnsi="Arial" w:cs="Arial"/>
          <w:lang w:val="mk-MK"/>
        </w:rPr>
        <w:t xml:space="preserve"> </w:t>
      </w:r>
      <w:proofErr w:type="spellStart"/>
      <w:r w:rsidRPr="008B15F7">
        <w:rPr>
          <w:rFonts w:ascii="Arial" w:hAnsi="Arial" w:cs="Arial"/>
          <w:lang w:val="mk-MK"/>
        </w:rPr>
        <w:t>liquidation</w:t>
      </w:r>
      <w:proofErr w:type="spellEnd"/>
      <w:r w:rsidRPr="008B15F7">
        <w:rPr>
          <w:rFonts w:ascii="Arial" w:hAnsi="Arial" w:cs="Arial"/>
          <w:lang w:val="mk-MK"/>
        </w:rPr>
        <w:t xml:space="preserve">). </w:t>
      </w:r>
      <w:proofErr w:type="spellStart"/>
      <w:r w:rsidRPr="008B15F7">
        <w:rPr>
          <w:rFonts w:ascii="Arial" w:hAnsi="Arial" w:cs="Arial"/>
          <w:lang w:val="mk-MK"/>
        </w:rPr>
        <w:t>During</w:t>
      </w:r>
      <w:proofErr w:type="spellEnd"/>
      <w:r w:rsidRPr="008B15F7">
        <w:rPr>
          <w:rFonts w:ascii="Arial" w:hAnsi="Arial" w:cs="Arial"/>
          <w:lang w:val="mk-MK"/>
        </w:rPr>
        <w:t xml:space="preserve"> 2020, 4,176,597 </w:t>
      </w:r>
      <w:proofErr w:type="spellStart"/>
      <w:r w:rsidRPr="008B15F7">
        <w:rPr>
          <w:rFonts w:ascii="Arial" w:hAnsi="Arial" w:cs="Arial"/>
          <w:lang w:val="mk-MK"/>
        </w:rPr>
        <w:t>thousand</w:t>
      </w:r>
      <w:proofErr w:type="spellEnd"/>
      <w:r w:rsidRPr="008B15F7">
        <w:rPr>
          <w:rFonts w:ascii="Arial" w:hAnsi="Arial" w:cs="Arial"/>
          <w:lang w:val="mk-MK"/>
        </w:rPr>
        <w:t xml:space="preserve"> </w:t>
      </w:r>
      <w:r w:rsidR="00D029A8">
        <w:rPr>
          <w:rFonts w:ascii="Arial" w:hAnsi="Arial" w:cs="Arial"/>
          <w:lang w:val="en-US"/>
        </w:rPr>
        <w:t xml:space="preserve">denars </w:t>
      </w:r>
      <w:r w:rsidRPr="008B15F7">
        <w:rPr>
          <w:rFonts w:ascii="Arial" w:hAnsi="Arial" w:cs="Arial"/>
          <w:lang w:val="mk-MK"/>
        </w:rPr>
        <w:t>w</w:t>
      </w:r>
      <w:r w:rsidR="00D029A8">
        <w:rPr>
          <w:rFonts w:ascii="Arial" w:hAnsi="Arial" w:cs="Arial"/>
          <w:lang w:val="en-US"/>
        </w:rPr>
        <w:t>ere</w:t>
      </w:r>
      <w:r w:rsidRPr="008B15F7">
        <w:rPr>
          <w:rFonts w:ascii="Arial" w:hAnsi="Arial" w:cs="Arial"/>
          <w:lang w:val="mk-MK"/>
        </w:rPr>
        <w:t xml:space="preserve"> </w:t>
      </w:r>
      <w:proofErr w:type="spellStart"/>
      <w:r w:rsidRPr="008B15F7">
        <w:rPr>
          <w:rFonts w:ascii="Arial" w:hAnsi="Arial" w:cs="Arial"/>
          <w:lang w:val="mk-MK"/>
        </w:rPr>
        <w:t>transferred</w:t>
      </w:r>
      <w:proofErr w:type="spellEnd"/>
      <w:r w:rsidRPr="008B15F7">
        <w:rPr>
          <w:rFonts w:ascii="Arial" w:hAnsi="Arial" w:cs="Arial"/>
          <w:lang w:val="mk-MK"/>
        </w:rPr>
        <w:t xml:space="preserve"> </w:t>
      </w:r>
      <w:proofErr w:type="spellStart"/>
      <w:r w:rsidRPr="008B15F7">
        <w:rPr>
          <w:rFonts w:ascii="Arial" w:hAnsi="Arial" w:cs="Arial"/>
          <w:lang w:val="mk-MK"/>
        </w:rPr>
        <w:t>to</w:t>
      </w:r>
      <w:proofErr w:type="spellEnd"/>
      <w:r w:rsidRPr="008B15F7">
        <w:rPr>
          <w:rFonts w:ascii="Arial" w:hAnsi="Arial" w:cs="Arial"/>
          <w:lang w:val="mk-MK"/>
        </w:rPr>
        <w:t xml:space="preserve"> </w:t>
      </w:r>
      <w:proofErr w:type="spellStart"/>
      <w:r w:rsidRPr="008B15F7">
        <w:rPr>
          <w:rFonts w:ascii="Arial" w:hAnsi="Arial" w:cs="Arial"/>
          <w:lang w:val="mk-MK"/>
        </w:rPr>
        <w:t>four</w:t>
      </w:r>
      <w:proofErr w:type="spellEnd"/>
      <w:r w:rsidRPr="008B15F7">
        <w:rPr>
          <w:rFonts w:ascii="Arial" w:hAnsi="Arial" w:cs="Arial"/>
          <w:lang w:val="mk-MK"/>
        </w:rPr>
        <w:t xml:space="preserve"> </w:t>
      </w:r>
      <w:proofErr w:type="spellStart"/>
      <w:r w:rsidRPr="008B15F7">
        <w:rPr>
          <w:rFonts w:ascii="Arial" w:hAnsi="Arial" w:cs="Arial"/>
          <w:lang w:val="mk-MK"/>
        </w:rPr>
        <w:t>banks-payers</w:t>
      </w:r>
      <w:proofErr w:type="spellEnd"/>
      <w:r w:rsidRPr="008B15F7">
        <w:rPr>
          <w:rFonts w:ascii="Arial" w:hAnsi="Arial" w:cs="Arial"/>
          <w:lang w:val="mk-MK"/>
        </w:rPr>
        <w:t xml:space="preserve"> </w:t>
      </w:r>
      <w:proofErr w:type="spellStart"/>
      <w:r w:rsidRPr="008B15F7">
        <w:rPr>
          <w:rFonts w:ascii="Arial" w:hAnsi="Arial" w:cs="Arial"/>
          <w:lang w:val="mk-MK"/>
        </w:rPr>
        <w:t>of</w:t>
      </w:r>
      <w:proofErr w:type="spellEnd"/>
      <w:r w:rsidRPr="008B15F7">
        <w:rPr>
          <w:rFonts w:ascii="Arial" w:hAnsi="Arial" w:cs="Arial"/>
          <w:lang w:val="mk-MK"/>
        </w:rPr>
        <w:t xml:space="preserve"> </w:t>
      </w:r>
      <w:proofErr w:type="spellStart"/>
      <w:r w:rsidRPr="008B15F7">
        <w:rPr>
          <w:rFonts w:ascii="Arial" w:hAnsi="Arial" w:cs="Arial"/>
          <w:lang w:val="mk-MK"/>
        </w:rPr>
        <w:t>insured</w:t>
      </w:r>
      <w:proofErr w:type="spellEnd"/>
      <w:r w:rsidRPr="008B15F7">
        <w:rPr>
          <w:rFonts w:ascii="Arial" w:hAnsi="Arial" w:cs="Arial"/>
          <w:lang w:val="mk-MK"/>
        </w:rPr>
        <w:t xml:space="preserve"> </w:t>
      </w:r>
      <w:proofErr w:type="spellStart"/>
      <w:r w:rsidRPr="008B15F7">
        <w:rPr>
          <w:rFonts w:ascii="Arial" w:hAnsi="Arial" w:cs="Arial"/>
          <w:lang w:val="mk-MK"/>
        </w:rPr>
        <w:t>deposits</w:t>
      </w:r>
      <w:proofErr w:type="spellEnd"/>
      <w:r w:rsidRPr="008B15F7">
        <w:rPr>
          <w:rFonts w:ascii="Arial" w:hAnsi="Arial" w:cs="Arial"/>
          <w:lang w:val="mk-MK"/>
        </w:rPr>
        <w:t>.</w:t>
      </w:r>
    </w:p>
    <w:p w14:paraId="1EBE87BB" w14:textId="22F6305B" w:rsidR="00F93B95" w:rsidRPr="00CE3053" w:rsidRDefault="00E638F7" w:rsidP="0061511C">
      <w:pPr>
        <w:pStyle w:val="NumberedHeading1"/>
        <w:numPr>
          <w:ilvl w:val="0"/>
          <w:numId w:val="22"/>
        </w:numPr>
        <w:spacing w:before="0" w:after="0" w:line="260" w:lineRule="atLeast"/>
        <w:rPr>
          <w:rFonts w:ascii="Arial" w:hAnsi="Arial" w:cs="Arial"/>
          <w:b/>
          <w:color w:val="4F2D7F"/>
          <w:sz w:val="18"/>
          <w:lang w:val="mk-MK"/>
        </w:rPr>
      </w:pPr>
      <w:bookmarkStart w:id="10" w:name="_Hlk64361203"/>
      <w:r>
        <w:rPr>
          <w:rFonts w:ascii="Arial" w:hAnsi="Arial" w:cs="Arial"/>
          <w:b/>
          <w:color w:val="4F2D7F"/>
          <w:sz w:val="18"/>
          <w:lang w:val="en-US"/>
        </w:rPr>
        <w:t>Claims payables</w:t>
      </w:r>
    </w:p>
    <w:tbl>
      <w:tblPr>
        <w:tblW w:w="8640" w:type="dxa"/>
        <w:tblInd w:w="86" w:type="dxa"/>
        <w:tblLook w:val="01E0" w:firstRow="1" w:lastRow="1" w:firstColumn="1" w:lastColumn="1" w:noHBand="0" w:noVBand="0"/>
      </w:tblPr>
      <w:tblGrid>
        <w:gridCol w:w="5760"/>
        <w:gridCol w:w="1440"/>
        <w:gridCol w:w="1440"/>
      </w:tblGrid>
      <w:tr w:rsidR="00F30EF8" w:rsidRPr="001E6526" w14:paraId="2F0B0304" w14:textId="77777777" w:rsidTr="000144A5">
        <w:trPr>
          <w:trHeight w:val="216"/>
        </w:trPr>
        <w:tc>
          <w:tcPr>
            <w:tcW w:w="5760" w:type="dxa"/>
            <w:shd w:val="clear" w:color="auto" w:fill="auto"/>
            <w:tcMar>
              <w:left w:w="58" w:type="dxa"/>
              <w:right w:w="58" w:type="dxa"/>
            </w:tcMar>
            <w:vAlign w:val="bottom"/>
          </w:tcPr>
          <w:p w14:paraId="0E69D3B3" w14:textId="77777777" w:rsidR="00F30EF8" w:rsidRPr="00CE3053" w:rsidRDefault="00F30EF8" w:rsidP="0025712C">
            <w:pPr>
              <w:pStyle w:val="TableText"/>
              <w:rPr>
                <w:rFonts w:ascii="Arial" w:hAnsi="Arial"/>
                <w:b/>
                <w:color w:val="000000"/>
                <w:sz w:val="18"/>
                <w:lang w:val="mk-MK"/>
              </w:rPr>
            </w:pPr>
          </w:p>
        </w:tc>
        <w:tc>
          <w:tcPr>
            <w:tcW w:w="2880" w:type="dxa"/>
            <w:gridSpan w:val="2"/>
            <w:shd w:val="clear" w:color="auto" w:fill="auto"/>
            <w:tcMar>
              <w:left w:w="58" w:type="dxa"/>
              <w:right w:w="58" w:type="dxa"/>
            </w:tcMar>
            <w:vAlign w:val="bottom"/>
          </w:tcPr>
          <w:p w14:paraId="3454AA03" w14:textId="2FCE8942" w:rsidR="00F30EF8" w:rsidRPr="002D1B7D" w:rsidRDefault="00F30EF8" w:rsidP="0025712C">
            <w:pPr>
              <w:pStyle w:val="TableText"/>
              <w:jc w:val="right"/>
              <w:rPr>
                <w:rFonts w:ascii="Arial" w:hAnsi="Arial"/>
                <w:bCs/>
                <w:color w:val="000000"/>
                <w:sz w:val="18"/>
                <w:lang w:val="mk-MK"/>
              </w:rPr>
            </w:pPr>
            <w:r w:rsidRPr="002D1B7D">
              <w:rPr>
                <w:rFonts w:ascii="Arial" w:hAnsi="Arial"/>
                <w:bCs/>
                <w:color w:val="000000"/>
                <w:sz w:val="18"/>
                <w:lang w:val="mk-MK"/>
              </w:rPr>
              <w:t xml:space="preserve">(000 </w:t>
            </w:r>
            <w:proofErr w:type="spellStart"/>
            <w:r w:rsidR="00E638F7">
              <w:rPr>
                <w:rFonts w:ascii="Arial" w:hAnsi="Arial"/>
                <w:bCs/>
                <w:color w:val="000000"/>
                <w:sz w:val="18"/>
                <w:lang w:val="en-US"/>
              </w:rPr>
              <w:t>mkd</w:t>
            </w:r>
            <w:proofErr w:type="spellEnd"/>
            <w:r w:rsidRPr="002D1B7D">
              <w:rPr>
                <w:rFonts w:ascii="Arial" w:hAnsi="Arial"/>
                <w:bCs/>
                <w:color w:val="000000"/>
                <w:sz w:val="18"/>
                <w:lang w:val="mk-MK"/>
              </w:rPr>
              <w:t>)</w:t>
            </w:r>
          </w:p>
        </w:tc>
      </w:tr>
      <w:tr w:rsidR="00F93B95" w:rsidRPr="001E6526" w14:paraId="02377D56" w14:textId="77777777" w:rsidTr="0025712C">
        <w:trPr>
          <w:trHeight w:val="216"/>
        </w:trPr>
        <w:tc>
          <w:tcPr>
            <w:tcW w:w="5760" w:type="dxa"/>
            <w:shd w:val="clear" w:color="auto" w:fill="auto"/>
            <w:tcMar>
              <w:left w:w="58" w:type="dxa"/>
              <w:right w:w="58" w:type="dxa"/>
            </w:tcMar>
            <w:vAlign w:val="bottom"/>
          </w:tcPr>
          <w:p w14:paraId="547F86B2" w14:textId="77777777" w:rsidR="00F93B95" w:rsidRPr="001E6526" w:rsidRDefault="00F93B95" w:rsidP="0025712C">
            <w:pPr>
              <w:pStyle w:val="TableText"/>
              <w:rPr>
                <w:rFonts w:ascii="Arial" w:hAnsi="Arial"/>
                <w:sz w:val="18"/>
                <w:lang w:val="mk-MK"/>
              </w:rPr>
            </w:pPr>
          </w:p>
        </w:tc>
        <w:tc>
          <w:tcPr>
            <w:tcW w:w="1440" w:type="dxa"/>
            <w:shd w:val="clear" w:color="auto" w:fill="auto"/>
            <w:tcMar>
              <w:left w:w="58" w:type="dxa"/>
              <w:right w:w="58" w:type="dxa"/>
            </w:tcMar>
            <w:vAlign w:val="bottom"/>
          </w:tcPr>
          <w:p w14:paraId="3B5F3720" w14:textId="28F329C5" w:rsidR="00F93B95" w:rsidRPr="00CE3053" w:rsidRDefault="00F93B95" w:rsidP="0025712C">
            <w:pPr>
              <w:pStyle w:val="TableText"/>
              <w:jc w:val="right"/>
              <w:rPr>
                <w:rFonts w:ascii="Arial" w:hAnsi="Arial"/>
                <w:sz w:val="18"/>
                <w:lang w:val="mk-MK"/>
              </w:rPr>
            </w:pPr>
            <w:r w:rsidRPr="00CE3053">
              <w:rPr>
                <w:rFonts w:ascii="Arial" w:hAnsi="Arial"/>
                <w:sz w:val="18"/>
                <w:lang w:val="mk-MK"/>
              </w:rPr>
              <w:t>202</w:t>
            </w:r>
            <w:r w:rsidR="00546297" w:rsidRPr="001E6526">
              <w:rPr>
                <w:rFonts w:ascii="Arial" w:hAnsi="Arial"/>
                <w:sz w:val="18"/>
                <w:lang w:val="mk-MK"/>
              </w:rPr>
              <w:t>1</w:t>
            </w:r>
          </w:p>
        </w:tc>
        <w:tc>
          <w:tcPr>
            <w:tcW w:w="1440" w:type="dxa"/>
            <w:shd w:val="clear" w:color="auto" w:fill="auto"/>
            <w:tcMar>
              <w:left w:w="58" w:type="dxa"/>
              <w:right w:w="58" w:type="dxa"/>
            </w:tcMar>
            <w:vAlign w:val="bottom"/>
          </w:tcPr>
          <w:p w14:paraId="4ED2A602" w14:textId="750A593A" w:rsidR="00F93B95" w:rsidRPr="00CE3053" w:rsidRDefault="00F93B95" w:rsidP="0025712C">
            <w:pPr>
              <w:pStyle w:val="TableText"/>
              <w:jc w:val="right"/>
              <w:rPr>
                <w:rFonts w:ascii="Arial" w:hAnsi="Arial"/>
                <w:sz w:val="18"/>
                <w:lang w:val="mk-MK"/>
              </w:rPr>
            </w:pPr>
            <w:r w:rsidRPr="00CE3053">
              <w:rPr>
                <w:rFonts w:ascii="Arial" w:hAnsi="Arial"/>
                <w:sz w:val="18"/>
                <w:lang w:val="mk-MK"/>
              </w:rPr>
              <w:t>20</w:t>
            </w:r>
            <w:r w:rsidR="00F80A4F" w:rsidRPr="00CE3053">
              <w:rPr>
                <w:rFonts w:ascii="Arial" w:hAnsi="Arial"/>
                <w:sz w:val="18"/>
                <w:lang w:val="mk-MK"/>
              </w:rPr>
              <w:t>20</w:t>
            </w:r>
          </w:p>
        </w:tc>
      </w:tr>
      <w:tr w:rsidR="00F93B95" w:rsidRPr="001E6526" w14:paraId="3D15B68C" w14:textId="77777777" w:rsidTr="0025712C">
        <w:trPr>
          <w:trHeight w:val="216"/>
        </w:trPr>
        <w:tc>
          <w:tcPr>
            <w:tcW w:w="5760" w:type="dxa"/>
            <w:shd w:val="clear" w:color="auto" w:fill="auto"/>
            <w:tcMar>
              <w:left w:w="58" w:type="dxa"/>
              <w:right w:w="58" w:type="dxa"/>
            </w:tcMar>
            <w:vAlign w:val="bottom"/>
          </w:tcPr>
          <w:p w14:paraId="25D00138" w14:textId="77777777" w:rsidR="00F93B95" w:rsidRPr="00CE3053" w:rsidRDefault="00F93B95" w:rsidP="00F93B95">
            <w:pPr>
              <w:pStyle w:val="TableText"/>
              <w:spacing w:after="0"/>
              <w:rPr>
                <w:rFonts w:ascii="Arial" w:hAnsi="Arial"/>
                <w:sz w:val="18"/>
                <w:lang w:val="mk-MK"/>
              </w:rPr>
            </w:pPr>
          </w:p>
        </w:tc>
        <w:tc>
          <w:tcPr>
            <w:tcW w:w="1440" w:type="dxa"/>
            <w:shd w:val="clear" w:color="auto" w:fill="auto"/>
            <w:tcMar>
              <w:left w:w="58" w:type="dxa"/>
              <w:right w:w="58" w:type="dxa"/>
            </w:tcMar>
            <w:vAlign w:val="bottom"/>
          </w:tcPr>
          <w:p w14:paraId="37CB84EF" w14:textId="77777777" w:rsidR="00F93B95" w:rsidRPr="00CE3053" w:rsidRDefault="00F93B95" w:rsidP="00F93B95">
            <w:pPr>
              <w:pStyle w:val="TableText"/>
              <w:spacing w:after="0"/>
              <w:jc w:val="right"/>
              <w:rPr>
                <w:rFonts w:ascii="Arial" w:hAnsi="Arial"/>
                <w:sz w:val="18"/>
                <w:lang w:val="mk-MK"/>
              </w:rPr>
            </w:pPr>
          </w:p>
        </w:tc>
        <w:tc>
          <w:tcPr>
            <w:tcW w:w="1440" w:type="dxa"/>
            <w:shd w:val="clear" w:color="auto" w:fill="auto"/>
            <w:tcMar>
              <w:left w:w="58" w:type="dxa"/>
              <w:right w:w="58" w:type="dxa"/>
            </w:tcMar>
            <w:vAlign w:val="bottom"/>
          </w:tcPr>
          <w:p w14:paraId="15B78929" w14:textId="77777777" w:rsidR="00F93B95" w:rsidRPr="00CE3053" w:rsidRDefault="00F93B95" w:rsidP="00F93B95">
            <w:pPr>
              <w:pStyle w:val="TableText"/>
              <w:spacing w:after="0"/>
              <w:jc w:val="right"/>
              <w:rPr>
                <w:rFonts w:ascii="Arial" w:hAnsi="Arial"/>
                <w:sz w:val="18"/>
                <w:lang w:val="mk-MK"/>
              </w:rPr>
            </w:pPr>
          </w:p>
        </w:tc>
      </w:tr>
      <w:tr w:rsidR="00F93B95" w:rsidRPr="001E6526" w14:paraId="27C5AE3E" w14:textId="77777777" w:rsidTr="0025712C">
        <w:trPr>
          <w:trHeight w:val="216"/>
        </w:trPr>
        <w:tc>
          <w:tcPr>
            <w:tcW w:w="5760" w:type="dxa"/>
            <w:shd w:val="clear" w:color="auto" w:fill="auto"/>
            <w:tcMar>
              <w:left w:w="58" w:type="dxa"/>
              <w:right w:w="58" w:type="dxa"/>
            </w:tcMar>
            <w:vAlign w:val="bottom"/>
          </w:tcPr>
          <w:p w14:paraId="0508EBBC" w14:textId="4A1F1CC0" w:rsidR="00F93B95" w:rsidRPr="00E638F7" w:rsidRDefault="00E638F7" w:rsidP="00F93B95">
            <w:pPr>
              <w:pStyle w:val="TableText"/>
              <w:spacing w:after="0"/>
              <w:rPr>
                <w:rFonts w:ascii="Arial" w:hAnsi="Arial"/>
                <w:bCs/>
                <w:sz w:val="18"/>
                <w:lang w:val="en-US"/>
              </w:rPr>
            </w:pPr>
            <w:r>
              <w:rPr>
                <w:rFonts w:ascii="Arial" w:hAnsi="Arial"/>
                <w:bCs/>
                <w:sz w:val="18"/>
                <w:lang w:val="en-US"/>
              </w:rPr>
              <w:t>Claims payables</w:t>
            </w:r>
          </w:p>
        </w:tc>
        <w:tc>
          <w:tcPr>
            <w:tcW w:w="1440" w:type="dxa"/>
            <w:shd w:val="clear" w:color="auto" w:fill="auto"/>
            <w:tcMar>
              <w:left w:w="58" w:type="dxa"/>
              <w:right w:w="58" w:type="dxa"/>
            </w:tcMar>
            <w:vAlign w:val="bottom"/>
          </w:tcPr>
          <w:p w14:paraId="42483ABA" w14:textId="154BB655" w:rsidR="00F93B95" w:rsidRPr="001E6526" w:rsidRDefault="00546297" w:rsidP="00F93B95">
            <w:pPr>
              <w:spacing w:after="0"/>
              <w:jc w:val="right"/>
              <w:rPr>
                <w:rFonts w:ascii="Arial" w:hAnsi="Arial" w:cs="Arial"/>
                <w:color w:val="000000"/>
                <w:lang w:val="mk-MK"/>
              </w:rPr>
            </w:pPr>
            <w:r w:rsidRPr="001E6526">
              <w:rPr>
                <w:rFonts w:ascii="Arial" w:hAnsi="Arial" w:cs="Arial"/>
                <w:color w:val="000000"/>
                <w:lang w:val="mk-MK"/>
              </w:rPr>
              <w:t>416,884</w:t>
            </w:r>
          </w:p>
        </w:tc>
        <w:tc>
          <w:tcPr>
            <w:tcW w:w="1440" w:type="dxa"/>
            <w:shd w:val="clear" w:color="auto" w:fill="auto"/>
            <w:tcMar>
              <w:left w:w="58" w:type="dxa"/>
              <w:right w:w="58" w:type="dxa"/>
            </w:tcMar>
            <w:vAlign w:val="bottom"/>
          </w:tcPr>
          <w:p w14:paraId="6801CA95" w14:textId="7D79694D" w:rsidR="00F93B95" w:rsidRPr="00CE3053" w:rsidRDefault="00F80A4F" w:rsidP="00F93B95">
            <w:pPr>
              <w:spacing w:after="0"/>
              <w:jc w:val="right"/>
              <w:rPr>
                <w:rFonts w:ascii="Arial" w:hAnsi="Arial" w:cs="Arial"/>
                <w:color w:val="000000"/>
                <w:lang w:val="mk-MK"/>
              </w:rPr>
            </w:pPr>
            <w:r w:rsidRPr="00CE3053">
              <w:rPr>
                <w:rFonts w:ascii="Arial" w:hAnsi="Arial" w:cs="Arial"/>
                <w:color w:val="000000"/>
                <w:lang w:val="mk-MK"/>
              </w:rPr>
              <w:t>621,156</w:t>
            </w:r>
          </w:p>
        </w:tc>
      </w:tr>
      <w:tr w:rsidR="00F93B95" w:rsidRPr="001E6526" w14:paraId="465F813E" w14:textId="77777777" w:rsidTr="0025712C">
        <w:trPr>
          <w:trHeight w:val="216"/>
        </w:trPr>
        <w:tc>
          <w:tcPr>
            <w:tcW w:w="5760" w:type="dxa"/>
            <w:tcBorders>
              <w:top w:val="single" w:sz="4" w:space="0" w:color="auto"/>
              <w:bottom w:val="double" w:sz="4" w:space="0" w:color="auto"/>
            </w:tcBorders>
            <w:shd w:val="clear" w:color="auto" w:fill="auto"/>
            <w:tcMar>
              <w:left w:w="58" w:type="dxa"/>
              <w:right w:w="58" w:type="dxa"/>
            </w:tcMar>
            <w:vAlign w:val="bottom"/>
          </w:tcPr>
          <w:p w14:paraId="65BA3A84" w14:textId="77777777" w:rsidR="00F93B95" w:rsidRPr="00CE3053" w:rsidRDefault="00F93B95" w:rsidP="00F93B95">
            <w:pPr>
              <w:pStyle w:val="TableText"/>
              <w:spacing w:after="0"/>
              <w:rPr>
                <w:rFonts w:ascii="Arial" w:hAnsi="Arial"/>
                <w:b/>
                <w:bCs/>
                <w:sz w:val="18"/>
                <w:lang w:val="mk-MK"/>
              </w:rPr>
            </w:pPr>
          </w:p>
        </w:tc>
        <w:tc>
          <w:tcPr>
            <w:tcW w:w="1440" w:type="dxa"/>
            <w:tcBorders>
              <w:top w:val="single" w:sz="4" w:space="0" w:color="auto"/>
              <w:bottom w:val="double" w:sz="4" w:space="0" w:color="auto"/>
            </w:tcBorders>
            <w:shd w:val="clear" w:color="auto" w:fill="auto"/>
            <w:tcMar>
              <w:left w:w="58" w:type="dxa"/>
              <w:right w:w="58" w:type="dxa"/>
            </w:tcMar>
            <w:vAlign w:val="bottom"/>
          </w:tcPr>
          <w:p w14:paraId="3463CA6C" w14:textId="4F3C99E3" w:rsidR="00F93B95" w:rsidRPr="001E6526" w:rsidRDefault="00546297" w:rsidP="00F93B95">
            <w:pPr>
              <w:spacing w:after="0"/>
              <w:jc w:val="right"/>
              <w:rPr>
                <w:rFonts w:ascii="Arial" w:hAnsi="Arial" w:cs="Arial"/>
                <w:b/>
                <w:bCs/>
                <w:color w:val="000000"/>
                <w:lang w:val="mk-MK"/>
              </w:rPr>
            </w:pPr>
            <w:r w:rsidRPr="001E6526">
              <w:rPr>
                <w:rFonts w:ascii="Arial" w:hAnsi="Arial" w:cs="Arial"/>
                <w:b/>
                <w:bCs/>
                <w:color w:val="000000"/>
                <w:lang w:val="mk-MK"/>
              </w:rPr>
              <w:t>416,884</w:t>
            </w:r>
          </w:p>
        </w:tc>
        <w:tc>
          <w:tcPr>
            <w:tcW w:w="1440" w:type="dxa"/>
            <w:tcBorders>
              <w:top w:val="single" w:sz="4" w:space="0" w:color="auto"/>
              <w:bottom w:val="double" w:sz="4" w:space="0" w:color="auto"/>
            </w:tcBorders>
            <w:shd w:val="clear" w:color="auto" w:fill="auto"/>
            <w:tcMar>
              <w:left w:w="58" w:type="dxa"/>
              <w:right w:w="58" w:type="dxa"/>
            </w:tcMar>
            <w:vAlign w:val="bottom"/>
          </w:tcPr>
          <w:p w14:paraId="73595D5C" w14:textId="532EE117" w:rsidR="00F93B95" w:rsidRPr="001E6526" w:rsidRDefault="00F80A4F" w:rsidP="00F93B95">
            <w:pPr>
              <w:spacing w:after="0"/>
              <w:jc w:val="right"/>
              <w:rPr>
                <w:rFonts w:ascii="Arial" w:hAnsi="Arial" w:cs="Arial"/>
                <w:b/>
                <w:bCs/>
                <w:color w:val="000000"/>
                <w:lang w:val="mk-MK"/>
              </w:rPr>
            </w:pPr>
            <w:r w:rsidRPr="00CE3053">
              <w:rPr>
                <w:rFonts w:ascii="Arial" w:hAnsi="Arial" w:cs="Arial"/>
                <w:b/>
                <w:bCs/>
                <w:color w:val="000000"/>
                <w:lang w:val="mk-MK"/>
              </w:rPr>
              <w:t>621,156</w:t>
            </w:r>
          </w:p>
        </w:tc>
      </w:tr>
    </w:tbl>
    <w:p w14:paraId="58EDF3E0" w14:textId="77777777" w:rsidR="00F93B95" w:rsidRPr="001E6526" w:rsidRDefault="00F93B95" w:rsidP="00F93B95">
      <w:pPr>
        <w:pStyle w:val="BodyText"/>
        <w:rPr>
          <w:rFonts w:ascii="Arial" w:hAnsi="Arial" w:cs="Arial"/>
          <w:lang w:val="mk-MK"/>
        </w:rPr>
      </w:pPr>
    </w:p>
    <w:p w14:paraId="2B95D393" w14:textId="16D5C4D0" w:rsidR="00F93B95" w:rsidRPr="001E6526" w:rsidRDefault="00E638F7" w:rsidP="00DF5CE4">
      <w:pPr>
        <w:pStyle w:val="BodyText"/>
        <w:jc w:val="both"/>
        <w:rPr>
          <w:rFonts w:ascii="Arial" w:hAnsi="Arial" w:cs="Arial"/>
          <w:lang w:val="mk-MK"/>
        </w:rPr>
      </w:pPr>
      <w:proofErr w:type="spellStart"/>
      <w:r w:rsidRPr="00E638F7">
        <w:rPr>
          <w:rFonts w:ascii="Arial" w:hAnsi="Arial" w:cs="Arial"/>
          <w:lang w:val="mk-MK"/>
        </w:rPr>
        <w:t>Claims</w:t>
      </w:r>
      <w:proofErr w:type="spellEnd"/>
      <w:r w:rsidRPr="00E638F7">
        <w:rPr>
          <w:rFonts w:ascii="Arial" w:hAnsi="Arial" w:cs="Arial"/>
          <w:lang w:val="mk-MK"/>
        </w:rPr>
        <w:t xml:space="preserve"> </w:t>
      </w:r>
      <w:proofErr w:type="spellStart"/>
      <w:r w:rsidRPr="00E638F7">
        <w:rPr>
          <w:rFonts w:ascii="Arial" w:hAnsi="Arial" w:cs="Arial"/>
          <w:lang w:val="mk-MK"/>
        </w:rPr>
        <w:t>payables</w:t>
      </w:r>
      <w:proofErr w:type="spellEnd"/>
      <w:r w:rsidRPr="00E638F7">
        <w:rPr>
          <w:rFonts w:ascii="Arial" w:hAnsi="Arial" w:cs="Arial"/>
          <w:lang w:val="mk-MK"/>
        </w:rPr>
        <w:t xml:space="preserve"> </w:t>
      </w:r>
      <w:proofErr w:type="spellStart"/>
      <w:r w:rsidRPr="00E638F7">
        <w:rPr>
          <w:rFonts w:ascii="Arial" w:hAnsi="Arial" w:cs="Arial"/>
          <w:lang w:val="mk-MK"/>
        </w:rPr>
        <w:t>in</w:t>
      </w:r>
      <w:proofErr w:type="spellEnd"/>
      <w:r w:rsidRPr="00E638F7">
        <w:rPr>
          <w:rFonts w:ascii="Arial" w:hAnsi="Arial" w:cs="Arial"/>
          <w:lang w:val="mk-MK"/>
        </w:rPr>
        <w:t xml:space="preserve"> </w:t>
      </w:r>
      <w:proofErr w:type="spellStart"/>
      <w:r w:rsidRPr="00E638F7">
        <w:rPr>
          <w:rFonts w:ascii="Arial" w:hAnsi="Arial" w:cs="Arial"/>
          <w:lang w:val="mk-MK"/>
        </w:rPr>
        <w:t>amount</w:t>
      </w:r>
      <w:proofErr w:type="spellEnd"/>
      <w:r w:rsidRPr="00E638F7">
        <w:rPr>
          <w:rFonts w:ascii="Arial" w:hAnsi="Arial" w:cs="Arial"/>
          <w:lang w:val="mk-MK"/>
        </w:rPr>
        <w:t xml:space="preserve"> </w:t>
      </w:r>
      <w:proofErr w:type="spellStart"/>
      <w:r w:rsidRPr="00E638F7">
        <w:rPr>
          <w:rFonts w:ascii="Arial" w:hAnsi="Arial" w:cs="Arial"/>
          <w:lang w:val="mk-MK"/>
        </w:rPr>
        <w:t>of</w:t>
      </w:r>
      <w:proofErr w:type="spellEnd"/>
      <w:r w:rsidRPr="00E638F7">
        <w:rPr>
          <w:rFonts w:ascii="Arial" w:hAnsi="Arial" w:cs="Arial"/>
          <w:lang w:val="mk-MK"/>
        </w:rPr>
        <w:t xml:space="preserve"> </w:t>
      </w:r>
      <w:r w:rsidR="001D22AD" w:rsidRPr="001E6526">
        <w:rPr>
          <w:rFonts w:ascii="Arial" w:hAnsi="Arial" w:cs="Arial"/>
          <w:lang w:val="mk-MK"/>
        </w:rPr>
        <w:t>416,884</w:t>
      </w:r>
      <w:r w:rsidR="0059221B" w:rsidRPr="00CE3053">
        <w:rPr>
          <w:rFonts w:ascii="Arial" w:hAnsi="Arial" w:cs="Arial"/>
          <w:lang w:val="mk-MK"/>
        </w:rPr>
        <w:t xml:space="preserve"> </w:t>
      </w:r>
      <w:proofErr w:type="spellStart"/>
      <w:r w:rsidRPr="00E638F7">
        <w:rPr>
          <w:rFonts w:ascii="Arial" w:hAnsi="Arial" w:cs="Arial"/>
          <w:lang w:val="mk-MK"/>
        </w:rPr>
        <w:t>thousand</w:t>
      </w:r>
      <w:proofErr w:type="spellEnd"/>
      <w:r w:rsidRPr="00E638F7">
        <w:rPr>
          <w:rFonts w:ascii="Arial" w:hAnsi="Arial" w:cs="Arial"/>
          <w:lang w:val="mk-MK"/>
        </w:rPr>
        <w:t xml:space="preserve"> </w:t>
      </w:r>
      <w:proofErr w:type="spellStart"/>
      <w:r w:rsidRPr="00E638F7">
        <w:rPr>
          <w:rFonts w:ascii="Arial" w:hAnsi="Arial" w:cs="Arial"/>
          <w:lang w:val="mk-MK"/>
        </w:rPr>
        <w:t>denars</w:t>
      </w:r>
      <w:proofErr w:type="spellEnd"/>
      <w:r w:rsidRPr="00E638F7">
        <w:rPr>
          <w:rFonts w:ascii="Arial" w:hAnsi="Arial" w:cs="Arial"/>
          <w:lang w:val="mk-MK"/>
        </w:rPr>
        <w:t xml:space="preserve"> </w:t>
      </w:r>
      <w:proofErr w:type="spellStart"/>
      <w:r w:rsidRPr="00E638F7">
        <w:rPr>
          <w:rFonts w:ascii="Arial" w:hAnsi="Arial" w:cs="Arial"/>
          <w:lang w:val="mk-MK"/>
        </w:rPr>
        <w:t>as</w:t>
      </w:r>
      <w:proofErr w:type="spellEnd"/>
      <w:r w:rsidRPr="00E638F7">
        <w:rPr>
          <w:rFonts w:ascii="Arial" w:hAnsi="Arial" w:cs="Arial"/>
          <w:lang w:val="mk-MK"/>
        </w:rPr>
        <w:t xml:space="preserve"> </w:t>
      </w:r>
      <w:proofErr w:type="spellStart"/>
      <w:r w:rsidRPr="00E638F7">
        <w:rPr>
          <w:rFonts w:ascii="Arial" w:hAnsi="Arial" w:cs="Arial"/>
          <w:lang w:val="mk-MK"/>
        </w:rPr>
        <w:t>of</w:t>
      </w:r>
      <w:proofErr w:type="spellEnd"/>
      <w:r w:rsidRPr="00E638F7">
        <w:rPr>
          <w:rFonts w:ascii="Arial" w:hAnsi="Arial" w:cs="Arial"/>
          <w:lang w:val="mk-MK"/>
        </w:rPr>
        <w:t xml:space="preserve"> 31 </w:t>
      </w:r>
      <w:proofErr w:type="spellStart"/>
      <w:r w:rsidRPr="00E638F7">
        <w:rPr>
          <w:rFonts w:ascii="Arial" w:hAnsi="Arial" w:cs="Arial"/>
          <w:lang w:val="mk-MK"/>
        </w:rPr>
        <w:t>December</w:t>
      </w:r>
      <w:proofErr w:type="spellEnd"/>
      <w:r w:rsidRPr="00E638F7">
        <w:rPr>
          <w:rFonts w:ascii="Arial" w:hAnsi="Arial" w:cs="Arial"/>
          <w:lang w:val="mk-MK"/>
        </w:rPr>
        <w:t xml:space="preserve"> </w:t>
      </w:r>
      <w:r w:rsidR="00F93B95" w:rsidRPr="00CE3053">
        <w:rPr>
          <w:rFonts w:ascii="Arial" w:hAnsi="Arial" w:cs="Arial"/>
          <w:lang w:val="mk-MK"/>
        </w:rPr>
        <w:t>202</w:t>
      </w:r>
      <w:r w:rsidR="001D22AD" w:rsidRPr="001E6526">
        <w:rPr>
          <w:rFonts w:ascii="Arial" w:hAnsi="Arial" w:cs="Arial"/>
          <w:lang w:val="mk-MK"/>
        </w:rPr>
        <w:t>1</w:t>
      </w:r>
      <w:r w:rsidR="00F93B95" w:rsidRPr="00CE3053">
        <w:rPr>
          <w:rFonts w:ascii="Arial" w:hAnsi="Arial" w:cs="Arial"/>
          <w:lang w:val="mk-MK"/>
        </w:rPr>
        <w:t xml:space="preserve"> </w:t>
      </w:r>
      <w:proofErr w:type="spellStart"/>
      <w:r w:rsidR="00993681" w:rsidRPr="00993681">
        <w:rPr>
          <w:rFonts w:ascii="Arial" w:hAnsi="Arial" w:cs="Arial"/>
          <w:lang w:val="mk-MK"/>
        </w:rPr>
        <w:t>refer</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to</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liabilities</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for</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compensation</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of</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the</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depositors</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of</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Eurostandard</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Bank</w:t>
      </w:r>
      <w:proofErr w:type="spellEnd"/>
      <w:r w:rsidR="00993681" w:rsidRPr="00993681">
        <w:rPr>
          <w:rFonts w:ascii="Arial" w:hAnsi="Arial" w:cs="Arial"/>
          <w:lang w:val="mk-MK"/>
        </w:rPr>
        <w:t xml:space="preserve"> AD, Skopje </w:t>
      </w:r>
      <w:proofErr w:type="spellStart"/>
      <w:r w:rsidR="00993681" w:rsidRPr="00993681">
        <w:rPr>
          <w:rFonts w:ascii="Arial" w:hAnsi="Arial" w:cs="Arial"/>
          <w:lang w:val="mk-MK"/>
        </w:rPr>
        <w:t>in</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bankruptcy</w:t>
      </w:r>
      <w:proofErr w:type="spellEnd"/>
      <w:r w:rsidR="00993681" w:rsidRPr="00993681">
        <w:rPr>
          <w:rFonts w:ascii="Arial" w:hAnsi="Arial" w:cs="Arial"/>
          <w:lang w:val="mk-MK"/>
        </w:rPr>
        <w:t xml:space="preserve"> </w:t>
      </w:r>
      <w:r w:rsidR="001D22AD" w:rsidRPr="001E6526">
        <w:rPr>
          <w:rFonts w:ascii="Arial" w:hAnsi="Arial" w:cs="Arial"/>
          <w:lang w:val="mk-MK"/>
        </w:rPr>
        <w:t>(2020</w:t>
      </w:r>
      <w:r w:rsidR="00D27370" w:rsidRPr="00CE3053">
        <w:rPr>
          <w:rFonts w:ascii="Arial" w:hAnsi="Arial" w:cs="Arial"/>
          <w:lang w:val="mk-MK"/>
        </w:rPr>
        <w:t>:</w:t>
      </w:r>
      <w:r w:rsidR="001D22AD" w:rsidRPr="001E6526">
        <w:rPr>
          <w:rFonts w:ascii="Arial" w:hAnsi="Arial" w:cs="Arial"/>
          <w:lang w:val="mk-MK"/>
        </w:rPr>
        <w:t xml:space="preserve"> </w:t>
      </w:r>
      <w:r w:rsidR="00993681">
        <w:rPr>
          <w:rFonts w:ascii="Arial" w:hAnsi="Arial" w:cs="Arial"/>
          <w:lang w:val="en-US"/>
        </w:rPr>
        <w:t xml:space="preserve">Denar </w:t>
      </w:r>
      <w:r w:rsidR="001D22AD" w:rsidRPr="001E6526">
        <w:rPr>
          <w:rFonts w:ascii="Arial" w:hAnsi="Arial" w:cs="Arial"/>
          <w:lang w:val="mk-MK"/>
        </w:rPr>
        <w:t>621,156</w:t>
      </w:r>
      <w:r w:rsidR="00DC7DC3" w:rsidRPr="00CE3053">
        <w:rPr>
          <w:rFonts w:ascii="Arial" w:hAnsi="Arial" w:cs="Arial"/>
          <w:lang w:val="mk-MK"/>
        </w:rPr>
        <w:t xml:space="preserve"> </w:t>
      </w:r>
      <w:proofErr w:type="spellStart"/>
      <w:r w:rsidR="00993681" w:rsidRPr="00993681">
        <w:rPr>
          <w:rFonts w:ascii="Arial" w:hAnsi="Arial" w:cs="Arial"/>
          <w:lang w:val="mk-MK"/>
        </w:rPr>
        <w:t>thousand</w:t>
      </w:r>
      <w:proofErr w:type="spellEnd"/>
      <w:r w:rsidR="001D22AD" w:rsidRPr="001E6526">
        <w:rPr>
          <w:rFonts w:ascii="Arial" w:hAnsi="Arial" w:cs="Arial"/>
          <w:lang w:val="mk-MK"/>
        </w:rPr>
        <w:t>)</w:t>
      </w:r>
      <w:r w:rsidR="00F93B95" w:rsidRPr="00CE3053">
        <w:rPr>
          <w:rFonts w:ascii="Arial" w:hAnsi="Arial" w:cs="Arial"/>
          <w:lang w:val="mk-MK"/>
        </w:rPr>
        <w:t xml:space="preserve"> </w:t>
      </w:r>
      <w:proofErr w:type="spellStart"/>
      <w:r w:rsidR="00993681" w:rsidRPr="00993681">
        <w:rPr>
          <w:rFonts w:ascii="Arial" w:hAnsi="Arial" w:cs="Arial"/>
          <w:lang w:val="mk-MK"/>
        </w:rPr>
        <w:t>for</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which</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for</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the</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most</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part</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funds</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have</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been</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transferred</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to</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designated</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accounts</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in</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four</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banks</w:t>
      </w:r>
      <w:proofErr w:type="spellEnd"/>
      <w:r w:rsidR="00993681" w:rsidRPr="00993681">
        <w:rPr>
          <w:rFonts w:ascii="Arial" w:hAnsi="Arial" w:cs="Arial"/>
          <w:lang w:val="mk-MK"/>
        </w:rPr>
        <w:t xml:space="preserve"> – </w:t>
      </w:r>
      <w:proofErr w:type="spellStart"/>
      <w:r w:rsidR="00993681" w:rsidRPr="00993681">
        <w:rPr>
          <w:rFonts w:ascii="Arial" w:hAnsi="Arial" w:cs="Arial"/>
          <w:lang w:val="mk-MK"/>
        </w:rPr>
        <w:t>payers</w:t>
      </w:r>
      <w:proofErr w:type="spellEnd"/>
      <w:r w:rsidR="00993681" w:rsidRPr="00993681">
        <w:rPr>
          <w:rFonts w:ascii="Arial" w:hAnsi="Arial" w:cs="Arial"/>
          <w:lang w:val="mk-MK"/>
        </w:rPr>
        <w:t xml:space="preserve"> </w:t>
      </w:r>
      <w:r w:rsidR="00F93B95" w:rsidRPr="00CE3053">
        <w:rPr>
          <w:rFonts w:ascii="Arial" w:hAnsi="Arial" w:cs="Arial"/>
          <w:lang w:val="mk-MK"/>
        </w:rPr>
        <w:t>(</w:t>
      </w:r>
      <w:r w:rsidR="00993681">
        <w:rPr>
          <w:rFonts w:ascii="Arial" w:hAnsi="Arial" w:cs="Arial"/>
          <w:lang w:val="en-US"/>
        </w:rPr>
        <w:t>see Note</w:t>
      </w:r>
      <w:r w:rsidR="00F93B95" w:rsidRPr="00CE3053">
        <w:rPr>
          <w:rFonts w:ascii="Arial" w:hAnsi="Arial" w:cs="Arial"/>
          <w:lang w:val="mk-MK"/>
        </w:rPr>
        <w:t xml:space="preserve"> 1</w:t>
      </w:r>
      <w:r w:rsidR="00F43F92" w:rsidRPr="00CE3053">
        <w:rPr>
          <w:rFonts w:ascii="Arial" w:hAnsi="Arial" w:cs="Arial"/>
          <w:lang w:val="mk-MK"/>
        </w:rPr>
        <w:t>5</w:t>
      </w:r>
      <w:r w:rsidR="00F93B95" w:rsidRPr="00CE3053">
        <w:rPr>
          <w:rFonts w:ascii="Arial" w:hAnsi="Arial" w:cs="Arial"/>
          <w:lang w:val="mk-MK"/>
        </w:rPr>
        <w:t xml:space="preserve"> </w:t>
      </w:r>
      <w:r w:rsidR="00993681">
        <w:rPr>
          <w:rFonts w:ascii="Arial" w:hAnsi="Arial" w:cs="Arial"/>
          <w:lang w:val="en-US"/>
        </w:rPr>
        <w:t>and Note</w:t>
      </w:r>
      <w:r w:rsidR="00F93B95" w:rsidRPr="00CE3053">
        <w:rPr>
          <w:rFonts w:ascii="Arial" w:hAnsi="Arial" w:cs="Arial"/>
          <w:lang w:val="mk-MK"/>
        </w:rPr>
        <w:t xml:space="preserve"> 13).</w:t>
      </w:r>
      <w:bookmarkEnd w:id="10"/>
      <w:r w:rsidR="00F93B95" w:rsidRPr="00CE3053">
        <w:rPr>
          <w:rFonts w:ascii="Arial" w:hAnsi="Arial" w:cs="Arial"/>
          <w:lang w:val="mk-MK"/>
        </w:rPr>
        <w:t xml:space="preserve"> </w:t>
      </w:r>
      <w:r w:rsidR="00993681" w:rsidRPr="00993681">
        <w:rPr>
          <w:rFonts w:ascii="Arial" w:hAnsi="Arial" w:cs="Arial"/>
          <w:lang w:val="mk-MK"/>
        </w:rPr>
        <w:t xml:space="preserve">A </w:t>
      </w:r>
      <w:proofErr w:type="spellStart"/>
      <w:r w:rsidR="00993681" w:rsidRPr="00993681">
        <w:rPr>
          <w:rFonts w:ascii="Arial" w:hAnsi="Arial" w:cs="Arial"/>
          <w:lang w:val="mk-MK"/>
        </w:rPr>
        <w:t>small</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part</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of</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the</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liabilities</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in</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the</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amount</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of</w:t>
      </w:r>
      <w:proofErr w:type="spellEnd"/>
      <w:r w:rsidR="00993681" w:rsidRPr="00993681">
        <w:rPr>
          <w:rFonts w:ascii="Arial" w:hAnsi="Arial" w:cs="Arial"/>
          <w:lang w:val="mk-MK"/>
        </w:rPr>
        <w:t xml:space="preserve"> 462 </w:t>
      </w:r>
      <w:proofErr w:type="spellStart"/>
      <w:r w:rsidR="00993681" w:rsidRPr="00993681">
        <w:rPr>
          <w:rFonts w:ascii="Arial" w:hAnsi="Arial" w:cs="Arial"/>
          <w:lang w:val="mk-MK"/>
        </w:rPr>
        <w:t>thousand</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denars</w:t>
      </w:r>
      <w:proofErr w:type="spellEnd"/>
      <w:r w:rsidR="00993681" w:rsidRPr="00993681">
        <w:rPr>
          <w:rFonts w:ascii="Arial" w:hAnsi="Arial" w:cs="Arial"/>
          <w:lang w:val="mk-MK"/>
        </w:rPr>
        <w:t xml:space="preserve"> </w:t>
      </w:r>
      <w:r w:rsidR="00D27370" w:rsidRPr="00CE3053">
        <w:rPr>
          <w:rFonts w:ascii="Arial" w:hAnsi="Arial" w:cs="Arial"/>
          <w:lang w:val="mk-MK"/>
        </w:rPr>
        <w:t xml:space="preserve">(2020: </w:t>
      </w:r>
      <w:r w:rsidR="00993681">
        <w:rPr>
          <w:rFonts w:ascii="Arial" w:hAnsi="Arial" w:cs="Arial"/>
          <w:lang w:val="en-US"/>
        </w:rPr>
        <w:t xml:space="preserve">Denar </w:t>
      </w:r>
      <w:r w:rsidR="00D27370" w:rsidRPr="00CE3053">
        <w:rPr>
          <w:rFonts w:ascii="Arial" w:hAnsi="Arial" w:cs="Arial"/>
          <w:lang w:val="mk-MK"/>
        </w:rPr>
        <w:t xml:space="preserve">462 </w:t>
      </w:r>
      <w:r w:rsidR="00993681">
        <w:rPr>
          <w:rFonts w:ascii="Arial" w:hAnsi="Arial" w:cs="Arial"/>
          <w:lang w:val="en-US"/>
        </w:rPr>
        <w:t>thousand</w:t>
      </w:r>
      <w:r w:rsidR="00D27370" w:rsidRPr="001E6526">
        <w:rPr>
          <w:rFonts w:ascii="Arial" w:hAnsi="Arial" w:cs="Arial"/>
          <w:lang w:val="mk-MK"/>
        </w:rPr>
        <w:t>)</w:t>
      </w:r>
      <w:r w:rsidR="00F93B95" w:rsidRPr="00CE3053">
        <w:rPr>
          <w:rFonts w:ascii="Arial" w:hAnsi="Arial" w:cs="Arial"/>
          <w:lang w:val="mk-MK"/>
        </w:rPr>
        <w:t xml:space="preserve"> </w:t>
      </w:r>
      <w:proofErr w:type="spellStart"/>
      <w:r w:rsidR="00993681" w:rsidRPr="00993681">
        <w:rPr>
          <w:rFonts w:ascii="Arial" w:hAnsi="Arial" w:cs="Arial"/>
          <w:lang w:val="mk-MK"/>
        </w:rPr>
        <w:t>will</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be</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reimbursed</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directly</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by</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the</w:t>
      </w:r>
      <w:proofErr w:type="spellEnd"/>
      <w:r w:rsidR="00993681" w:rsidRPr="00993681">
        <w:rPr>
          <w:rFonts w:ascii="Arial" w:hAnsi="Arial" w:cs="Arial"/>
          <w:lang w:val="mk-MK"/>
        </w:rPr>
        <w:t xml:space="preserve"> </w:t>
      </w:r>
      <w:proofErr w:type="spellStart"/>
      <w:r w:rsidR="00993681" w:rsidRPr="00993681">
        <w:rPr>
          <w:rFonts w:ascii="Arial" w:hAnsi="Arial" w:cs="Arial"/>
          <w:lang w:val="mk-MK"/>
        </w:rPr>
        <w:t>Fund</w:t>
      </w:r>
      <w:proofErr w:type="spellEnd"/>
      <w:r w:rsidR="00993681" w:rsidRPr="00993681">
        <w:rPr>
          <w:rFonts w:ascii="Arial" w:hAnsi="Arial" w:cs="Arial"/>
          <w:lang w:val="mk-MK"/>
        </w:rPr>
        <w:t>.</w:t>
      </w:r>
    </w:p>
    <w:p w14:paraId="55819F31" w14:textId="78E5D8D8" w:rsidR="00596A1E" w:rsidRPr="00CE3053" w:rsidRDefault="00596A1E">
      <w:pPr>
        <w:spacing w:after="0" w:line="240" w:lineRule="auto"/>
        <w:rPr>
          <w:rFonts w:ascii="Arial" w:hAnsi="Arial" w:cs="Arial"/>
          <w:b/>
          <w:color w:val="4F2D7F"/>
          <w:lang w:val="mk-MK"/>
        </w:rPr>
      </w:pPr>
    </w:p>
    <w:p w14:paraId="2DE285EC" w14:textId="371AB700" w:rsidR="00F93B95" w:rsidRPr="00CE3053" w:rsidRDefault="00993681" w:rsidP="0061511C">
      <w:pPr>
        <w:pStyle w:val="NumberedHeading1"/>
        <w:numPr>
          <w:ilvl w:val="0"/>
          <w:numId w:val="22"/>
        </w:numPr>
        <w:spacing w:before="0" w:after="0" w:line="260" w:lineRule="atLeast"/>
        <w:rPr>
          <w:rFonts w:ascii="Arial" w:hAnsi="Arial" w:cs="Arial"/>
          <w:b/>
          <w:color w:val="4F2D7F"/>
          <w:sz w:val="18"/>
          <w:lang w:val="mk-MK"/>
        </w:rPr>
      </w:pPr>
      <w:r>
        <w:rPr>
          <w:rFonts w:ascii="Arial" w:hAnsi="Arial" w:cs="Arial"/>
          <w:b/>
          <w:color w:val="4F2D7F"/>
          <w:sz w:val="18"/>
          <w:lang w:val="en-US"/>
        </w:rPr>
        <w:t>Other payables</w:t>
      </w:r>
    </w:p>
    <w:tbl>
      <w:tblPr>
        <w:tblW w:w="8640" w:type="dxa"/>
        <w:tblInd w:w="86" w:type="dxa"/>
        <w:tblLook w:val="01E0" w:firstRow="1" w:lastRow="1" w:firstColumn="1" w:lastColumn="1" w:noHBand="0" w:noVBand="0"/>
      </w:tblPr>
      <w:tblGrid>
        <w:gridCol w:w="5760"/>
        <w:gridCol w:w="1440"/>
        <w:gridCol w:w="1440"/>
      </w:tblGrid>
      <w:tr w:rsidR="00F30EF8" w:rsidRPr="001E6526" w14:paraId="2B390D92" w14:textId="77777777" w:rsidTr="009F7E28">
        <w:trPr>
          <w:trHeight w:val="216"/>
        </w:trPr>
        <w:tc>
          <w:tcPr>
            <w:tcW w:w="5760" w:type="dxa"/>
            <w:shd w:val="clear" w:color="auto" w:fill="auto"/>
            <w:tcMar>
              <w:left w:w="58" w:type="dxa"/>
              <w:right w:w="58" w:type="dxa"/>
            </w:tcMar>
            <w:vAlign w:val="bottom"/>
          </w:tcPr>
          <w:p w14:paraId="4E51D146" w14:textId="77777777" w:rsidR="00F30EF8" w:rsidRPr="00CE3053" w:rsidRDefault="00F30EF8" w:rsidP="006E26B2">
            <w:pPr>
              <w:pStyle w:val="TableText"/>
              <w:spacing w:before="0" w:after="0"/>
              <w:jc w:val="both"/>
              <w:rPr>
                <w:rFonts w:ascii="Arial" w:hAnsi="Arial"/>
                <w:sz w:val="18"/>
                <w:lang w:val="mk-MK"/>
              </w:rPr>
            </w:pPr>
          </w:p>
        </w:tc>
        <w:tc>
          <w:tcPr>
            <w:tcW w:w="2880" w:type="dxa"/>
            <w:gridSpan w:val="2"/>
            <w:shd w:val="clear" w:color="auto" w:fill="auto"/>
            <w:tcMar>
              <w:left w:w="58" w:type="dxa"/>
              <w:right w:w="58" w:type="dxa"/>
            </w:tcMar>
            <w:vAlign w:val="bottom"/>
          </w:tcPr>
          <w:p w14:paraId="3E7BB770" w14:textId="2BF1AA45" w:rsidR="00F30EF8" w:rsidRPr="002D1B7D" w:rsidRDefault="00F30EF8" w:rsidP="006E26B2">
            <w:pPr>
              <w:pStyle w:val="TableText"/>
              <w:spacing w:before="0" w:after="0"/>
              <w:jc w:val="right"/>
              <w:rPr>
                <w:rFonts w:ascii="Arial" w:hAnsi="Arial"/>
                <w:bCs/>
                <w:sz w:val="18"/>
                <w:lang w:val="mk-MK"/>
              </w:rPr>
            </w:pPr>
            <w:r w:rsidRPr="002D1B7D">
              <w:rPr>
                <w:rFonts w:ascii="Arial" w:hAnsi="Arial"/>
                <w:bCs/>
                <w:sz w:val="18"/>
                <w:lang w:val="mk-MK"/>
              </w:rPr>
              <w:t xml:space="preserve">(000 </w:t>
            </w:r>
            <w:proofErr w:type="spellStart"/>
            <w:r w:rsidR="00993681">
              <w:rPr>
                <w:rFonts w:ascii="Arial" w:hAnsi="Arial"/>
                <w:bCs/>
                <w:sz w:val="18"/>
                <w:lang w:val="en-US"/>
              </w:rPr>
              <w:t>mkd</w:t>
            </w:r>
            <w:proofErr w:type="spellEnd"/>
            <w:r w:rsidRPr="002D1B7D">
              <w:rPr>
                <w:rFonts w:ascii="Arial" w:hAnsi="Arial"/>
                <w:bCs/>
                <w:sz w:val="18"/>
                <w:lang w:val="mk-MK"/>
              </w:rPr>
              <w:t>)</w:t>
            </w:r>
          </w:p>
        </w:tc>
      </w:tr>
      <w:tr w:rsidR="00F93B95" w:rsidRPr="001E6526" w14:paraId="645C66E0" w14:textId="77777777" w:rsidTr="0025712C">
        <w:trPr>
          <w:trHeight w:val="216"/>
        </w:trPr>
        <w:tc>
          <w:tcPr>
            <w:tcW w:w="5760" w:type="dxa"/>
            <w:shd w:val="clear" w:color="auto" w:fill="auto"/>
            <w:tcMar>
              <w:left w:w="58" w:type="dxa"/>
              <w:right w:w="58" w:type="dxa"/>
            </w:tcMar>
            <w:vAlign w:val="bottom"/>
          </w:tcPr>
          <w:p w14:paraId="66386834" w14:textId="77777777" w:rsidR="00F93B95" w:rsidRPr="00CE3053" w:rsidRDefault="00F93B95" w:rsidP="006E26B2">
            <w:pPr>
              <w:pStyle w:val="TableText"/>
              <w:spacing w:before="0" w:after="0"/>
              <w:jc w:val="both"/>
              <w:rPr>
                <w:rFonts w:ascii="Arial" w:hAnsi="Arial"/>
                <w:sz w:val="18"/>
                <w:lang w:val="mk-MK"/>
              </w:rPr>
            </w:pPr>
          </w:p>
        </w:tc>
        <w:tc>
          <w:tcPr>
            <w:tcW w:w="1440" w:type="dxa"/>
            <w:shd w:val="clear" w:color="auto" w:fill="auto"/>
            <w:tcMar>
              <w:left w:w="58" w:type="dxa"/>
              <w:right w:w="58" w:type="dxa"/>
            </w:tcMar>
            <w:vAlign w:val="bottom"/>
          </w:tcPr>
          <w:p w14:paraId="1D0278F2" w14:textId="5FC6E6AF" w:rsidR="00F93B95" w:rsidRPr="00CE3053" w:rsidRDefault="00F93B95" w:rsidP="006E26B2">
            <w:pPr>
              <w:pStyle w:val="TableText"/>
              <w:spacing w:before="0" w:after="0"/>
              <w:jc w:val="right"/>
              <w:rPr>
                <w:rFonts w:ascii="Arial" w:hAnsi="Arial"/>
                <w:sz w:val="18"/>
                <w:lang w:val="mk-MK"/>
              </w:rPr>
            </w:pPr>
            <w:r w:rsidRPr="00CE3053">
              <w:rPr>
                <w:rFonts w:ascii="Arial" w:hAnsi="Arial"/>
                <w:sz w:val="18"/>
                <w:lang w:val="mk-MK"/>
              </w:rPr>
              <w:t>202</w:t>
            </w:r>
            <w:r w:rsidR="00546297" w:rsidRPr="001E6526">
              <w:rPr>
                <w:rFonts w:ascii="Arial" w:hAnsi="Arial"/>
                <w:sz w:val="18"/>
                <w:lang w:val="mk-MK"/>
              </w:rPr>
              <w:t>1</w:t>
            </w:r>
          </w:p>
        </w:tc>
        <w:tc>
          <w:tcPr>
            <w:tcW w:w="1440" w:type="dxa"/>
            <w:shd w:val="clear" w:color="auto" w:fill="auto"/>
            <w:tcMar>
              <w:left w:w="58" w:type="dxa"/>
              <w:right w:w="58" w:type="dxa"/>
            </w:tcMar>
            <w:vAlign w:val="bottom"/>
          </w:tcPr>
          <w:p w14:paraId="02E69E88" w14:textId="6A8E8A13" w:rsidR="00F93B95" w:rsidRPr="00CE3053" w:rsidRDefault="00F93B95" w:rsidP="006E26B2">
            <w:pPr>
              <w:pStyle w:val="TableText"/>
              <w:spacing w:before="0" w:after="0"/>
              <w:jc w:val="right"/>
              <w:rPr>
                <w:rFonts w:ascii="Arial" w:hAnsi="Arial"/>
                <w:sz w:val="18"/>
                <w:lang w:val="mk-MK"/>
              </w:rPr>
            </w:pPr>
            <w:r w:rsidRPr="00CE3053">
              <w:rPr>
                <w:rFonts w:ascii="Arial" w:hAnsi="Arial"/>
                <w:sz w:val="18"/>
                <w:lang w:val="mk-MK"/>
              </w:rPr>
              <w:t>20</w:t>
            </w:r>
            <w:r w:rsidR="00546297" w:rsidRPr="001E6526">
              <w:rPr>
                <w:rFonts w:ascii="Arial" w:hAnsi="Arial"/>
                <w:sz w:val="18"/>
                <w:lang w:val="mk-MK"/>
              </w:rPr>
              <w:t>20</w:t>
            </w:r>
          </w:p>
        </w:tc>
      </w:tr>
      <w:tr w:rsidR="00F93B95" w:rsidRPr="001E6526" w14:paraId="1735EC1F" w14:textId="77777777" w:rsidTr="0025712C">
        <w:trPr>
          <w:trHeight w:val="216"/>
        </w:trPr>
        <w:tc>
          <w:tcPr>
            <w:tcW w:w="5760" w:type="dxa"/>
            <w:shd w:val="clear" w:color="auto" w:fill="auto"/>
            <w:tcMar>
              <w:left w:w="58" w:type="dxa"/>
              <w:right w:w="58" w:type="dxa"/>
            </w:tcMar>
            <w:vAlign w:val="bottom"/>
          </w:tcPr>
          <w:p w14:paraId="47E3844E" w14:textId="77777777" w:rsidR="00F93B95" w:rsidRPr="00CE3053" w:rsidRDefault="00F93B95" w:rsidP="006E26B2">
            <w:pPr>
              <w:pStyle w:val="TableText"/>
              <w:spacing w:before="0" w:after="0"/>
              <w:jc w:val="both"/>
              <w:rPr>
                <w:rFonts w:ascii="Arial" w:hAnsi="Arial"/>
                <w:b/>
                <w:color w:val="000000"/>
                <w:sz w:val="18"/>
                <w:lang w:val="mk-MK"/>
              </w:rPr>
            </w:pPr>
          </w:p>
        </w:tc>
        <w:tc>
          <w:tcPr>
            <w:tcW w:w="1440" w:type="dxa"/>
            <w:shd w:val="clear" w:color="auto" w:fill="auto"/>
            <w:tcMar>
              <w:left w:w="58" w:type="dxa"/>
              <w:right w:w="58" w:type="dxa"/>
            </w:tcMar>
            <w:vAlign w:val="bottom"/>
          </w:tcPr>
          <w:p w14:paraId="7E578883" w14:textId="77777777" w:rsidR="00F93B95" w:rsidRPr="00CE3053" w:rsidRDefault="00F93B95" w:rsidP="006E26B2">
            <w:pPr>
              <w:pStyle w:val="TableText"/>
              <w:spacing w:before="0" w:after="0"/>
              <w:jc w:val="right"/>
              <w:rPr>
                <w:rFonts w:ascii="Arial" w:hAnsi="Arial"/>
                <w:b/>
                <w:color w:val="000000"/>
                <w:sz w:val="18"/>
                <w:lang w:val="mk-MK"/>
              </w:rPr>
            </w:pPr>
          </w:p>
        </w:tc>
        <w:tc>
          <w:tcPr>
            <w:tcW w:w="1440" w:type="dxa"/>
            <w:shd w:val="clear" w:color="auto" w:fill="auto"/>
            <w:tcMar>
              <w:left w:w="58" w:type="dxa"/>
              <w:right w:w="58" w:type="dxa"/>
            </w:tcMar>
            <w:vAlign w:val="bottom"/>
          </w:tcPr>
          <w:p w14:paraId="7F1D042B" w14:textId="77777777" w:rsidR="00F93B95" w:rsidRPr="00CE3053" w:rsidRDefault="00F93B95" w:rsidP="006E26B2">
            <w:pPr>
              <w:pStyle w:val="TableText"/>
              <w:spacing w:before="0" w:after="0"/>
              <w:jc w:val="right"/>
              <w:rPr>
                <w:rFonts w:ascii="Arial" w:hAnsi="Arial"/>
                <w:b/>
                <w:color w:val="000000"/>
                <w:sz w:val="18"/>
                <w:lang w:val="mk-MK"/>
              </w:rPr>
            </w:pPr>
          </w:p>
        </w:tc>
      </w:tr>
      <w:tr w:rsidR="00F93B95" w:rsidRPr="001E6526" w14:paraId="5EBFD028" w14:textId="77777777" w:rsidTr="0025712C">
        <w:trPr>
          <w:trHeight w:val="216"/>
        </w:trPr>
        <w:tc>
          <w:tcPr>
            <w:tcW w:w="5760" w:type="dxa"/>
            <w:shd w:val="clear" w:color="auto" w:fill="auto"/>
            <w:tcMar>
              <w:left w:w="58" w:type="dxa"/>
              <w:right w:w="58" w:type="dxa"/>
            </w:tcMar>
            <w:vAlign w:val="bottom"/>
          </w:tcPr>
          <w:p w14:paraId="0AB0168A" w14:textId="57F653D4" w:rsidR="00F93B95" w:rsidRPr="00CE3053" w:rsidRDefault="00993681" w:rsidP="006E26B2">
            <w:pPr>
              <w:pStyle w:val="TableText"/>
              <w:spacing w:before="0" w:after="0"/>
              <w:jc w:val="both"/>
              <w:rPr>
                <w:rFonts w:ascii="Arial" w:hAnsi="Arial"/>
                <w:bCs/>
                <w:color w:val="000000"/>
                <w:sz w:val="18"/>
                <w:lang w:val="mk-MK"/>
              </w:rPr>
            </w:pPr>
            <w:proofErr w:type="spellStart"/>
            <w:r w:rsidRPr="00993681">
              <w:rPr>
                <w:rFonts w:ascii="Arial" w:hAnsi="Arial"/>
                <w:bCs/>
                <w:color w:val="000000"/>
                <w:sz w:val="18"/>
                <w:lang w:val="mk-MK"/>
              </w:rPr>
              <w:t>Trade</w:t>
            </w:r>
            <w:proofErr w:type="spellEnd"/>
            <w:r w:rsidRPr="00993681">
              <w:rPr>
                <w:rFonts w:ascii="Arial" w:hAnsi="Arial"/>
                <w:bCs/>
                <w:color w:val="000000"/>
                <w:sz w:val="18"/>
                <w:lang w:val="mk-MK"/>
              </w:rPr>
              <w:t xml:space="preserve"> </w:t>
            </w:r>
            <w:proofErr w:type="spellStart"/>
            <w:r w:rsidRPr="00993681">
              <w:rPr>
                <w:rFonts w:ascii="Arial" w:hAnsi="Arial"/>
                <w:bCs/>
                <w:color w:val="000000"/>
                <w:sz w:val="18"/>
                <w:lang w:val="mk-MK"/>
              </w:rPr>
              <w:t>payables</w:t>
            </w:r>
            <w:proofErr w:type="spellEnd"/>
          </w:p>
        </w:tc>
        <w:tc>
          <w:tcPr>
            <w:tcW w:w="1440" w:type="dxa"/>
            <w:shd w:val="clear" w:color="auto" w:fill="auto"/>
            <w:tcMar>
              <w:left w:w="58" w:type="dxa"/>
              <w:right w:w="58" w:type="dxa"/>
            </w:tcMar>
            <w:vAlign w:val="bottom"/>
          </w:tcPr>
          <w:p w14:paraId="205D653B" w14:textId="120905F5" w:rsidR="00F93B95" w:rsidRPr="001E6526" w:rsidRDefault="00546297" w:rsidP="006E26B2">
            <w:pPr>
              <w:spacing w:after="0" w:line="240" w:lineRule="auto"/>
              <w:jc w:val="right"/>
              <w:rPr>
                <w:rFonts w:ascii="Arial" w:hAnsi="Arial" w:cs="Arial"/>
                <w:color w:val="000000"/>
                <w:lang w:val="mk-MK"/>
              </w:rPr>
            </w:pPr>
            <w:r w:rsidRPr="001E6526">
              <w:rPr>
                <w:rFonts w:ascii="Arial" w:hAnsi="Arial" w:cs="Arial"/>
                <w:color w:val="000000"/>
                <w:lang w:val="mk-MK"/>
              </w:rPr>
              <w:t>72</w:t>
            </w:r>
          </w:p>
        </w:tc>
        <w:tc>
          <w:tcPr>
            <w:tcW w:w="1440" w:type="dxa"/>
            <w:shd w:val="clear" w:color="auto" w:fill="auto"/>
            <w:tcMar>
              <w:left w:w="58" w:type="dxa"/>
              <w:right w:w="58" w:type="dxa"/>
            </w:tcMar>
            <w:vAlign w:val="bottom"/>
          </w:tcPr>
          <w:p w14:paraId="3A014BA5" w14:textId="3F267685" w:rsidR="00F93B95" w:rsidRPr="001E6526" w:rsidRDefault="00546297" w:rsidP="006E26B2">
            <w:pPr>
              <w:spacing w:after="0" w:line="240" w:lineRule="auto"/>
              <w:jc w:val="right"/>
              <w:rPr>
                <w:rFonts w:ascii="Arial" w:hAnsi="Arial" w:cs="Arial"/>
                <w:color w:val="000000"/>
                <w:lang w:val="mk-MK"/>
              </w:rPr>
            </w:pPr>
            <w:r w:rsidRPr="001E6526">
              <w:rPr>
                <w:rFonts w:ascii="Arial" w:hAnsi="Arial" w:cs="Arial"/>
                <w:color w:val="000000"/>
                <w:lang w:val="mk-MK"/>
              </w:rPr>
              <w:t>66</w:t>
            </w:r>
          </w:p>
        </w:tc>
      </w:tr>
      <w:tr w:rsidR="00F93B95" w:rsidRPr="001E6526" w14:paraId="3DC629E2" w14:textId="77777777" w:rsidTr="0025712C">
        <w:trPr>
          <w:trHeight w:val="216"/>
        </w:trPr>
        <w:tc>
          <w:tcPr>
            <w:tcW w:w="5760" w:type="dxa"/>
            <w:shd w:val="clear" w:color="auto" w:fill="auto"/>
            <w:tcMar>
              <w:left w:w="58" w:type="dxa"/>
              <w:right w:w="58" w:type="dxa"/>
            </w:tcMar>
            <w:vAlign w:val="bottom"/>
          </w:tcPr>
          <w:p w14:paraId="7FA178DA" w14:textId="3FD3F59C" w:rsidR="00F93B95" w:rsidRPr="001E6526" w:rsidRDefault="00993681" w:rsidP="006E26B2">
            <w:pPr>
              <w:pStyle w:val="TableText"/>
              <w:spacing w:before="0" w:after="0"/>
              <w:jc w:val="both"/>
              <w:rPr>
                <w:rFonts w:ascii="Arial" w:hAnsi="Arial"/>
                <w:bCs/>
                <w:color w:val="000000"/>
                <w:sz w:val="18"/>
                <w:lang w:val="mk-MK"/>
              </w:rPr>
            </w:pPr>
            <w:proofErr w:type="spellStart"/>
            <w:r w:rsidRPr="00993681">
              <w:rPr>
                <w:rFonts w:ascii="Arial" w:hAnsi="Arial"/>
                <w:bCs/>
                <w:color w:val="000000"/>
                <w:sz w:val="18"/>
                <w:lang w:val="mk-MK"/>
              </w:rPr>
              <w:t>Payables</w:t>
            </w:r>
            <w:proofErr w:type="spellEnd"/>
            <w:r w:rsidRPr="00993681">
              <w:rPr>
                <w:rFonts w:ascii="Arial" w:hAnsi="Arial"/>
                <w:bCs/>
                <w:color w:val="000000"/>
                <w:sz w:val="18"/>
                <w:lang w:val="mk-MK"/>
              </w:rPr>
              <w:t xml:space="preserve"> </w:t>
            </w:r>
            <w:proofErr w:type="spellStart"/>
            <w:r w:rsidRPr="00993681">
              <w:rPr>
                <w:rFonts w:ascii="Arial" w:hAnsi="Arial"/>
                <w:bCs/>
                <w:color w:val="000000"/>
                <w:sz w:val="18"/>
                <w:lang w:val="mk-MK"/>
              </w:rPr>
              <w:t>to</w:t>
            </w:r>
            <w:proofErr w:type="spellEnd"/>
            <w:r w:rsidRPr="00993681">
              <w:rPr>
                <w:rFonts w:ascii="Arial" w:hAnsi="Arial"/>
                <w:bCs/>
                <w:color w:val="000000"/>
                <w:sz w:val="18"/>
                <w:lang w:val="mk-MK"/>
              </w:rPr>
              <w:t xml:space="preserve"> </w:t>
            </w:r>
            <w:proofErr w:type="spellStart"/>
            <w:r w:rsidRPr="00993681">
              <w:rPr>
                <w:rFonts w:ascii="Arial" w:hAnsi="Arial"/>
                <w:bCs/>
                <w:color w:val="000000"/>
                <w:sz w:val="18"/>
                <w:lang w:val="mk-MK"/>
              </w:rPr>
              <w:t>employees</w:t>
            </w:r>
            <w:proofErr w:type="spellEnd"/>
          </w:p>
        </w:tc>
        <w:tc>
          <w:tcPr>
            <w:tcW w:w="1440" w:type="dxa"/>
            <w:shd w:val="clear" w:color="auto" w:fill="auto"/>
            <w:tcMar>
              <w:left w:w="58" w:type="dxa"/>
              <w:right w:w="58" w:type="dxa"/>
            </w:tcMar>
            <w:vAlign w:val="bottom"/>
          </w:tcPr>
          <w:p w14:paraId="70A639BB" w14:textId="5D5B5D73" w:rsidR="00F93B95" w:rsidRPr="001E6526" w:rsidRDefault="00546297" w:rsidP="006E26B2">
            <w:pPr>
              <w:spacing w:after="0" w:line="240" w:lineRule="auto"/>
              <w:jc w:val="right"/>
              <w:rPr>
                <w:rFonts w:ascii="Arial" w:hAnsi="Arial" w:cs="Arial"/>
                <w:color w:val="000000"/>
                <w:lang w:val="mk-MK"/>
              </w:rPr>
            </w:pPr>
            <w:r w:rsidRPr="001E6526">
              <w:rPr>
                <w:rFonts w:ascii="Arial" w:hAnsi="Arial" w:cs="Arial"/>
                <w:color w:val="000000"/>
                <w:lang w:val="mk-MK"/>
              </w:rPr>
              <w:t>-</w:t>
            </w:r>
          </w:p>
        </w:tc>
        <w:tc>
          <w:tcPr>
            <w:tcW w:w="1440" w:type="dxa"/>
            <w:shd w:val="clear" w:color="auto" w:fill="auto"/>
            <w:tcMar>
              <w:left w:w="58" w:type="dxa"/>
              <w:right w:w="58" w:type="dxa"/>
            </w:tcMar>
            <w:vAlign w:val="bottom"/>
          </w:tcPr>
          <w:p w14:paraId="3401A28F" w14:textId="56D12BA7" w:rsidR="00F93B95" w:rsidRPr="001E6526" w:rsidRDefault="00546297" w:rsidP="006E26B2">
            <w:pPr>
              <w:spacing w:after="0" w:line="240" w:lineRule="auto"/>
              <w:jc w:val="right"/>
              <w:rPr>
                <w:rFonts w:ascii="Arial" w:hAnsi="Arial" w:cs="Arial"/>
                <w:color w:val="000000"/>
                <w:lang w:val="mk-MK"/>
              </w:rPr>
            </w:pPr>
            <w:r w:rsidRPr="001E6526">
              <w:rPr>
                <w:rFonts w:ascii="Arial" w:hAnsi="Arial" w:cs="Arial"/>
                <w:color w:val="000000"/>
                <w:lang w:val="mk-MK"/>
              </w:rPr>
              <w:t>2</w:t>
            </w:r>
          </w:p>
        </w:tc>
      </w:tr>
      <w:tr w:rsidR="00F93B95" w:rsidRPr="001E6526" w14:paraId="20CBE656" w14:textId="77777777" w:rsidTr="0025712C">
        <w:trPr>
          <w:trHeight w:val="216"/>
        </w:trPr>
        <w:tc>
          <w:tcPr>
            <w:tcW w:w="5760" w:type="dxa"/>
            <w:tcBorders>
              <w:top w:val="single" w:sz="4" w:space="0" w:color="auto"/>
              <w:bottom w:val="double" w:sz="4" w:space="0" w:color="auto"/>
            </w:tcBorders>
            <w:shd w:val="clear" w:color="auto" w:fill="auto"/>
            <w:tcMar>
              <w:left w:w="58" w:type="dxa"/>
              <w:right w:w="58" w:type="dxa"/>
            </w:tcMar>
            <w:vAlign w:val="bottom"/>
          </w:tcPr>
          <w:p w14:paraId="76418616" w14:textId="77777777" w:rsidR="00F93B95" w:rsidRPr="00CE3053" w:rsidRDefault="00F93B95" w:rsidP="006E26B2">
            <w:pPr>
              <w:pStyle w:val="TableText"/>
              <w:spacing w:before="0" w:after="0"/>
              <w:jc w:val="both"/>
              <w:rPr>
                <w:rFonts w:ascii="Arial" w:hAnsi="Arial"/>
                <w:b/>
                <w:sz w:val="18"/>
                <w:lang w:val="mk-MK"/>
              </w:rPr>
            </w:pPr>
          </w:p>
        </w:tc>
        <w:tc>
          <w:tcPr>
            <w:tcW w:w="1440" w:type="dxa"/>
            <w:tcBorders>
              <w:top w:val="single" w:sz="4" w:space="0" w:color="auto"/>
              <w:bottom w:val="double" w:sz="4" w:space="0" w:color="auto"/>
            </w:tcBorders>
            <w:shd w:val="clear" w:color="auto" w:fill="auto"/>
            <w:tcMar>
              <w:left w:w="58" w:type="dxa"/>
              <w:right w:w="58" w:type="dxa"/>
            </w:tcMar>
            <w:vAlign w:val="bottom"/>
          </w:tcPr>
          <w:p w14:paraId="4AC1E2AB" w14:textId="4E9B2D47" w:rsidR="00F93B95" w:rsidRPr="001E6526" w:rsidRDefault="00546297" w:rsidP="006E26B2">
            <w:pPr>
              <w:spacing w:after="0" w:line="240" w:lineRule="auto"/>
              <w:jc w:val="right"/>
              <w:rPr>
                <w:rFonts w:ascii="Arial" w:hAnsi="Arial" w:cs="Arial"/>
                <w:b/>
                <w:bCs/>
                <w:color w:val="000000"/>
                <w:lang w:val="mk-MK"/>
              </w:rPr>
            </w:pPr>
            <w:r w:rsidRPr="001E6526">
              <w:rPr>
                <w:rFonts w:ascii="Arial" w:hAnsi="Arial" w:cs="Arial"/>
                <w:b/>
                <w:bCs/>
                <w:color w:val="000000"/>
                <w:lang w:val="mk-MK"/>
              </w:rPr>
              <w:t>72</w:t>
            </w:r>
          </w:p>
        </w:tc>
        <w:tc>
          <w:tcPr>
            <w:tcW w:w="1440" w:type="dxa"/>
            <w:tcBorders>
              <w:top w:val="single" w:sz="4" w:space="0" w:color="auto"/>
              <w:bottom w:val="double" w:sz="4" w:space="0" w:color="auto"/>
            </w:tcBorders>
            <w:shd w:val="clear" w:color="auto" w:fill="auto"/>
            <w:tcMar>
              <w:left w:w="58" w:type="dxa"/>
              <w:right w:w="58" w:type="dxa"/>
            </w:tcMar>
            <w:vAlign w:val="bottom"/>
          </w:tcPr>
          <w:p w14:paraId="0B218A86" w14:textId="0FF8F9C5" w:rsidR="00F93B95" w:rsidRPr="001E6526" w:rsidRDefault="00546297" w:rsidP="006E26B2">
            <w:pPr>
              <w:spacing w:after="0" w:line="240" w:lineRule="auto"/>
              <w:jc w:val="right"/>
              <w:rPr>
                <w:rFonts w:ascii="Arial" w:hAnsi="Arial" w:cs="Arial"/>
                <w:b/>
                <w:bCs/>
                <w:color w:val="000000"/>
                <w:lang w:val="mk-MK"/>
              </w:rPr>
            </w:pPr>
            <w:r w:rsidRPr="001E6526">
              <w:rPr>
                <w:rFonts w:ascii="Arial" w:hAnsi="Arial" w:cs="Arial"/>
                <w:b/>
                <w:bCs/>
                <w:color w:val="000000"/>
                <w:lang w:val="mk-MK"/>
              </w:rPr>
              <w:t>68</w:t>
            </w:r>
          </w:p>
        </w:tc>
      </w:tr>
    </w:tbl>
    <w:p w14:paraId="38F9A989" w14:textId="77777777" w:rsidR="00F93B95" w:rsidRPr="00CE3053" w:rsidRDefault="00F93B95" w:rsidP="00F93B95">
      <w:pPr>
        <w:pStyle w:val="BodyText"/>
        <w:rPr>
          <w:rFonts w:ascii="Arial" w:hAnsi="Arial" w:cs="Arial"/>
          <w:lang w:val="mk-MK"/>
        </w:rPr>
      </w:pPr>
    </w:p>
    <w:p w14:paraId="5CE9C7CE" w14:textId="04B58B34" w:rsidR="00F93B95" w:rsidRPr="00CE3053" w:rsidRDefault="00993681" w:rsidP="0061511C">
      <w:pPr>
        <w:pStyle w:val="NumberedHeading1"/>
        <w:numPr>
          <w:ilvl w:val="0"/>
          <w:numId w:val="22"/>
        </w:numPr>
        <w:spacing w:before="0" w:after="0" w:line="260" w:lineRule="atLeast"/>
        <w:rPr>
          <w:rFonts w:ascii="Arial" w:hAnsi="Arial" w:cs="Arial"/>
          <w:b/>
          <w:color w:val="4F2D7F"/>
          <w:sz w:val="18"/>
          <w:lang w:val="mk-MK"/>
        </w:rPr>
      </w:pPr>
      <w:r>
        <w:rPr>
          <w:rFonts w:ascii="Arial" w:hAnsi="Arial" w:cs="Arial"/>
          <w:b/>
          <w:color w:val="4F2D7F"/>
          <w:sz w:val="18"/>
          <w:lang w:val="en-US"/>
        </w:rPr>
        <w:lastRenderedPageBreak/>
        <w:t>Related party transactions</w:t>
      </w:r>
    </w:p>
    <w:p w14:paraId="6DC9A138" w14:textId="77777777" w:rsidR="00401141" w:rsidRPr="00CE3053" w:rsidRDefault="00401141" w:rsidP="006E26B2">
      <w:pPr>
        <w:pStyle w:val="NumberedBodyText"/>
        <w:numPr>
          <w:ilvl w:val="0"/>
          <w:numId w:val="0"/>
        </w:numPr>
        <w:spacing w:after="0"/>
        <w:rPr>
          <w:lang w:val="mk-MK"/>
        </w:rPr>
      </w:pPr>
    </w:p>
    <w:p w14:paraId="0FA31E47" w14:textId="7ECAA625" w:rsidR="00F93B95" w:rsidRPr="00CE3053" w:rsidRDefault="00934CCA" w:rsidP="00F93B95">
      <w:pPr>
        <w:pStyle w:val="BodyText"/>
        <w:jc w:val="both"/>
        <w:rPr>
          <w:rFonts w:ascii="Arial" w:hAnsi="Arial" w:cs="Arial"/>
          <w:lang w:val="mk-MK"/>
        </w:rPr>
      </w:pPr>
      <w:proofErr w:type="spellStart"/>
      <w:r w:rsidRPr="00934CCA">
        <w:rPr>
          <w:rFonts w:ascii="Arial" w:hAnsi="Arial" w:cs="Arial"/>
          <w:lang w:val="mk-MK"/>
        </w:rPr>
        <w:t>According</w:t>
      </w:r>
      <w:proofErr w:type="spellEnd"/>
      <w:r w:rsidRPr="00934CCA">
        <w:rPr>
          <w:rFonts w:ascii="Arial" w:hAnsi="Arial" w:cs="Arial"/>
          <w:lang w:val="mk-MK"/>
        </w:rPr>
        <w:t xml:space="preserve"> </w:t>
      </w:r>
      <w:proofErr w:type="spellStart"/>
      <w:r w:rsidRPr="00934CCA">
        <w:rPr>
          <w:rFonts w:ascii="Arial" w:hAnsi="Arial" w:cs="Arial"/>
          <w:lang w:val="mk-MK"/>
        </w:rPr>
        <w:t>to</w:t>
      </w:r>
      <w:proofErr w:type="spellEnd"/>
      <w:r w:rsidRPr="00934CCA">
        <w:rPr>
          <w:rFonts w:ascii="Arial" w:hAnsi="Arial" w:cs="Arial"/>
          <w:lang w:val="mk-MK"/>
        </w:rPr>
        <w:t xml:space="preserve"> </w:t>
      </w:r>
      <w:proofErr w:type="spellStart"/>
      <w:r w:rsidRPr="00934CCA">
        <w:rPr>
          <w:rFonts w:ascii="Arial" w:hAnsi="Arial" w:cs="Arial"/>
          <w:lang w:val="mk-MK"/>
        </w:rPr>
        <w:t>the</w:t>
      </w:r>
      <w:proofErr w:type="spellEnd"/>
      <w:r w:rsidRPr="00934CCA">
        <w:rPr>
          <w:rFonts w:ascii="Arial" w:hAnsi="Arial" w:cs="Arial"/>
          <w:lang w:val="mk-MK"/>
        </w:rPr>
        <w:t xml:space="preserve"> </w:t>
      </w:r>
      <w:proofErr w:type="spellStart"/>
      <w:r w:rsidRPr="00934CCA">
        <w:rPr>
          <w:rFonts w:ascii="Arial" w:hAnsi="Arial" w:cs="Arial"/>
          <w:lang w:val="mk-MK"/>
        </w:rPr>
        <w:t>Law</w:t>
      </w:r>
      <w:proofErr w:type="spellEnd"/>
      <w:r w:rsidRPr="00934CCA">
        <w:rPr>
          <w:rFonts w:ascii="Arial" w:hAnsi="Arial" w:cs="Arial"/>
          <w:lang w:val="mk-MK"/>
        </w:rPr>
        <w:t xml:space="preserve"> </w:t>
      </w:r>
      <w:proofErr w:type="spellStart"/>
      <w:r w:rsidRPr="00934CCA">
        <w:rPr>
          <w:rFonts w:ascii="Arial" w:hAnsi="Arial" w:cs="Arial"/>
          <w:lang w:val="mk-MK"/>
        </w:rPr>
        <w:t>and</w:t>
      </w:r>
      <w:proofErr w:type="spellEnd"/>
      <w:r w:rsidRPr="00934CCA">
        <w:rPr>
          <w:rFonts w:ascii="Arial" w:hAnsi="Arial" w:cs="Arial"/>
          <w:lang w:val="mk-MK"/>
        </w:rPr>
        <w:t xml:space="preserve"> </w:t>
      </w:r>
      <w:proofErr w:type="spellStart"/>
      <w:r w:rsidRPr="00934CCA">
        <w:rPr>
          <w:rFonts w:ascii="Arial" w:hAnsi="Arial" w:cs="Arial"/>
          <w:lang w:val="mk-MK"/>
        </w:rPr>
        <w:t>the</w:t>
      </w:r>
      <w:proofErr w:type="spellEnd"/>
      <w:r w:rsidRPr="00934CCA">
        <w:rPr>
          <w:rFonts w:ascii="Arial" w:hAnsi="Arial" w:cs="Arial"/>
          <w:lang w:val="mk-MK"/>
        </w:rPr>
        <w:t xml:space="preserve"> </w:t>
      </w:r>
      <w:proofErr w:type="spellStart"/>
      <w:r w:rsidRPr="00934CCA">
        <w:rPr>
          <w:rFonts w:ascii="Arial" w:hAnsi="Arial" w:cs="Arial"/>
          <w:lang w:val="mk-MK"/>
        </w:rPr>
        <w:t>Fund’s</w:t>
      </w:r>
      <w:proofErr w:type="spellEnd"/>
      <w:r w:rsidRPr="00934CCA">
        <w:rPr>
          <w:rFonts w:ascii="Arial" w:hAnsi="Arial" w:cs="Arial"/>
          <w:lang w:val="mk-MK"/>
        </w:rPr>
        <w:t xml:space="preserve"> </w:t>
      </w:r>
      <w:proofErr w:type="spellStart"/>
      <w:r w:rsidRPr="00934CCA">
        <w:rPr>
          <w:rFonts w:ascii="Arial" w:hAnsi="Arial" w:cs="Arial"/>
          <w:lang w:val="mk-MK"/>
        </w:rPr>
        <w:t>Statute</w:t>
      </w:r>
      <w:proofErr w:type="spellEnd"/>
      <w:r w:rsidRPr="00934CCA">
        <w:rPr>
          <w:rFonts w:ascii="Arial" w:hAnsi="Arial" w:cs="Arial"/>
          <w:lang w:val="mk-MK"/>
        </w:rPr>
        <w:t xml:space="preserve">, </w:t>
      </w:r>
      <w:proofErr w:type="spellStart"/>
      <w:r w:rsidRPr="00934CCA">
        <w:rPr>
          <w:rFonts w:ascii="Arial" w:hAnsi="Arial" w:cs="Arial"/>
          <w:lang w:val="mk-MK"/>
        </w:rPr>
        <w:t>the</w:t>
      </w:r>
      <w:proofErr w:type="spellEnd"/>
      <w:r w:rsidRPr="00934CCA">
        <w:rPr>
          <w:rFonts w:ascii="Arial" w:hAnsi="Arial" w:cs="Arial"/>
          <w:lang w:val="mk-MK"/>
        </w:rPr>
        <w:t xml:space="preserve"> </w:t>
      </w:r>
      <w:proofErr w:type="spellStart"/>
      <w:r w:rsidRPr="00934CCA">
        <w:rPr>
          <w:rFonts w:ascii="Arial" w:hAnsi="Arial" w:cs="Arial"/>
          <w:lang w:val="mk-MK"/>
        </w:rPr>
        <w:t>managing</w:t>
      </w:r>
      <w:proofErr w:type="spellEnd"/>
      <w:r w:rsidRPr="00934CCA">
        <w:rPr>
          <w:rFonts w:ascii="Arial" w:hAnsi="Arial" w:cs="Arial"/>
          <w:lang w:val="mk-MK"/>
        </w:rPr>
        <w:t xml:space="preserve"> </w:t>
      </w:r>
      <w:proofErr w:type="spellStart"/>
      <w:r w:rsidRPr="00934CCA">
        <w:rPr>
          <w:rFonts w:ascii="Arial" w:hAnsi="Arial" w:cs="Arial"/>
          <w:lang w:val="mk-MK"/>
        </w:rPr>
        <w:t>bodies</w:t>
      </w:r>
      <w:proofErr w:type="spellEnd"/>
      <w:r w:rsidRPr="00934CCA">
        <w:rPr>
          <w:rFonts w:ascii="Arial" w:hAnsi="Arial" w:cs="Arial"/>
          <w:lang w:val="mk-MK"/>
        </w:rPr>
        <w:t xml:space="preserve"> </w:t>
      </w:r>
      <w:proofErr w:type="spellStart"/>
      <w:r w:rsidRPr="00934CCA">
        <w:rPr>
          <w:rFonts w:ascii="Arial" w:hAnsi="Arial" w:cs="Arial"/>
          <w:lang w:val="mk-MK"/>
        </w:rPr>
        <w:t>are</w:t>
      </w:r>
      <w:proofErr w:type="spellEnd"/>
      <w:r w:rsidRPr="00934CCA">
        <w:rPr>
          <w:rFonts w:ascii="Arial" w:hAnsi="Arial" w:cs="Arial"/>
          <w:lang w:val="mk-MK"/>
        </w:rPr>
        <w:t xml:space="preserve"> </w:t>
      </w:r>
      <w:proofErr w:type="spellStart"/>
      <w:r w:rsidRPr="00934CCA">
        <w:rPr>
          <w:rFonts w:ascii="Arial" w:hAnsi="Arial" w:cs="Arial"/>
          <w:lang w:val="mk-MK"/>
        </w:rPr>
        <w:t>Managing</w:t>
      </w:r>
      <w:proofErr w:type="spellEnd"/>
      <w:r w:rsidRPr="00934CCA">
        <w:rPr>
          <w:rFonts w:ascii="Arial" w:hAnsi="Arial" w:cs="Arial"/>
          <w:lang w:val="mk-MK"/>
        </w:rPr>
        <w:t xml:space="preserve"> </w:t>
      </w:r>
      <w:proofErr w:type="spellStart"/>
      <w:r w:rsidRPr="00934CCA">
        <w:rPr>
          <w:rFonts w:ascii="Arial" w:hAnsi="Arial" w:cs="Arial"/>
          <w:lang w:val="mk-MK"/>
        </w:rPr>
        <w:t>Board</w:t>
      </w:r>
      <w:proofErr w:type="spellEnd"/>
      <w:r w:rsidRPr="00934CCA">
        <w:rPr>
          <w:rFonts w:ascii="Arial" w:hAnsi="Arial" w:cs="Arial"/>
          <w:lang w:val="mk-MK"/>
        </w:rPr>
        <w:t xml:space="preserve"> </w:t>
      </w:r>
      <w:proofErr w:type="spellStart"/>
      <w:r w:rsidRPr="00934CCA">
        <w:rPr>
          <w:rFonts w:ascii="Arial" w:hAnsi="Arial" w:cs="Arial"/>
          <w:lang w:val="mk-MK"/>
        </w:rPr>
        <w:t>and</w:t>
      </w:r>
      <w:proofErr w:type="spellEnd"/>
      <w:r w:rsidRPr="00934CCA">
        <w:rPr>
          <w:rFonts w:ascii="Arial" w:hAnsi="Arial" w:cs="Arial"/>
          <w:lang w:val="mk-MK"/>
        </w:rPr>
        <w:t xml:space="preserve"> </w:t>
      </w:r>
      <w:proofErr w:type="spellStart"/>
      <w:r w:rsidRPr="00934CCA">
        <w:rPr>
          <w:rFonts w:ascii="Arial" w:hAnsi="Arial" w:cs="Arial"/>
          <w:lang w:val="mk-MK"/>
        </w:rPr>
        <w:t>Director</w:t>
      </w:r>
      <w:proofErr w:type="spellEnd"/>
      <w:r w:rsidRPr="00934CCA">
        <w:rPr>
          <w:rFonts w:ascii="Arial" w:hAnsi="Arial" w:cs="Arial"/>
          <w:lang w:val="mk-MK"/>
        </w:rPr>
        <w:t xml:space="preserve">, </w:t>
      </w:r>
      <w:proofErr w:type="spellStart"/>
      <w:r w:rsidRPr="00934CCA">
        <w:rPr>
          <w:rFonts w:ascii="Arial" w:hAnsi="Arial" w:cs="Arial"/>
          <w:lang w:val="mk-MK"/>
        </w:rPr>
        <w:t>appointed</w:t>
      </w:r>
      <w:proofErr w:type="spellEnd"/>
      <w:r w:rsidRPr="00934CCA">
        <w:rPr>
          <w:rFonts w:ascii="Arial" w:hAnsi="Arial" w:cs="Arial"/>
          <w:lang w:val="mk-MK"/>
        </w:rPr>
        <w:t xml:space="preserve"> </w:t>
      </w:r>
      <w:proofErr w:type="spellStart"/>
      <w:r w:rsidRPr="00934CCA">
        <w:rPr>
          <w:rFonts w:ascii="Arial" w:hAnsi="Arial" w:cs="Arial"/>
          <w:lang w:val="mk-MK"/>
        </w:rPr>
        <w:t>by</w:t>
      </w:r>
      <w:proofErr w:type="spellEnd"/>
      <w:r w:rsidRPr="00934CCA">
        <w:rPr>
          <w:rFonts w:ascii="Arial" w:hAnsi="Arial" w:cs="Arial"/>
          <w:lang w:val="mk-MK"/>
        </w:rPr>
        <w:t xml:space="preserve"> </w:t>
      </w:r>
      <w:proofErr w:type="spellStart"/>
      <w:r w:rsidRPr="00934CCA">
        <w:rPr>
          <w:rFonts w:ascii="Arial" w:hAnsi="Arial" w:cs="Arial"/>
          <w:lang w:val="mk-MK"/>
        </w:rPr>
        <w:t>the</w:t>
      </w:r>
      <w:proofErr w:type="spellEnd"/>
      <w:r w:rsidRPr="00934CCA">
        <w:rPr>
          <w:rFonts w:ascii="Arial" w:hAnsi="Arial" w:cs="Arial"/>
          <w:lang w:val="mk-MK"/>
        </w:rPr>
        <w:t xml:space="preserve"> </w:t>
      </w:r>
      <w:proofErr w:type="spellStart"/>
      <w:r w:rsidRPr="00934CCA">
        <w:rPr>
          <w:rFonts w:ascii="Arial" w:hAnsi="Arial" w:cs="Arial"/>
          <w:lang w:val="mk-MK"/>
        </w:rPr>
        <w:t>Government</w:t>
      </w:r>
      <w:proofErr w:type="spellEnd"/>
      <w:r w:rsidRPr="00934CCA">
        <w:rPr>
          <w:rFonts w:ascii="Arial" w:hAnsi="Arial" w:cs="Arial"/>
          <w:lang w:val="mk-MK"/>
        </w:rPr>
        <w:t xml:space="preserve"> </w:t>
      </w:r>
      <w:proofErr w:type="spellStart"/>
      <w:r w:rsidRPr="00934CCA">
        <w:rPr>
          <w:rFonts w:ascii="Arial" w:hAnsi="Arial" w:cs="Arial"/>
          <w:lang w:val="mk-MK"/>
        </w:rPr>
        <w:t>of</w:t>
      </w:r>
      <w:proofErr w:type="spellEnd"/>
      <w:r w:rsidRPr="00934CCA">
        <w:rPr>
          <w:rFonts w:ascii="Arial" w:hAnsi="Arial" w:cs="Arial"/>
          <w:lang w:val="mk-MK"/>
        </w:rPr>
        <w:t xml:space="preserve"> </w:t>
      </w:r>
      <w:proofErr w:type="spellStart"/>
      <w:r w:rsidRPr="00934CCA">
        <w:rPr>
          <w:rFonts w:ascii="Arial" w:hAnsi="Arial" w:cs="Arial"/>
          <w:lang w:val="mk-MK"/>
        </w:rPr>
        <w:t>the</w:t>
      </w:r>
      <w:proofErr w:type="spellEnd"/>
      <w:r w:rsidRPr="00934CCA">
        <w:rPr>
          <w:rFonts w:ascii="Arial" w:hAnsi="Arial" w:cs="Arial"/>
          <w:lang w:val="mk-MK"/>
        </w:rPr>
        <w:t xml:space="preserve"> </w:t>
      </w:r>
      <w:proofErr w:type="spellStart"/>
      <w:r w:rsidRPr="00934CCA">
        <w:rPr>
          <w:rFonts w:ascii="Arial" w:hAnsi="Arial" w:cs="Arial"/>
          <w:lang w:val="mk-MK"/>
        </w:rPr>
        <w:t>Republic</w:t>
      </w:r>
      <w:proofErr w:type="spellEnd"/>
      <w:r w:rsidRPr="00934CCA">
        <w:rPr>
          <w:rFonts w:ascii="Arial" w:hAnsi="Arial" w:cs="Arial"/>
          <w:lang w:val="mk-MK"/>
        </w:rPr>
        <w:t xml:space="preserve"> </w:t>
      </w:r>
      <w:proofErr w:type="spellStart"/>
      <w:r w:rsidRPr="00934CCA">
        <w:rPr>
          <w:rFonts w:ascii="Arial" w:hAnsi="Arial" w:cs="Arial"/>
          <w:lang w:val="mk-MK"/>
        </w:rPr>
        <w:t>of</w:t>
      </w:r>
      <w:proofErr w:type="spellEnd"/>
      <w:r w:rsidRPr="00934CCA">
        <w:rPr>
          <w:rFonts w:ascii="Arial" w:hAnsi="Arial" w:cs="Arial"/>
          <w:lang w:val="mk-MK"/>
        </w:rPr>
        <w:t xml:space="preserve"> </w:t>
      </w:r>
      <w:proofErr w:type="spellStart"/>
      <w:r w:rsidRPr="00934CCA">
        <w:rPr>
          <w:rFonts w:ascii="Arial" w:hAnsi="Arial" w:cs="Arial"/>
          <w:lang w:val="mk-MK"/>
        </w:rPr>
        <w:t>North</w:t>
      </w:r>
      <w:proofErr w:type="spellEnd"/>
      <w:r w:rsidRPr="00934CCA">
        <w:rPr>
          <w:rFonts w:ascii="Arial" w:hAnsi="Arial" w:cs="Arial"/>
          <w:lang w:val="mk-MK"/>
        </w:rPr>
        <w:t xml:space="preserve"> </w:t>
      </w:r>
      <w:proofErr w:type="spellStart"/>
      <w:r w:rsidRPr="00934CCA">
        <w:rPr>
          <w:rFonts w:ascii="Arial" w:hAnsi="Arial" w:cs="Arial"/>
          <w:lang w:val="mk-MK"/>
        </w:rPr>
        <w:t>Macedonia</w:t>
      </w:r>
      <w:proofErr w:type="spellEnd"/>
      <w:r w:rsidRPr="00934CCA">
        <w:rPr>
          <w:rFonts w:ascii="Arial" w:hAnsi="Arial" w:cs="Arial"/>
          <w:lang w:val="mk-MK"/>
        </w:rPr>
        <w:t xml:space="preserve">. </w:t>
      </w:r>
      <w:proofErr w:type="spellStart"/>
      <w:r w:rsidRPr="00934CCA">
        <w:rPr>
          <w:rFonts w:ascii="Arial" w:hAnsi="Arial" w:cs="Arial"/>
          <w:lang w:val="mk-MK"/>
        </w:rPr>
        <w:t>The</w:t>
      </w:r>
      <w:proofErr w:type="spellEnd"/>
      <w:r w:rsidRPr="00934CCA">
        <w:rPr>
          <w:rFonts w:ascii="Arial" w:hAnsi="Arial" w:cs="Arial"/>
          <w:lang w:val="mk-MK"/>
        </w:rPr>
        <w:t xml:space="preserve"> </w:t>
      </w:r>
      <w:proofErr w:type="spellStart"/>
      <w:r w:rsidRPr="00934CCA">
        <w:rPr>
          <w:rFonts w:ascii="Arial" w:hAnsi="Arial" w:cs="Arial"/>
          <w:lang w:val="mk-MK"/>
        </w:rPr>
        <w:t>Managing</w:t>
      </w:r>
      <w:proofErr w:type="spellEnd"/>
      <w:r w:rsidRPr="00934CCA">
        <w:rPr>
          <w:rFonts w:ascii="Arial" w:hAnsi="Arial" w:cs="Arial"/>
          <w:lang w:val="mk-MK"/>
        </w:rPr>
        <w:t xml:space="preserve"> </w:t>
      </w:r>
      <w:proofErr w:type="spellStart"/>
      <w:r w:rsidRPr="00934CCA">
        <w:rPr>
          <w:rFonts w:ascii="Arial" w:hAnsi="Arial" w:cs="Arial"/>
          <w:lang w:val="mk-MK"/>
        </w:rPr>
        <w:t>Board</w:t>
      </w:r>
      <w:proofErr w:type="spellEnd"/>
      <w:r w:rsidRPr="00934CCA">
        <w:rPr>
          <w:rFonts w:ascii="Arial" w:hAnsi="Arial" w:cs="Arial"/>
          <w:lang w:val="mk-MK"/>
        </w:rPr>
        <w:t xml:space="preserve"> </w:t>
      </w:r>
      <w:proofErr w:type="spellStart"/>
      <w:r w:rsidRPr="00934CCA">
        <w:rPr>
          <w:rFonts w:ascii="Arial" w:hAnsi="Arial" w:cs="Arial"/>
          <w:lang w:val="mk-MK"/>
        </w:rPr>
        <w:t>operates</w:t>
      </w:r>
      <w:proofErr w:type="spellEnd"/>
      <w:r w:rsidRPr="00934CCA">
        <w:rPr>
          <w:rFonts w:ascii="Arial" w:hAnsi="Arial" w:cs="Arial"/>
          <w:lang w:val="mk-MK"/>
        </w:rPr>
        <w:t xml:space="preserve"> </w:t>
      </w:r>
      <w:proofErr w:type="spellStart"/>
      <w:r w:rsidRPr="00934CCA">
        <w:rPr>
          <w:rFonts w:ascii="Arial" w:hAnsi="Arial" w:cs="Arial"/>
          <w:lang w:val="mk-MK"/>
        </w:rPr>
        <w:t>with</w:t>
      </w:r>
      <w:proofErr w:type="spellEnd"/>
      <w:r w:rsidRPr="00934CCA">
        <w:rPr>
          <w:rFonts w:ascii="Arial" w:hAnsi="Arial" w:cs="Arial"/>
          <w:lang w:val="mk-MK"/>
        </w:rPr>
        <w:t xml:space="preserve"> </w:t>
      </w:r>
      <w:proofErr w:type="spellStart"/>
      <w:r w:rsidRPr="00934CCA">
        <w:rPr>
          <w:rFonts w:ascii="Arial" w:hAnsi="Arial" w:cs="Arial"/>
          <w:lang w:val="mk-MK"/>
        </w:rPr>
        <w:t>five</w:t>
      </w:r>
      <w:proofErr w:type="spellEnd"/>
      <w:r w:rsidRPr="00934CCA">
        <w:rPr>
          <w:rFonts w:ascii="Arial" w:hAnsi="Arial" w:cs="Arial"/>
          <w:lang w:val="mk-MK"/>
        </w:rPr>
        <w:t xml:space="preserve"> </w:t>
      </w:r>
      <w:proofErr w:type="spellStart"/>
      <w:r w:rsidRPr="00934CCA">
        <w:rPr>
          <w:rFonts w:ascii="Arial" w:hAnsi="Arial" w:cs="Arial"/>
          <w:lang w:val="mk-MK"/>
        </w:rPr>
        <w:t>members</w:t>
      </w:r>
      <w:proofErr w:type="spellEnd"/>
      <w:r w:rsidRPr="00934CCA">
        <w:rPr>
          <w:rFonts w:ascii="Arial" w:hAnsi="Arial" w:cs="Arial"/>
          <w:lang w:val="mk-MK"/>
        </w:rPr>
        <w:t xml:space="preserve"> (20</w:t>
      </w:r>
      <w:r>
        <w:rPr>
          <w:rFonts w:ascii="Arial" w:hAnsi="Arial" w:cs="Arial"/>
          <w:lang w:val="en-US"/>
        </w:rPr>
        <w:t>20</w:t>
      </w:r>
      <w:r w:rsidRPr="00934CCA">
        <w:rPr>
          <w:rFonts w:ascii="Arial" w:hAnsi="Arial" w:cs="Arial"/>
          <w:lang w:val="mk-MK"/>
        </w:rPr>
        <w:t xml:space="preserve">: </w:t>
      </w:r>
      <w:proofErr w:type="spellStart"/>
      <w:r w:rsidRPr="00934CCA">
        <w:rPr>
          <w:rFonts w:ascii="Arial" w:hAnsi="Arial" w:cs="Arial"/>
          <w:lang w:val="mk-MK"/>
        </w:rPr>
        <w:t>five</w:t>
      </w:r>
      <w:proofErr w:type="spellEnd"/>
      <w:r w:rsidRPr="00934CCA">
        <w:rPr>
          <w:rFonts w:ascii="Arial" w:hAnsi="Arial" w:cs="Arial"/>
          <w:lang w:val="mk-MK"/>
        </w:rPr>
        <w:t xml:space="preserve"> </w:t>
      </w:r>
      <w:proofErr w:type="spellStart"/>
      <w:r w:rsidRPr="00934CCA">
        <w:rPr>
          <w:rFonts w:ascii="Arial" w:hAnsi="Arial" w:cs="Arial"/>
          <w:lang w:val="mk-MK"/>
        </w:rPr>
        <w:t>members</w:t>
      </w:r>
      <w:proofErr w:type="spellEnd"/>
      <w:r w:rsidRPr="00934CCA">
        <w:rPr>
          <w:rFonts w:ascii="Arial" w:hAnsi="Arial" w:cs="Arial"/>
          <w:lang w:val="mk-MK"/>
        </w:rPr>
        <w:t xml:space="preserve">).  </w:t>
      </w:r>
      <w:proofErr w:type="spellStart"/>
      <w:r w:rsidRPr="00934CCA">
        <w:rPr>
          <w:rFonts w:ascii="Arial" w:hAnsi="Arial" w:cs="Arial"/>
          <w:lang w:val="mk-MK"/>
        </w:rPr>
        <w:t>The</w:t>
      </w:r>
      <w:proofErr w:type="spellEnd"/>
      <w:r w:rsidRPr="00934CCA">
        <w:rPr>
          <w:rFonts w:ascii="Arial" w:hAnsi="Arial" w:cs="Arial"/>
          <w:lang w:val="mk-MK"/>
        </w:rPr>
        <w:t xml:space="preserve"> </w:t>
      </w:r>
      <w:proofErr w:type="spellStart"/>
      <w:r w:rsidRPr="00934CCA">
        <w:rPr>
          <w:rFonts w:ascii="Arial" w:hAnsi="Arial" w:cs="Arial"/>
          <w:lang w:val="mk-MK"/>
        </w:rPr>
        <w:t>Government</w:t>
      </w:r>
      <w:proofErr w:type="spellEnd"/>
      <w:r w:rsidRPr="00934CCA">
        <w:rPr>
          <w:rFonts w:ascii="Arial" w:hAnsi="Arial" w:cs="Arial"/>
          <w:lang w:val="mk-MK"/>
        </w:rPr>
        <w:t xml:space="preserve"> </w:t>
      </w:r>
      <w:proofErr w:type="spellStart"/>
      <w:r w:rsidRPr="00934CCA">
        <w:rPr>
          <w:rFonts w:ascii="Arial" w:hAnsi="Arial" w:cs="Arial"/>
          <w:lang w:val="mk-MK"/>
        </w:rPr>
        <w:t>of</w:t>
      </w:r>
      <w:proofErr w:type="spellEnd"/>
      <w:r w:rsidRPr="00934CCA">
        <w:rPr>
          <w:rFonts w:ascii="Arial" w:hAnsi="Arial" w:cs="Arial"/>
          <w:lang w:val="mk-MK"/>
        </w:rPr>
        <w:t xml:space="preserve"> </w:t>
      </w:r>
      <w:proofErr w:type="spellStart"/>
      <w:r w:rsidRPr="00934CCA">
        <w:rPr>
          <w:rFonts w:ascii="Arial" w:hAnsi="Arial" w:cs="Arial"/>
          <w:lang w:val="mk-MK"/>
        </w:rPr>
        <w:t>the</w:t>
      </w:r>
      <w:proofErr w:type="spellEnd"/>
      <w:r w:rsidRPr="00934CCA">
        <w:rPr>
          <w:rFonts w:ascii="Arial" w:hAnsi="Arial" w:cs="Arial"/>
          <w:lang w:val="mk-MK"/>
        </w:rPr>
        <w:t xml:space="preserve"> </w:t>
      </w:r>
      <w:proofErr w:type="spellStart"/>
      <w:r w:rsidRPr="00934CCA">
        <w:rPr>
          <w:rFonts w:ascii="Arial" w:hAnsi="Arial" w:cs="Arial"/>
          <w:lang w:val="mk-MK"/>
        </w:rPr>
        <w:t>Republic</w:t>
      </w:r>
      <w:proofErr w:type="spellEnd"/>
      <w:r w:rsidRPr="00934CCA">
        <w:rPr>
          <w:rFonts w:ascii="Arial" w:hAnsi="Arial" w:cs="Arial"/>
          <w:lang w:val="mk-MK"/>
        </w:rPr>
        <w:t xml:space="preserve"> </w:t>
      </w:r>
      <w:proofErr w:type="spellStart"/>
      <w:r w:rsidRPr="00934CCA">
        <w:rPr>
          <w:rFonts w:ascii="Arial" w:hAnsi="Arial" w:cs="Arial"/>
          <w:lang w:val="mk-MK"/>
        </w:rPr>
        <w:t>of</w:t>
      </w:r>
      <w:proofErr w:type="spellEnd"/>
      <w:r w:rsidRPr="00934CCA">
        <w:rPr>
          <w:rFonts w:ascii="Arial" w:hAnsi="Arial" w:cs="Arial"/>
          <w:lang w:val="mk-MK"/>
        </w:rPr>
        <w:t xml:space="preserve"> </w:t>
      </w:r>
      <w:proofErr w:type="spellStart"/>
      <w:r w:rsidRPr="00934CCA">
        <w:rPr>
          <w:rFonts w:ascii="Arial" w:hAnsi="Arial" w:cs="Arial"/>
          <w:lang w:val="mk-MK"/>
        </w:rPr>
        <w:t>Macedonia</w:t>
      </w:r>
      <w:proofErr w:type="spellEnd"/>
      <w:r w:rsidRPr="00934CCA">
        <w:rPr>
          <w:rFonts w:ascii="Arial" w:hAnsi="Arial" w:cs="Arial"/>
          <w:lang w:val="mk-MK"/>
        </w:rPr>
        <w:t xml:space="preserve"> </w:t>
      </w:r>
      <w:proofErr w:type="spellStart"/>
      <w:r w:rsidRPr="00934CCA">
        <w:rPr>
          <w:rFonts w:ascii="Arial" w:hAnsi="Arial" w:cs="Arial"/>
          <w:lang w:val="mk-MK"/>
        </w:rPr>
        <w:t>has</w:t>
      </w:r>
      <w:proofErr w:type="spellEnd"/>
      <w:r w:rsidRPr="00934CCA">
        <w:rPr>
          <w:rFonts w:ascii="Arial" w:hAnsi="Arial" w:cs="Arial"/>
          <w:lang w:val="mk-MK"/>
        </w:rPr>
        <w:t xml:space="preserve"> </w:t>
      </w:r>
      <w:proofErr w:type="spellStart"/>
      <w:r w:rsidRPr="00934CCA">
        <w:rPr>
          <w:rFonts w:ascii="Arial" w:hAnsi="Arial" w:cs="Arial"/>
          <w:lang w:val="mk-MK"/>
        </w:rPr>
        <w:t>appointed</w:t>
      </w:r>
      <w:proofErr w:type="spellEnd"/>
      <w:r w:rsidRPr="00934CCA">
        <w:rPr>
          <w:rFonts w:ascii="Arial" w:hAnsi="Arial" w:cs="Arial"/>
          <w:lang w:val="mk-MK"/>
        </w:rPr>
        <w:t xml:space="preserve"> </w:t>
      </w:r>
      <w:proofErr w:type="spellStart"/>
      <w:r w:rsidRPr="00934CCA">
        <w:rPr>
          <w:rFonts w:ascii="Arial" w:hAnsi="Arial" w:cs="Arial"/>
          <w:lang w:val="mk-MK"/>
        </w:rPr>
        <w:t>five</w:t>
      </w:r>
      <w:proofErr w:type="spellEnd"/>
      <w:r w:rsidRPr="00934CCA">
        <w:rPr>
          <w:rFonts w:ascii="Arial" w:hAnsi="Arial" w:cs="Arial"/>
          <w:lang w:val="mk-MK"/>
        </w:rPr>
        <w:t xml:space="preserve"> </w:t>
      </w:r>
      <w:proofErr w:type="spellStart"/>
      <w:r w:rsidRPr="00934CCA">
        <w:rPr>
          <w:rFonts w:ascii="Arial" w:hAnsi="Arial" w:cs="Arial"/>
          <w:lang w:val="mk-MK"/>
        </w:rPr>
        <w:t>members</w:t>
      </w:r>
      <w:proofErr w:type="spellEnd"/>
      <w:r w:rsidRPr="00934CCA">
        <w:rPr>
          <w:rFonts w:ascii="Arial" w:hAnsi="Arial" w:cs="Arial"/>
          <w:lang w:val="mk-MK"/>
        </w:rPr>
        <w:t xml:space="preserve">, </w:t>
      </w:r>
      <w:proofErr w:type="spellStart"/>
      <w:r w:rsidRPr="00934CCA">
        <w:rPr>
          <w:rFonts w:ascii="Arial" w:hAnsi="Arial" w:cs="Arial"/>
          <w:lang w:val="mk-MK"/>
        </w:rPr>
        <w:t>of</w:t>
      </w:r>
      <w:proofErr w:type="spellEnd"/>
      <w:r w:rsidRPr="00934CCA">
        <w:rPr>
          <w:rFonts w:ascii="Arial" w:hAnsi="Arial" w:cs="Arial"/>
          <w:lang w:val="mk-MK"/>
        </w:rPr>
        <w:t xml:space="preserve"> </w:t>
      </w:r>
      <w:proofErr w:type="spellStart"/>
      <w:r w:rsidRPr="00934CCA">
        <w:rPr>
          <w:rFonts w:ascii="Arial" w:hAnsi="Arial" w:cs="Arial"/>
          <w:lang w:val="mk-MK"/>
        </w:rPr>
        <w:t>whom</w:t>
      </w:r>
      <w:proofErr w:type="spellEnd"/>
      <w:r w:rsidRPr="00934CCA">
        <w:rPr>
          <w:rFonts w:ascii="Arial" w:hAnsi="Arial" w:cs="Arial"/>
          <w:lang w:val="mk-MK"/>
        </w:rPr>
        <w:t xml:space="preserve"> </w:t>
      </w:r>
      <w:proofErr w:type="spellStart"/>
      <w:r w:rsidRPr="00934CCA">
        <w:rPr>
          <w:rFonts w:ascii="Arial" w:hAnsi="Arial" w:cs="Arial"/>
          <w:lang w:val="mk-MK"/>
        </w:rPr>
        <w:t>the</w:t>
      </w:r>
      <w:proofErr w:type="spellEnd"/>
      <w:r w:rsidRPr="00934CCA">
        <w:rPr>
          <w:rFonts w:ascii="Arial" w:hAnsi="Arial" w:cs="Arial"/>
          <w:lang w:val="mk-MK"/>
        </w:rPr>
        <w:t xml:space="preserve"> </w:t>
      </w:r>
      <w:proofErr w:type="spellStart"/>
      <w:r w:rsidRPr="00934CCA">
        <w:rPr>
          <w:rFonts w:ascii="Arial" w:hAnsi="Arial" w:cs="Arial"/>
          <w:lang w:val="mk-MK"/>
        </w:rPr>
        <w:t>Minister</w:t>
      </w:r>
      <w:proofErr w:type="spellEnd"/>
      <w:r w:rsidRPr="00934CCA">
        <w:rPr>
          <w:rFonts w:ascii="Arial" w:hAnsi="Arial" w:cs="Arial"/>
          <w:lang w:val="mk-MK"/>
        </w:rPr>
        <w:t xml:space="preserve"> </w:t>
      </w:r>
      <w:proofErr w:type="spellStart"/>
      <w:r w:rsidRPr="00934CCA">
        <w:rPr>
          <w:rFonts w:ascii="Arial" w:hAnsi="Arial" w:cs="Arial"/>
          <w:lang w:val="mk-MK"/>
        </w:rPr>
        <w:t>of</w:t>
      </w:r>
      <w:proofErr w:type="spellEnd"/>
      <w:r w:rsidRPr="00934CCA">
        <w:rPr>
          <w:rFonts w:ascii="Arial" w:hAnsi="Arial" w:cs="Arial"/>
          <w:lang w:val="mk-MK"/>
        </w:rPr>
        <w:t xml:space="preserve"> </w:t>
      </w:r>
      <w:proofErr w:type="spellStart"/>
      <w:r w:rsidRPr="00934CCA">
        <w:rPr>
          <w:rFonts w:ascii="Arial" w:hAnsi="Arial" w:cs="Arial"/>
          <w:lang w:val="mk-MK"/>
        </w:rPr>
        <w:t>Finance</w:t>
      </w:r>
      <w:proofErr w:type="spellEnd"/>
      <w:r w:rsidRPr="00934CCA">
        <w:rPr>
          <w:rFonts w:ascii="Arial" w:hAnsi="Arial" w:cs="Arial"/>
          <w:lang w:val="mk-MK"/>
        </w:rPr>
        <w:t xml:space="preserve"> </w:t>
      </w:r>
      <w:proofErr w:type="spellStart"/>
      <w:r w:rsidRPr="00934CCA">
        <w:rPr>
          <w:rFonts w:ascii="Arial" w:hAnsi="Arial" w:cs="Arial"/>
          <w:lang w:val="mk-MK"/>
        </w:rPr>
        <w:t>has</w:t>
      </w:r>
      <w:proofErr w:type="spellEnd"/>
      <w:r w:rsidRPr="00934CCA">
        <w:rPr>
          <w:rFonts w:ascii="Arial" w:hAnsi="Arial" w:cs="Arial"/>
          <w:lang w:val="mk-MK"/>
        </w:rPr>
        <w:t xml:space="preserve"> </w:t>
      </w:r>
      <w:proofErr w:type="spellStart"/>
      <w:r w:rsidRPr="00934CCA">
        <w:rPr>
          <w:rFonts w:ascii="Arial" w:hAnsi="Arial" w:cs="Arial"/>
          <w:lang w:val="mk-MK"/>
        </w:rPr>
        <w:t>proposed</w:t>
      </w:r>
      <w:proofErr w:type="spellEnd"/>
      <w:r w:rsidRPr="00934CCA">
        <w:rPr>
          <w:rFonts w:ascii="Arial" w:hAnsi="Arial" w:cs="Arial"/>
          <w:lang w:val="mk-MK"/>
        </w:rPr>
        <w:t xml:space="preserve"> </w:t>
      </w:r>
      <w:proofErr w:type="spellStart"/>
      <w:r w:rsidRPr="00934CCA">
        <w:rPr>
          <w:rFonts w:ascii="Arial" w:hAnsi="Arial" w:cs="Arial"/>
          <w:lang w:val="mk-MK"/>
        </w:rPr>
        <w:t>three</w:t>
      </w:r>
      <w:proofErr w:type="spellEnd"/>
      <w:r w:rsidRPr="00934CCA">
        <w:rPr>
          <w:rFonts w:ascii="Arial" w:hAnsi="Arial" w:cs="Arial"/>
          <w:lang w:val="mk-MK"/>
        </w:rPr>
        <w:t xml:space="preserve">, </w:t>
      </w:r>
      <w:proofErr w:type="spellStart"/>
      <w:r w:rsidRPr="00934CCA">
        <w:rPr>
          <w:rFonts w:ascii="Arial" w:hAnsi="Arial" w:cs="Arial"/>
          <w:lang w:val="mk-MK"/>
        </w:rPr>
        <w:t>one</w:t>
      </w:r>
      <w:proofErr w:type="spellEnd"/>
      <w:r w:rsidRPr="00934CCA">
        <w:rPr>
          <w:rFonts w:ascii="Arial" w:hAnsi="Arial" w:cs="Arial"/>
          <w:lang w:val="mk-MK"/>
        </w:rPr>
        <w:t xml:space="preserve"> </w:t>
      </w:r>
      <w:proofErr w:type="spellStart"/>
      <w:r w:rsidRPr="00934CCA">
        <w:rPr>
          <w:rFonts w:ascii="Arial" w:hAnsi="Arial" w:cs="Arial"/>
          <w:lang w:val="mk-MK"/>
        </w:rPr>
        <w:t>has</w:t>
      </w:r>
      <w:proofErr w:type="spellEnd"/>
      <w:r w:rsidRPr="00934CCA">
        <w:rPr>
          <w:rFonts w:ascii="Arial" w:hAnsi="Arial" w:cs="Arial"/>
          <w:lang w:val="mk-MK"/>
        </w:rPr>
        <w:t xml:space="preserve"> </w:t>
      </w:r>
      <w:proofErr w:type="spellStart"/>
      <w:r w:rsidRPr="00934CCA">
        <w:rPr>
          <w:rFonts w:ascii="Arial" w:hAnsi="Arial" w:cs="Arial"/>
          <w:lang w:val="mk-MK"/>
        </w:rPr>
        <w:t>been</w:t>
      </w:r>
      <w:proofErr w:type="spellEnd"/>
      <w:r w:rsidRPr="00934CCA">
        <w:rPr>
          <w:rFonts w:ascii="Arial" w:hAnsi="Arial" w:cs="Arial"/>
          <w:lang w:val="mk-MK"/>
        </w:rPr>
        <w:t xml:space="preserve"> </w:t>
      </w:r>
      <w:proofErr w:type="spellStart"/>
      <w:r w:rsidRPr="00934CCA">
        <w:rPr>
          <w:rFonts w:ascii="Arial" w:hAnsi="Arial" w:cs="Arial"/>
          <w:lang w:val="mk-MK"/>
        </w:rPr>
        <w:t>proposed</w:t>
      </w:r>
      <w:proofErr w:type="spellEnd"/>
      <w:r w:rsidRPr="00934CCA">
        <w:rPr>
          <w:rFonts w:ascii="Arial" w:hAnsi="Arial" w:cs="Arial"/>
          <w:lang w:val="mk-MK"/>
        </w:rPr>
        <w:t xml:space="preserve"> </w:t>
      </w:r>
      <w:proofErr w:type="spellStart"/>
      <w:r w:rsidRPr="00934CCA">
        <w:rPr>
          <w:rFonts w:ascii="Arial" w:hAnsi="Arial" w:cs="Arial"/>
          <w:lang w:val="mk-MK"/>
        </w:rPr>
        <w:t>by</w:t>
      </w:r>
      <w:proofErr w:type="spellEnd"/>
      <w:r w:rsidRPr="00934CCA">
        <w:rPr>
          <w:rFonts w:ascii="Arial" w:hAnsi="Arial" w:cs="Arial"/>
          <w:lang w:val="mk-MK"/>
        </w:rPr>
        <w:t xml:space="preserve"> </w:t>
      </w:r>
      <w:proofErr w:type="spellStart"/>
      <w:r w:rsidRPr="00934CCA">
        <w:rPr>
          <w:rFonts w:ascii="Arial" w:hAnsi="Arial" w:cs="Arial"/>
          <w:lang w:val="mk-MK"/>
        </w:rPr>
        <w:t>the</w:t>
      </w:r>
      <w:proofErr w:type="spellEnd"/>
      <w:r w:rsidRPr="00934CCA">
        <w:rPr>
          <w:rFonts w:ascii="Arial" w:hAnsi="Arial" w:cs="Arial"/>
          <w:lang w:val="mk-MK"/>
        </w:rPr>
        <w:t xml:space="preserve"> </w:t>
      </w:r>
      <w:proofErr w:type="spellStart"/>
      <w:r w:rsidRPr="00934CCA">
        <w:rPr>
          <w:rFonts w:ascii="Arial" w:hAnsi="Arial" w:cs="Arial"/>
          <w:lang w:val="mk-MK"/>
        </w:rPr>
        <w:t>Governor</w:t>
      </w:r>
      <w:proofErr w:type="spellEnd"/>
      <w:r w:rsidRPr="00934CCA">
        <w:rPr>
          <w:rFonts w:ascii="Arial" w:hAnsi="Arial" w:cs="Arial"/>
          <w:lang w:val="mk-MK"/>
        </w:rPr>
        <w:t xml:space="preserve"> </w:t>
      </w:r>
      <w:proofErr w:type="spellStart"/>
      <w:r w:rsidRPr="00934CCA">
        <w:rPr>
          <w:rFonts w:ascii="Arial" w:hAnsi="Arial" w:cs="Arial"/>
          <w:lang w:val="mk-MK"/>
        </w:rPr>
        <w:t>of</w:t>
      </w:r>
      <w:proofErr w:type="spellEnd"/>
      <w:r w:rsidRPr="00934CCA">
        <w:rPr>
          <w:rFonts w:ascii="Arial" w:hAnsi="Arial" w:cs="Arial"/>
          <w:lang w:val="mk-MK"/>
        </w:rPr>
        <w:t xml:space="preserve"> NBRNM, </w:t>
      </w:r>
      <w:proofErr w:type="spellStart"/>
      <w:r w:rsidRPr="00934CCA">
        <w:rPr>
          <w:rFonts w:ascii="Arial" w:hAnsi="Arial" w:cs="Arial"/>
          <w:lang w:val="mk-MK"/>
        </w:rPr>
        <w:t>and</w:t>
      </w:r>
      <w:proofErr w:type="spellEnd"/>
      <w:r w:rsidRPr="00934CCA">
        <w:rPr>
          <w:rFonts w:ascii="Arial" w:hAnsi="Arial" w:cs="Arial"/>
          <w:lang w:val="mk-MK"/>
        </w:rPr>
        <w:t xml:space="preserve"> </w:t>
      </w:r>
      <w:proofErr w:type="spellStart"/>
      <w:r w:rsidRPr="00934CCA">
        <w:rPr>
          <w:rFonts w:ascii="Arial" w:hAnsi="Arial" w:cs="Arial"/>
          <w:lang w:val="mk-MK"/>
        </w:rPr>
        <w:t>the</w:t>
      </w:r>
      <w:proofErr w:type="spellEnd"/>
      <w:r w:rsidRPr="00934CCA">
        <w:rPr>
          <w:rFonts w:ascii="Arial" w:hAnsi="Arial" w:cs="Arial"/>
          <w:lang w:val="mk-MK"/>
        </w:rPr>
        <w:t xml:space="preserve"> </w:t>
      </w:r>
      <w:proofErr w:type="spellStart"/>
      <w:r w:rsidRPr="00934CCA">
        <w:rPr>
          <w:rFonts w:ascii="Arial" w:hAnsi="Arial" w:cs="Arial"/>
          <w:lang w:val="mk-MK"/>
        </w:rPr>
        <w:t>Banking</w:t>
      </w:r>
      <w:proofErr w:type="spellEnd"/>
      <w:r w:rsidRPr="00934CCA">
        <w:rPr>
          <w:rFonts w:ascii="Arial" w:hAnsi="Arial" w:cs="Arial"/>
          <w:lang w:val="mk-MK"/>
        </w:rPr>
        <w:t xml:space="preserve"> </w:t>
      </w:r>
      <w:proofErr w:type="spellStart"/>
      <w:r w:rsidRPr="00934CCA">
        <w:rPr>
          <w:rFonts w:ascii="Arial" w:hAnsi="Arial" w:cs="Arial"/>
          <w:lang w:val="mk-MK"/>
        </w:rPr>
        <w:t>Association</w:t>
      </w:r>
      <w:proofErr w:type="spellEnd"/>
      <w:r w:rsidRPr="00934CCA">
        <w:rPr>
          <w:rFonts w:ascii="Arial" w:hAnsi="Arial" w:cs="Arial"/>
          <w:lang w:val="mk-MK"/>
        </w:rPr>
        <w:t xml:space="preserve"> </w:t>
      </w:r>
      <w:proofErr w:type="spellStart"/>
      <w:r w:rsidRPr="00934CCA">
        <w:rPr>
          <w:rFonts w:ascii="Arial" w:hAnsi="Arial" w:cs="Arial"/>
          <w:lang w:val="mk-MK"/>
        </w:rPr>
        <w:t>has</w:t>
      </w:r>
      <w:proofErr w:type="spellEnd"/>
      <w:r w:rsidRPr="00934CCA">
        <w:rPr>
          <w:rFonts w:ascii="Arial" w:hAnsi="Arial" w:cs="Arial"/>
          <w:lang w:val="mk-MK"/>
        </w:rPr>
        <w:t xml:space="preserve"> </w:t>
      </w:r>
      <w:proofErr w:type="spellStart"/>
      <w:r w:rsidRPr="00934CCA">
        <w:rPr>
          <w:rFonts w:ascii="Arial" w:hAnsi="Arial" w:cs="Arial"/>
          <w:lang w:val="mk-MK"/>
        </w:rPr>
        <w:t>proposed</w:t>
      </w:r>
      <w:proofErr w:type="spellEnd"/>
      <w:r w:rsidRPr="00934CCA">
        <w:rPr>
          <w:rFonts w:ascii="Arial" w:hAnsi="Arial" w:cs="Arial"/>
          <w:lang w:val="mk-MK"/>
        </w:rPr>
        <w:t xml:space="preserve"> </w:t>
      </w:r>
      <w:proofErr w:type="spellStart"/>
      <w:r w:rsidRPr="00934CCA">
        <w:rPr>
          <w:rFonts w:ascii="Arial" w:hAnsi="Arial" w:cs="Arial"/>
          <w:lang w:val="mk-MK"/>
        </w:rPr>
        <w:t>one</w:t>
      </w:r>
      <w:proofErr w:type="spellEnd"/>
      <w:r w:rsidRPr="00934CCA">
        <w:rPr>
          <w:rFonts w:ascii="Arial" w:hAnsi="Arial" w:cs="Arial"/>
          <w:lang w:val="mk-MK"/>
        </w:rPr>
        <w:t>.</w:t>
      </w:r>
    </w:p>
    <w:p w14:paraId="7FCD479B" w14:textId="2B63FB3D" w:rsidR="00F93B95" w:rsidRPr="00CE3053" w:rsidRDefault="00F66868" w:rsidP="00F93B95">
      <w:pPr>
        <w:pStyle w:val="BodyText"/>
        <w:jc w:val="both"/>
        <w:rPr>
          <w:rFonts w:ascii="Arial" w:hAnsi="Arial" w:cs="Arial"/>
          <w:lang w:val="mk-MK"/>
        </w:rPr>
      </w:pPr>
      <w:proofErr w:type="spellStart"/>
      <w:r w:rsidRPr="00F66868">
        <w:rPr>
          <w:rFonts w:ascii="Arial" w:hAnsi="Arial" w:cs="Arial"/>
          <w:lang w:val="mk-MK"/>
        </w:rPr>
        <w:t>The</w:t>
      </w:r>
      <w:proofErr w:type="spellEnd"/>
      <w:r w:rsidRPr="00F66868">
        <w:rPr>
          <w:rFonts w:ascii="Arial" w:hAnsi="Arial" w:cs="Arial"/>
          <w:lang w:val="mk-MK"/>
        </w:rPr>
        <w:t xml:space="preserve"> </w:t>
      </w:r>
      <w:proofErr w:type="spellStart"/>
      <w:r w:rsidRPr="00F66868">
        <w:rPr>
          <w:rFonts w:ascii="Arial" w:hAnsi="Arial" w:cs="Arial"/>
          <w:lang w:val="mk-MK"/>
        </w:rPr>
        <w:t>Fund</w:t>
      </w:r>
      <w:proofErr w:type="spellEnd"/>
      <w:r w:rsidRPr="00F66868">
        <w:rPr>
          <w:rFonts w:ascii="Arial" w:hAnsi="Arial" w:cs="Arial"/>
          <w:lang w:val="mk-MK"/>
        </w:rPr>
        <w:t xml:space="preserve"> </w:t>
      </w:r>
      <w:proofErr w:type="spellStart"/>
      <w:r w:rsidRPr="00F66868">
        <w:rPr>
          <w:rFonts w:ascii="Arial" w:hAnsi="Arial" w:cs="Arial"/>
          <w:lang w:val="mk-MK"/>
        </w:rPr>
        <w:t>places</w:t>
      </w:r>
      <w:proofErr w:type="spellEnd"/>
      <w:r w:rsidRPr="00F66868">
        <w:rPr>
          <w:rFonts w:ascii="Arial" w:hAnsi="Arial" w:cs="Arial"/>
          <w:lang w:val="mk-MK"/>
        </w:rPr>
        <w:t xml:space="preserve"> </w:t>
      </w:r>
      <w:proofErr w:type="spellStart"/>
      <w:r w:rsidRPr="00F66868">
        <w:rPr>
          <w:rFonts w:ascii="Arial" w:hAnsi="Arial" w:cs="Arial"/>
          <w:lang w:val="mk-MK"/>
        </w:rPr>
        <w:t>deposits</w:t>
      </w:r>
      <w:proofErr w:type="spellEnd"/>
      <w:r w:rsidRPr="00F66868">
        <w:rPr>
          <w:rFonts w:ascii="Arial" w:hAnsi="Arial" w:cs="Arial"/>
          <w:lang w:val="mk-MK"/>
        </w:rPr>
        <w:t xml:space="preserve">, </w:t>
      </w:r>
      <w:proofErr w:type="spellStart"/>
      <w:r w:rsidRPr="00F66868">
        <w:rPr>
          <w:rFonts w:ascii="Arial" w:hAnsi="Arial" w:cs="Arial"/>
          <w:lang w:val="mk-MK"/>
        </w:rPr>
        <w:t>purchases</w:t>
      </w:r>
      <w:proofErr w:type="spellEnd"/>
      <w:r w:rsidRPr="00F66868">
        <w:rPr>
          <w:rFonts w:ascii="Arial" w:hAnsi="Arial" w:cs="Arial"/>
          <w:lang w:val="mk-MK"/>
        </w:rPr>
        <w:t xml:space="preserve"> </w:t>
      </w:r>
      <w:proofErr w:type="spellStart"/>
      <w:r w:rsidRPr="00F66868">
        <w:rPr>
          <w:rFonts w:ascii="Arial" w:hAnsi="Arial" w:cs="Arial"/>
          <w:lang w:val="mk-MK"/>
        </w:rPr>
        <w:t>securities</w:t>
      </w:r>
      <w:proofErr w:type="spellEnd"/>
      <w:r w:rsidRPr="00F66868">
        <w:rPr>
          <w:rFonts w:ascii="Arial" w:hAnsi="Arial" w:cs="Arial"/>
          <w:lang w:val="mk-MK"/>
        </w:rPr>
        <w:t xml:space="preserve"> </w:t>
      </w:r>
      <w:proofErr w:type="spellStart"/>
      <w:r w:rsidRPr="00F66868">
        <w:rPr>
          <w:rFonts w:ascii="Arial" w:hAnsi="Arial" w:cs="Arial"/>
          <w:lang w:val="mk-MK"/>
        </w:rPr>
        <w:t>from</w:t>
      </w:r>
      <w:proofErr w:type="spellEnd"/>
      <w:r w:rsidRPr="00F66868">
        <w:rPr>
          <w:rFonts w:ascii="Arial" w:hAnsi="Arial" w:cs="Arial"/>
          <w:lang w:val="mk-MK"/>
        </w:rPr>
        <w:t xml:space="preserve"> </w:t>
      </w:r>
      <w:proofErr w:type="spellStart"/>
      <w:r w:rsidRPr="00F66868">
        <w:rPr>
          <w:rFonts w:ascii="Arial" w:hAnsi="Arial" w:cs="Arial"/>
          <w:lang w:val="mk-MK"/>
        </w:rPr>
        <w:t>domestic</w:t>
      </w:r>
      <w:proofErr w:type="spellEnd"/>
      <w:r w:rsidRPr="00F66868">
        <w:rPr>
          <w:rFonts w:ascii="Arial" w:hAnsi="Arial" w:cs="Arial"/>
          <w:lang w:val="mk-MK"/>
        </w:rPr>
        <w:t xml:space="preserve"> </w:t>
      </w:r>
      <w:proofErr w:type="spellStart"/>
      <w:r w:rsidRPr="00F66868">
        <w:rPr>
          <w:rFonts w:ascii="Arial" w:hAnsi="Arial" w:cs="Arial"/>
          <w:lang w:val="mk-MK"/>
        </w:rPr>
        <w:t>financial</w:t>
      </w:r>
      <w:proofErr w:type="spellEnd"/>
      <w:r w:rsidRPr="00F66868">
        <w:rPr>
          <w:rFonts w:ascii="Arial" w:hAnsi="Arial" w:cs="Arial"/>
          <w:lang w:val="mk-MK"/>
        </w:rPr>
        <w:t xml:space="preserve"> </w:t>
      </w:r>
      <w:proofErr w:type="spellStart"/>
      <w:r w:rsidRPr="00F66868">
        <w:rPr>
          <w:rFonts w:ascii="Arial" w:hAnsi="Arial" w:cs="Arial"/>
          <w:lang w:val="mk-MK"/>
        </w:rPr>
        <w:t>institutions</w:t>
      </w:r>
      <w:proofErr w:type="spellEnd"/>
      <w:r w:rsidRPr="00F66868">
        <w:rPr>
          <w:rFonts w:ascii="Arial" w:hAnsi="Arial" w:cs="Arial"/>
          <w:lang w:val="mk-MK"/>
        </w:rPr>
        <w:t xml:space="preserve">, </w:t>
      </w:r>
      <w:proofErr w:type="spellStart"/>
      <w:r w:rsidRPr="00F66868">
        <w:rPr>
          <w:rFonts w:ascii="Arial" w:hAnsi="Arial" w:cs="Arial"/>
          <w:lang w:val="mk-MK"/>
        </w:rPr>
        <w:t>receives</w:t>
      </w:r>
      <w:proofErr w:type="spellEnd"/>
      <w:r w:rsidRPr="00F66868">
        <w:rPr>
          <w:rFonts w:ascii="Arial" w:hAnsi="Arial" w:cs="Arial"/>
          <w:lang w:val="mk-MK"/>
        </w:rPr>
        <w:t xml:space="preserve"> </w:t>
      </w:r>
      <w:proofErr w:type="spellStart"/>
      <w:r w:rsidRPr="00F66868">
        <w:rPr>
          <w:rFonts w:ascii="Arial" w:hAnsi="Arial" w:cs="Arial"/>
          <w:lang w:val="mk-MK"/>
        </w:rPr>
        <w:t>interest</w:t>
      </w:r>
      <w:proofErr w:type="spellEnd"/>
      <w:r w:rsidRPr="00F66868">
        <w:rPr>
          <w:rFonts w:ascii="Arial" w:hAnsi="Arial" w:cs="Arial"/>
          <w:lang w:val="mk-MK"/>
        </w:rPr>
        <w:t xml:space="preserve"> </w:t>
      </w:r>
      <w:proofErr w:type="spellStart"/>
      <w:r w:rsidRPr="00F66868">
        <w:rPr>
          <w:rFonts w:ascii="Arial" w:hAnsi="Arial" w:cs="Arial"/>
          <w:lang w:val="mk-MK"/>
        </w:rPr>
        <w:t>and</w:t>
      </w:r>
      <w:proofErr w:type="spellEnd"/>
      <w:r w:rsidRPr="00F66868">
        <w:rPr>
          <w:rFonts w:ascii="Arial" w:hAnsi="Arial" w:cs="Arial"/>
          <w:lang w:val="mk-MK"/>
        </w:rPr>
        <w:t xml:space="preserve"> </w:t>
      </w:r>
      <w:proofErr w:type="spellStart"/>
      <w:r w:rsidRPr="00F66868">
        <w:rPr>
          <w:rFonts w:ascii="Arial" w:hAnsi="Arial" w:cs="Arial"/>
          <w:lang w:val="mk-MK"/>
        </w:rPr>
        <w:t>pays</w:t>
      </w:r>
      <w:proofErr w:type="spellEnd"/>
      <w:r w:rsidRPr="00F66868">
        <w:rPr>
          <w:rFonts w:ascii="Arial" w:hAnsi="Arial" w:cs="Arial"/>
          <w:lang w:val="mk-MK"/>
        </w:rPr>
        <w:t xml:space="preserve"> </w:t>
      </w:r>
      <w:proofErr w:type="spellStart"/>
      <w:r w:rsidRPr="00F66868">
        <w:rPr>
          <w:rFonts w:ascii="Arial" w:hAnsi="Arial" w:cs="Arial"/>
          <w:lang w:val="mk-MK"/>
        </w:rPr>
        <w:t>commission</w:t>
      </w:r>
      <w:proofErr w:type="spellEnd"/>
      <w:r w:rsidRPr="00F66868">
        <w:rPr>
          <w:rFonts w:ascii="Arial" w:hAnsi="Arial" w:cs="Arial"/>
          <w:lang w:val="mk-MK"/>
        </w:rPr>
        <w:t xml:space="preserve"> </w:t>
      </w:r>
      <w:r>
        <w:rPr>
          <w:rFonts w:ascii="Arial" w:hAnsi="Arial" w:cs="Arial"/>
          <w:lang w:val="en-US"/>
        </w:rPr>
        <w:t xml:space="preserve">from / </w:t>
      </w:r>
      <w:proofErr w:type="spellStart"/>
      <w:r w:rsidRPr="00F66868">
        <w:rPr>
          <w:rFonts w:ascii="Arial" w:hAnsi="Arial" w:cs="Arial"/>
          <w:lang w:val="mk-MK"/>
        </w:rPr>
        <w:t>to</w:t>
      </w:r>
      <w:proofErr w:type="spellEnd"/>
      <w:r w:rsidRPr="00F66868">
        <w:rPr>
          <w:rFonts w:ascii="Arial" w:hAnsi="Arial" w:cs="Arial"/>
          <w:lang w:val="mk-MK"/>
        </w:rPr>
        <w:t xml:space="preserve"> </w:t>
      </w:r>
      <w:proofErr w:type="spellStart"/>
      <w:r w:rsidRPr="00F66868">
        <w:rPr>
          <w:rFonts w:ascii="Arial" w:hAnsi="Arial" w:cs="Arial"/>
          <w:lang w:val="mk-MK"/>
        </w:rPr>
        <w:t>parties</w:t>
      </w:r>
      <w:proofErr w:type="spellEnd"/>
      <w:r w:rsidRPr="00F66868">
        <w:rPr>
          <w:rFonts w:ascii="Arial" w:hAnsi="Arial" w:cs="Arial"/>
          <w:lang w:val="mk-MK"/>
        </w:rPr>
        <w:t xml:space="preserve"> </w:t>
      </w:r>
      <w:proofErr w:type="spellStart"/>
      <w:r w:rsidRPr="00F66868">
        <w:rPr>
          <w:rFonts w:ascii="Arial" w:hAnsi="Arial" w:cs="Arial"/>
          <w:lang w:val="mk-MK"/>
        </w:rPr>
        <w:t>with</w:t>
      </w:r>
      <w:proofErr w:type="spellEnd"/>
      <w:r w:rsidRPr="00F66868">
        <w:rPr>
          <w:rFonts w:ascii="Arial" w:hAnsi="Arial" w:cs="Arial"/>
          <w:lang w:val="mk-MK"/>
        </w:rPr>
        <w:t xml:space="preserve"> </w:t>
      </w:r>
      <w:proofErr w:type="spellStart"/>
      <w:r w:rsidRPr="00F66868">
        <w:rPr>
          <w:rFonts w:ascii="Arial" w:hAnsi="Arial" w:cs="Arial"/>
          <w:lang w:val="mk-MK"/>
        </w:rPr>
        <w:t>significant</w:t>
      </w:r>
      <w:proofErr w:type="spellEnd"/>
      <w:r w:rsidRPr="00F66868">
        <w:rPr>
          <w:rFonts w:ascii="Arial" w:hAnsi="Arial" w:cs="Arial"/>
          <w:lang w:val="mk-MK"/>
        </w:rPr>
        <w:t xml:space="preserve"> </w:t>
      </w:r>
      <w:proofErr w:type="spellStart"/>
      <w:r w:rsidRPr="00F66868">
        <w:rPr>
          <w:rFonts w:ascii="Arial" w:hAnsi="Arial" w:cs="Arial"/>
          <w:lang w:val="mk-MK"/>
        </w:rPr>
        <w:t>influence</w:t>
      </w:r>
      <w:proofErr w:type="spellEnd"/>
      <w:r w:rsidRPr="00F66868">
        <w:rPr>
          <w:rFonts w:ascii="Arial" w:hAnsi="Arial" w:cs="Arial"/>
          <w:lang w:val="mk-MK"/>
        </w:rPr>
        <w:t xml:space="preserve"> </w:t>
      </w:r>
      <w:proofErr w:type="spellStart"/>
      <w:r w:rsidRPr="00F66868">
        <w:rPr>
          <w:rFonts w:ascii="Arial" w:hAnsi="Arial" w:cs="Arial"/>
          <w:lang w:val="mk-MK"/>
        </w:rPr>
        <w:t>and</w:t>
      </w:r>
      <w:proofErr w:type="spellEnd"/>
      <w:r w:rsidRPr="00F66868">
        <w:rPr>
          <w:rFonts w:ascii="Arial" w:hAnsi="Arial" w:cs="Arial"/>
          <w:lang w:val="mk-MK"/>
        </w:rPr>
        <w:t xml:space="preserve"> </w:t>
      </w:r>
      <w:proofErr w:type="spellStart"/>
      <w:r w:rsidRPr="00F66868">
        <w:rPr>
          <w:rFonts w:ascii="Arial" w:hAnsi="Arial" w:cs="Arial"/>
          <w:lang w:val="mk-MK"/>
        </w:rPr>
        <w:t>control</w:t>
      </w:r>
      <w:proofErr w:type="spellEnd"/>
      <w:r w:rsidRPr="00F66868">
        <w:rPr>
          <w:rFonts w:ascii="Arial" w:hAnsi="Arial" w:cs="Arial"/>
          <w:lang w:val="mk-MK"/>
        </w:rPr>
        <w:t xml:space="preserve"> </w:t>
      </w:r>
      <w:proofErr w:type="spellStart"/>
      <w:r w:rsidRPr="00F66868">
        <w:rPr>
          <w:rFonts w:ascii="Arial" w:hAnsi="Arial" w:cs="Arial"/>
          <w:lang w:val="mk-MK"/>
        </w:rPr>
        <w:t>over</w:t>
      </w:r>
      <w:proofErr w:type="spellEnd"/>
      <w:r w:rsidRPr="00F66868">
        <w:rPr>
          <w:rFonts w:ascii="Arial" w:hAnsi="Arial" w:cs="Arial"/>
          <w:lang w:val="mk-MK"/>
        </w:rPr>
        <w:t xml:space="preserve"> </w:t>
      </w:r>
      <w:proofErr w:type="spellStart"/>
      <w:r w:rsidRPr="00F66868">
        <w:rPr>
          <w:rFonts w:ascii="Arial" w:hAnsi="Arial" w:cs="Arial"/>
          <w:lang w:val="mk-MK"/>
        </w:rPr>
        <w:t>the</w:t>
      </w:r>
      <w:proofErr w:type="spellEnd"/>
      <w:r w:rsidRPr="00F66868">
        <w:rPr>
          <w:rFonts w:ascii="Arial" w:hAnsi="Arial" w:cs="Arial"/>
          <w:lang w:val="mk-MK"/>
        </w:rPr>
        <w:t xml:space="preserve"> </w:t>
      </w:r>
      <w:proofErr w:type="spellStart"/>
      <w:r w:rsidRPr="00F66868">
        <w:rPr>
          <w:rFonts w:ascii="Arial" w:hAnsi="Arial" w:cs="Arial"/>
          <w:lang w:val="mk-MK"/>
        </w:rPr>
        <w:t>financial</w:t>
      </w:r>
      <w:proofErr w:type="spellEnd"/>
      <w:r w:rsidRPr="00F66868">
        <w:rPr>
          <w:rFonts w:ascii="Arial" w:hAnsi="Arial" w:cs="Arial"/>
          <w:lang w:val="mk-MK"/>
        </w:rPr>
        <w:t xml:space="preserve"> </w:t>
      </w:r>
      <w:proofErr w:type="spellStart"/>
      <w:r w:rsidRPr="00F66868">
        <w:rPr>
          <w:rFonts w:ascii="Arial" w:hAnsi="Arial" w:cs="Arial"/>
          <w:lang w:val="mk-MK"/>
        </w:rPr>
        <w:t>and</w:t>
      </w:r>
      <w:proofErr w:type="spellEnd"/>
      <w:r w:rsidRPr="00F66868">
        <w:rPr>
          <w:rFonts w:ascii="Arial" w:hAnsi="Arial" w:cs="Arial"/>
          <w:lang w:val="mk-MK"/>
        </w:rPr>
        <w:t xml:space="preserve"> </w:t>
      </w:r>
      <w:proofErr w:type="spellStart"/>
      <w:r w:rsidRPr="00F66868">
        <w:rPr>
          <w:rFonts w:ascii="Arial" w:hAnsi="Arial" w:cs="Arial"/>
          <w:lang w:val="mk-MK"/>
        </w:rPr>
        <w:t>operating</w:t>
      </w:r>
      <w:proofErr w:type="spellEnd"/>
      <w:r w:rsidRPr="00F66868">
        <w:rPr>
          <w:rFonts w:ascii="Arial" w:hAnsi="Arial" w:cs="Arial"/>
          <w:lang w:val="mk-MK"/>
        </w:rPr>
        <w:t xml:space="preserve"> </w:t>
      </w:r>
      <w:proofErr w:type="spellStart"/>
      <w:r w:rsidRPr="00F66868">
        <w:rPr>
          <w:rFonts w:ascii="Arial" w:hAnsi="Arial" w:cs="Arial"/>
          <w:lang w:val="mk-MK"/>
        </w:rPr>
        <w:t>decisions</w:t>
      </w:r>
      <w:proofErr w:type="spellEnd"/>
      <w:r w:rsidRPr="00F66868">
        <w:rPr>
          <w:rFonts w:ascii="Arial" w:hAnsi="Arial" w:cs="Arial"/>
          <w:lang w:val="mk-MK"/>
        </w:rPr>
        <w:t xml:space="preserve"> </w:t>
      </w:r>
      <w:proofErr w:type="spellStart"/>
      <w:r w:rsidRPr="00F66868">
        <w:rPr>
          <w:rFonts w:ascii="Arial" w:hAnsi="Arial" w:cs="Arial"/>
          <w:lang w:val="mk-MK"/>
        </w:rPr>
        <w:t>of</w:t>
      </w:r>
      <w:proofErr w:type="spellEnd"/>
      <w:r w:rsidRPr="00F66868">
        <w:rPr>
          <w:rFonts w:ascii="Arial" w:hAnsi="Arial" w:cs="Arial"/>
          <w:lang w:val="mk-MK"/>
        </w:rPr>
        <w:t xml:space="preserve"> </w:t>
      </w:r>
      <w:proofErr w:type="spellStart"/>
      <w:r w:rsidRPr="00F66868">
        <w:rPr>
          <w:rFonts w:ascii="Arial" w:hAnsi="Arial" w:cs="Arial"/>
          <w:lang w:val="mk-MK"/>
        </w:rPr>
        <w:t>the</w:t>
      </w:r>
      <w:proofErr w:type="spellEnd"/>
      <w:r w:rsidRPr="00F66868">
        <w:rPr>
          <w:rFonts w:ascii="Arial" w:hAnsi="Arial" w:cs="Arial"/>
          <w:lang w:val="mk-MK"/>
        </w:rPr>
        <w:t xml:space="preserve"> </w:t>
      </w:r>
      <w:proofErr w:type="spellStart"/>
      <w:r w:rsidRPr="00F66868">
        <w:rPr>
          <w:rFonts w:ascii="Arial" w:hAnsi="Arial" w:cs="Arial"/>
          <w:lang w:val="mk-MK"/>
        </w:rPr>
        <w:t>Fund</w:t>
      </w:r>
      <w:proofErr w:type="spellEnd"/>
      <w:r w:rsidRPr="00F66868">
        <w:rPr>
          <w:rFonts w:ascii="Arial" w:hAnsi="Arial" w:cs="Arial"/>
          <w:lang w:val="mk-MK"/>
        </w:rPr>
        <w:t>.</w:t>
      </w:r>
    </w:p>
    <w:p w14:paraId="0140FFE5" w14:textId="0AE7624A" w:rsidR="00F93B95" w:rsidRPr="00CE3053" w:rsidRDefault="00F66868" w:rsidP="00F93B95">
      <w:pPr>
        <w:pStyle w:val="BodyText"/>
        <w:jc w:val="both"/>
        <w:rPr>
          <w:rFonts w:ascii="Arial" w:hAnsi="Arial" w:cs="Arial"/>
          <w:lang w:val="mk-MK"/>
        </w:rPr>
      </w:pPr>
      <w:proofErr w:type="spellStart"/>
      <w:r w:rsidRPr="00F66868">
        <w:rPr>
          <w:rFonts w:ascii="Arial" w:hAnsi="Arial" w:cs="Arial"/>
          <w:lang w:val="mk-MK"/>
        </w:rPr>
        <w:t>The</w:t>
      </w:r>
      <w:proofErr w:type="spellEnd"/>
      <w:r w:rsidRPr="00F66868">
        <w:rPr>
          <w:rFonts w:ascii="Arial" w:hAnsi="Arial" w:cs="Arial"/>
          <w:lang w:val="mk-MK"/>
        </w:rPr>
        <w:t xml:space="preserve"> </w:t>
      </w:r>
      <w:proofErr w:type="spellStart"/>
      <w:r w:rsidRPr="00F66868">
        <w:rPr>
          <w:rFonts w:ascii="Arial" w:hAnsi="Arial" w:cs="Arial"/>
          <w:lang w:val="mk-MK"/>
        </w:rPr>
        <w:t>table</w:t>
      </w:r>
      <w:proofErr w:type="spellEnd"/>
      <w:r w:rsidRPr="00F66868">
        <w:rPr>
          <w:rFonts w:ascii="Arial" w:hAnsi="Arial" w:cs="Arial"/>
          <w:lang w:val="mk-MK"/>
        </w:rPr>
        <w:t xml:space="preserve"> </w:t>
      </w:r>
      <w:proofErr w:type="spellStart"/>
      <w:r w:rsidRPr="00F66868">
        <w:rPr>
          <w:rFonts w:ascii="Arial" w:hAnsi="Arial" w:cs="Arial"/>
          <w:lang w:val="mk-MK"/>
        </w:rPr>
        <w:t>below</w:t>
      </w:r>
      <w:proofErr w:type="spellEnd"/>
      <w:r w:rsidRPr="00F66868">
        <w:rPr>
          <w:rFonts w:ascii="Arial" w:hAnsi="Arial" w:cs="Arial"/>
          <w:lang w:val="mk-MK"/>
        </w:rPr>
        <w:t xml:space="preserve"> </w:t>
      </w:r>
      <w:proofErr w:type="spellStart"/>
      <w:r w:rsidRPr="00F66868">
        <w:rPr>
          <w:rFonts w:ascii="Arial" w:hAnsi="Arial" w:cs="Arial"/>
          <w:lang w:val="mk-MK"/>
        </w:rPr>
        <w:t>presents</w:t>
      </w:r>
      <w:proofErr w:type="spellEnd"/>
      <w:r w:rsidRPr="00F66868">
        <w:rPr>
          <w:rFonts w:ascii="Arial" w:hAnsi="Arial" w:cs="Arial"/>
          <w:lang w:val="mk-MK"/>
        </w:rPr>
        <w:t xml:space="preserve"> </w:t>
      </w:r>
      <w:proofErr w:type="spellStart"/>
      <w:r w:rsidRPr="00F66868">
        <w:rPr>
          <w:rFonts w:ascii="Arial" w:hAnsi="Arial" w:cs="Arial"/>
          <w:lang w:val="mk-MK"/>
        </w:rPr>
        <w:t>the</w:t>
      </w:r>
      <w:proofErr w:type="spellEnd"/>
      <w:r w:rsidRPr="00F66868">
        <w:rPr>
          <w:rFonts w:ascii="Arial" w:hAnsi="Arial" w:cs="Arial"/>
          <w:lang w:val="mk-MK"/>
        </w:rPr>
        <w:t xml:space="preserve"> </w:t>
      </w:r>
      <w:proofErr w:type="spellStart"/>
      <w:r w:rsidRPr="00F66868">
        <w:rPr>
          <w:rFonts w:ascii="Arial" w:hAnsi="Arial" w:cs="Arial"/>
          <w:lang w:val="mk-MK"/>
        </w:rPr>
        <w:t>position</w:t>
      </w:r>
      <w:proofErr w:type="spellEnd"/>
      <w:r w:rsidRPr="00F66868">
        <w:rPr>
          <w:rFonts w:ascii="Arial" w:hAnsi="Arial" w:cs="Arial"/>
          <w:lang w:val="mk-MK"/>
        </w:rPr>
        <w:t xml:space="preserve"> </w:t>
      </w:r>
      <w:proofErr w:type="spellStart"/>
      <w:r w:rsidRPr="00F66868">
        <w:rPr>
          <w:rFonts w:ascii="Arial" w:hAnsi="Arial" w:cs="Arial"/>
          <w:lang w:val="mk-MK"/>
        </w:rPr>
        <w:t>and</w:t>
      </w:r>
      <w:proofErr w:type="spellEnd"/>
      <w:r w:rsidRPr="00F66868">
        <w:rPr>
          <w:rFonts w:ascii="Arial" w:hAnsi="Arial" w:cs="Arial"/>
          <w:lang w:val="mk-MK"/>
        </w:rPr>
        <w:t xml:space="preserve"> </w:t>
      </w:r>
      <w:proofErr w:type="spellStart"/>
      <w:r w:rsidRPr="00F66868">
        <w:rPr>
          <w:rFonts w:ascii="Arial" w:hAnsi="Arial" w:cs="Arial"/>
          <w:lang w:val="mk-MK"/>
        </w:rPr>
        <w:t>scope</w:t>
      </w:r>
      <w:proofErr w:type="spellEnd"/>
      <w:r w:rsidRPr="00F66868">
        <w:rPr>
          <w:rFonts w:ascii="Arial" w:hAnsi="Arial" w:cs="Arial"/>
          <w:lang w:val="mk-MK"/>
        </w:rPr>
        <w:t xml:space="preserve"> </w:t>
      </w:r>
      <w:proofErr w:type="spellStart"/>
      <w:r w:rsidRPr="00F66868">
        <w:rPr>
          <w:rFonts w:ascii="Arial" w:hAnsi="Arial" w:cs="Arial"/>
          <w:lang w:val="mk-MK"/>
        </w:rPr>
        <w:t>of</w:t>
      </w:r>
      <w:proofErr w:type="spellEnd"/>
      <w:r w:rsidRPr="00F66868">
        <w:rPr>
          <w:rFonts w:ascii="Arial" w:hAnsi="Arial" w:cs="Arial"/>
          <w:lang w:val="mk-MK"/>
        </w:rPr>
        <w:t xml:space="preserve"> </w:t>
      </w:r>
      <w:proofErr w:type="spellStart"/>
      <w:r w:rsidRPr="00F66868">
        <w:rPr>
          <w:rFonts w:ascii="Arial" w:hAnsi="Arial" w:cs="Arial"/>
          <w:lang w:val="mk-MK"/>
        </w:rPr>
        <w:t>related</w:t>
      </w:r>
      <w:proofErr w:type="spellEnd"/>
      <w:r w:rsidRPr="00F66868">
        <w:rPr>
          <w:rFonts w:ascii="Arial" w:hAnsi="Arial" w:cs="Arial"/>
          <w:lang w:val="mk-MK"/>
        </w:rPr>
        <w:t xml:space="preserve"> </w:t>
      </w:r>
      <w:proofErr w:type="spellStart"/>
      <w:r w:rsidRPr="00F66868">
        <w:rPr>
          <w:rFonts w:ascii="Arial" w:hAnsi="Arial" w:cs="Arial"/>
          <w:lang w:val="mk-MK"/>
        </w:rPr>
        <w:t>party</w:t>
      </w:r>
      <w:proofErr w:type="spellEnd"/>
      <w:r w:rsidRPr="00F66868">
        <w:rPr>
          <w:rFonts w:ascii="Arial" w:hAnsi="Arial" w:cs="Arial"/>
          <w:lang w:val="mk-MK"/>
        </w:rPr>
        <w:t xml:space="preserve"> </w:t>
      </w:r>
      <w:proofErr w:type="spellStart"/>
      <w:r w:rsidRPr="00F66868">
        <w:rPr>
          <w:rFonts w:ascii="Arial" w:hAnsi="Arial" w:cs="Arial"/>
          <w:lang w:val="mk-MK"/>
        </w:rPr>
        <w:t>transactions</w:t>
      </w:r>
      <w:proofErr w:type="spellEnd"/>
      <w:r w:rsidRPr="00F66868">
        <w:rPr>
          <w:rFonts w:ascii="Arial" w:hAnsi="Arial" w:cs="Arial"/>
          <w:lang w:val="mk-MK"/>
        </w:rPr>
        <w:t xml:space="preserve"> </w:t>
      </w:r>
      <w:proofErr w:type="spellStart"/>
      <w:r w:rsidRPr="00F66868">
        <w:rPr>
          <w:rFonts w:ascii="Arial" w:hAnsi="Arial" w:cs="Arial"/>
          <w:lang w:val="mk-MK"/>
        </w:rPr>
        <w:t>as</w:t>
      </w:r>
      <w:proofErr w:type="spellEnd"/>
      <w:r w:rsidRPr="00F66868">
        <w:rPr>
          <w:rFonts w:ascii="Arial" w:hAnsi="Arial" w:cs="Arial"/>
          <w:lang w:val="mk-MK"/>
        </w:rPr>
        <w:t xml:space="preserve"> </w:t>
      </w:r>
      <w:proofErr w:type="spellStart"/>
      <w:r w:rsidRPr="00F66868">
        <w:rPr>
          <w:rFonts w:ascii="Arial" w:hAnsi="Arial" w:cs="Arial"/>
          <w:lang w:val="mk-MK"/>
        </w:rPr>
        <w:t>of</w:t>
      </w:r>
      <w:proofErr w:type="spellEnd"/>
      <w:r w:rsidRPr="00F66868">
        <w:rPr>
          <w:rFonts w:ascii="Arial" w:hAnsi="Arial" w:cs="Arial"/>
          <w:lang w:val="mk-MK"/>
        </w:rPr>
        <w:t xml:space="preserve"> </w:t>
      </w:r>
      <w:proofErr w:type="spellStart"/>
      <w:r w:rsidRPr="00F66868">
        <w:rPr>
          <w:rFonts w:ascii="Arial" w:hAnsi="Arial" w:cs="Arial"/>
          <w:lang w:val="mk-MK"/>
        </w:rPr>
        <w:t>and</w:t>
      </w:r>
      <w:proofErr w:type="spellEnd"/>
      <w:r w:rsidRPr="00F66868">
        <w:rPr>
          <w:rFonts w:ascii="Arial" w:hAnsi="Arial" w:cs="Arial"/>
          <w:lang w:val="mk-MK"/>
        </w:rPr>
        <w:t xml:space="preserve"> </w:t>
      </w:r>
      <w:proofErr w:type="spellStart"/>
      <w:r w:rsidRPr="00F66868">
        <w:rPr>
          <w:rFonts w:ascii="Arial" w:hAnsi="Arial" w:cs="Arial"/>
          <w:lang w:val="mk-MK"/>
        </w:rPr>
        <w:t>for</w:t>
      </w:r>
      <w:proofErr w:type="spellEnd"/>
      <w:r w:rsidRPr="00F66868">
        <w:rPr>
          <w:rFonts w:ascii="Arial" w:hAnsi="Arial" w:cs="Arial"/>
          <w:lang w:val="mk-MK"/>
        </w:rPr>
        <w:t xml:space="preserve"> </w:t>
      </w:r>
      <w:proofErr w:type="spellStart"/>
      <w:r w:rsidRPr="00F66868">
        <w:rPr>
          <w:rFonts w:ascii="Arial" w:hAnsi="Arial" w:cs="Arial"/>
          <w:lang w:val="mk-MK"/>
        </w:rPr>
        <w:t>the</w:t>
      </w:r>
      <w:proofErr w:type="spellEnd"/>
      <w:r w:rsidRPr="00F66868">
        <w:rPr>
          <w:rFonts w:ascii="Arial" w:hAnsi="Arial" w:cs="Arial"/>
          <w:lang w:val="mk-MK"/>
        </w:rPr>
        <w:t xml:space="preserve"> </w:t>
      </w:r>
      <w:proofErr w:type="spellStart"/>
      <w:r w:rsidRPr="00F66868">
        <w:rPr>
          <w:rFonts w:ascii="Arial" w:hAnsi="Arial" w:cs="Arial"/>
          <w:lang w:val="mk-MK"/>
        </w:rPr>
        <w:t>years</w:t>
      </w:r>
      <w:proofErr w:type="spellEnd"/>
      <w:r w:rsidRPr="00F66868">
        <w:rPr>
          <w:rFonts w:ascii="Arial" w:hAnsi="Arial" w:cs="Arial"/>
          <w:lang w:val="mk-MK"/>
        </w:rPr>
        <w:t xml:space="preserve"> </w:t>
      </w:r>
      <w:proofErr w:type="spellStart"/>
      <w:r w:rsidRPr="00F66868">
        <w:rPr>
          <w:rFonts w:ascii="Arial" w:hAnsi="Arial" w:cs="Arial"/>
          <w:lang w:val="mk-MK"/>
        </w:rPr>
        <w:t>ended</w:t>
      </w:r>
      <w:proofErr w:type="spellEnd"/>
      <w:r w:rsidR="00F93B95" w:rsidRPr="00CE3053">
        <w:rPr>
          <w:rFonts w:ascii="Arial" w:hAnsi="Arial" w:cs="Arial"/>
          <w:lang w:val="mk-MK"/>
        </w:rPr>
        <w:t xml:space="preserve"> 31 </w:t>
      </w:r>
      <w:r>
        <w:rPr>
          <w:rFonts w:ascii="Arial" w:hAnsi="Arial" w:cs="Arial"/>
          <w:lang w:val="en-US"/>
        </w:rPr>
        <w:t>December</w:t>
      </w:r>
      <w:r w:rsidR="00F93B95" w:rsidRPr="00CE3053">
        <w:rPr>
          <w:rFonts w:ascii="Arial" w:hAnsi="Arial" w:cs="Arial"/>
          <w:lang w:val="mk-MK"/>
        </w:rPr>
        <w:t xml:space="preserve"> 202</w:t>
      </w:r>
      <w:r w:rsidR="00546297" w:rsidRPr="001E6526">
        <w:rPr>
          <w:rFonts w:ascii="Arial" w:hAnsi="Arial" w:cs="Arial"/>
          <w:lang w:val="mk-MK"/>
        </w:rPr>
        <w:t>1</w:t>
      </w:r>
      <w:r w:rsidR="00F93B95" w:rsidRPr="00CE3053">
        <w:rPr>
          <w:rFonts w:ascii="Arial" w:hAnsi="Arial" w:cs="Arial"/>
          <w:lang w:val="mk-MK"/>
        </w:rPr>
        <w:t xml:space="preserve"> </w:t>
      </w:r>
      <w:r>
        <w:rPr>
          <w:rFonts w:ascii="Arial" w:hAnsi="Arial" w:cs="Arial"/>
          <w:lang w:val="en-US"/>
        </w:rPr>
        <w:t>and</w:t>
      </w:r>
      <w:r w:rsidR="00F93B95" w:rsidRPr="00CE3053">
        <w:rPr>
          <w:rFonts w:ascii="Arial" w:hAnsi="Arial" w:cs="Arial"/>
          <w:lang w:val="mk-MK"/>
        </w:rPr>
        <w:t xml:space="preserve"> 20</w:t>
      </w:r>
      <w:r w:rsidR="00546297" w:rsidRPr="001E6526">
        <w:rPr>
          <w:rFonts w:ascii="Arial" w:hAnsi="Arial" w:cs="Arial"/>
          <w:lang w:val="mk-MK"/>
        </w:rPr>
        <w:t>20</w:t>
      </w:r>
      <w:r w:rsidR="00F93B95" w:rsidRPr="00CE3053">
        <w:rPr>
          <w:rFonts w:ascii="Arial" w:hAnsi="Arial" w:cs="Arial"/>
          <w:lang w:val="mk-MK"/>
        </w:rPr>
        <w:t>:</w:t>
      </w:r>
    </w:p>
    <w:tbl>
      <w:tblPr>
        <w:tblW w:w="8614" w:type="dxa"/>
        <w:tblInd w:w="86" w:type="dxa"/>
        <w:tblLook w:val="01E0" w:firstRow="1" w:lastRow="1" w:firstColumn="1" w:lastColumn="1" w:noHBand="0" w:noVBand="0"/>
      </w:tblPr>
      <w:tblGrid>
        <w:gridCol w:w="5743"/>
        <w:gridCol w:w="1435"/>
        <w:gridCol w:w="1436"/>
      </w:tblGrid>
      <w:tr w:rsidR="00F30EF8" w:rsidRPr="001E6526" w14:paraId="09632673" w14:textId="77777777" w:rsidTr="008864A4">
        <w:trPr>
          <w:trHeight w:val="246"/>
        </w:trPr>
        <w:tc>
          <w:tcPr>
            <w:tcW w:w="5743" w:type="dxa"/>
            <w:shd w:val="clear" w:color="auto" w:fill="auto"/>
            <w:tcMar>
              <w:left w:w="58" w:type="dxa"/>
              <w:right w:w="58" w:type="dxa"/>
            </w:tcMar>
            <w:vAlign w:val="bottom"/>
          </w:tcPr>
          <w:p w14:paraId="2258BFAF" w14:textId="77777777" w:rsidR="00F30EF8" w:rsidRPr="00CE3053" w:rsidRDefault="00F30EF8" w:rsidP="006E26B2">
            <w:pPr>
              <w:pStyle w:val="TableText"/>
              <w:spacing w:before="0" w:after="0"/>
              <w:rPr>
                <w:rFonts w:ascii="Arial" w:hAnsi="Arial"/>
                <w:sz w:val="18"/>
                <w:lang w:val="mk-MK"/>
              </w:rPr>
            </w:pPr>
          </w:p>
        </w:tc>
        <w:tc>
          <w:tcPr>
            <w:tcW w:w="2871" w:type="dxa"/>
            <w:gridSpan w:val="2"/>
            <w:shd w:val="clear" w:color="auto" w:fill="auto"/>
            <w:tcMar>
              <w:left w:w="58" w:type="dxa"/>
              <w:right w:w="58" w:type="dxa"/>
            </w:tcMar>
            <w:vAlign w:val="bottom"/>
          </w:tcPr>
          <w:p w14:paraId="3EACE1E7" w14:textId="2CF98883" w:rsidR="00F30EF8" w:rsidRPr="00CE3053" w:rsidRDefault="00F30EF8" w:rsidP="006E26B2">
            <w:pPr>
              <w:pStyle w:val="TableText"/>
              <w:spacing w:before="0" w:after="0"/>
              <w:jc w:val="right"/>
              <w:rPr>
                <w:rFonts w:ascii="Arial" w:hAnsi="Arial"/>
                <w:sz w:val="18"/>
                <w:lang w:val="mk-MK"/>
              </w:rPr>
            </w:pPr>
            <w:r w:rsidRPr="00CE3053">
              <w:rPr>
                <w:rFonts w:ascii="Arial" w:hAnsi="Arial"/>
                <w:sz w:val="18"/>
                <w:lang w:val="mk-MK"/>
              </w:rPr>
              <w:t xml:space="preserve">(000 </w:t>
            </w:r>
            <w:proofErr w:type="spellStart"/>
            <w:r w:rsidR="00F66868">
              <w:rPr>
                <w:rFonts w:ascii="Arial" w:hAnsi="Arial"/>
                <w:sz w:val="18"/>
                <w:lang w:val="en-US"/>
              </w:rPr>
              <w:t>mkd</w:t>
            </w:r>
            <w:proofErr w:type="spellEnd"/>
            <w:r w:rsidRPr="00CE3053">
              <w:rPr>
                <w:rFonts w:ascii="Arial" w:hAnsi="Arial"/>
                <w:sz w:val="18"/>
                <w:lang w:val="mk-MK"/>
              </w:rPr>
              <w:t>)</w:t>
            </w:r>
          </w:p>
        </w:tc>
      </w:tr>
      <w:tr w:rsidR="00F93B95" w:rsidRPr="001E6526" w14:paraId="1A1A3730" w14:textId="77777777" w:rsidTr="008864A4">
        <w:trPr>
          <w:trHeight w:val="246"/>
        </w:trPr>
        <w:tc>
          <w:tcPr>
            <w:tcW w:w="5743" w:type="dxa"/>
            <w:shd w:val="clear" w:color="auto" w:fill="auto"/>
            <w:tcMar>
              <w:left w:w="58" w:type="dxa"/>
              <w:right w:w="58" w:type="dxa"/>
            </w:tcMar>
            <w:vAlign w:val="bottom"/>
          </w:tcPr>
          <w:p w14:paraId="35A5ADF6" w14:textId="77777777" w:rsidR="00F93B95" w:rsidRPr="00CE3053" w:rsidRDefault="00F93B95" w:rsidP="006E26B2">
            <w:pPr>
              <w:pStyle w:val="TableText"/>
              <w:spacing w:before="0" w:after="0"/>
              <w:rPr>
                <w:rFonts w:ascii="Arial" w:hAnsi="Arial"/>
                <w:sz w:val="18"/>
                <w:lang w:val="mk-MK"/>
              </w:rPr>
            </w:pPr>
            <w:bookmarkStart w:id="11" w:name="OLE_LINK19"/>
            <w:bookmarkStart w:id="12" w:name="OLE_LINK20"/>
          </w:p>
        </w:tc>
        <w:tc>
          <w:tcPr>
            <w:tcW w:w="1435" w:type="dxa"/>
            <w:shd w:val="clear" w:color="auto" w:fill="auto"/>
            <w:tcMar>
              <w:left w:w="58" w:type="dxa"/>
              <w:right w:w="58" w:type="dxa"/>
            </w:tcMar>
            <w:vAlign w:val="bottom"/>
          </w:tcPr>
          <w:p w14:paraId="300F91EF" w14:textId="532FD3D0" w:rsidR="00F93B95" w:rsidRPr="00CE3053" w:rsidRDefault="00F93B95" w:rsidP="006E26B2">
            <w:pPr>
              <w:pStyle w:val="TableText"/>
              <w:spacing w:before="0" w:after="0"/>
              <w:jc w:val="right"/>
              <w:rPr>
                <w:rFonts w:ascii="Arial" w:hAnsi="Arial"/>
                <w:sz w:val="18"/>
                <w:lang w:val="mk-MK"/>
              </w:rPr>
            </w:pPr>
            <w:r w:rsidRPr="00CE3053">
              <w:rPr>
                <w:rFonts w:ascii="Arial" w:hAnsi="Arial"/>
                <w:sz w:val="18"/>
                <w:lang w:val="mk-MK"/>
              </w:rPr>
              <w:t>202</w:t>
            </w:r>
            <w:r w:rsidR="00546297" w:rsidRPr="001E6526">
              <w:rPr>
                <w:rFonts w:ascii="Arial" w:hAnsi="Arial"/>
                <w:sz w:val="18"/>
                <w:lang w:val="mk-MK"/>
              </w:rPr>
              <w:t>1</w:t>
            </w:r>
          </w:p>
        </w:tc>
        <w:tc>
          <w:tcPr>
            <w:tcW w:w="1435" w:type="dxa"/>
            <w:tcMar>
              <w:left w:w="58" w:type="dxa"/>
              <w:right w:w="58" w:type="dxa"/>
            </w:tcMar>
            <w:vAlign w:val="bottom"/>
          </w:tcPr>
          <w:p w14:paraId="605E3B6A" w14:textId="68CC9C21" w:rsidR="00F93B95" w:rsidRPr="00CE3053" w:rsidRDefault="00F93B95" w:rsidP="006E26B2">
            <w:pPr>
              <w:pStyle w:val="TableText"/>
              <w:spacing w:before="0" w:after="0"/>
              <w:jc w:val="right"/>
              <w:rPr>
                <w:rFonts w:ascii="Arial" w:hAnsi="Arial"/>
                <w:sz w:val="18"/>
                <w:lang w:val="mk-MK"/>
              </w:rPr>
            </w:pPr>
            <w:r w:rsidRPr="00CE3053">
              <w:rPr>
                <w:rFonts w:ascii="Arial" w:hAnsi="Arial"/>
                <w:sz w:val="18"/>
                <w:lang w:val="mk-MK"/>
              </w:rPr>
              <w:t>20</w:t>
            </w:r>
            <w:r w:rsidR="00546297" w:rsidRPr="001E6526">
              <w:rPr>
                <w:rFonts w:ascii="Arial" w:hAnsi="Arial"/>
                <w:sz w:val="18"/>
                <w:lang w:val="mk-MK"/>
              </w:rPr>
              <w:t>20</w:t>
            </w:r>
          </w:p>
        </w:tc>
      </w:tr>
      <w:tr w:rsidR="00F93B95" w:rsidRPr="001E6526" w14:paraId="7E0A4D87" w14:textId="77777777" w:rsidTr="008864A4">
        <w:trPr>
          <w:trHeight w:val="246"/>
        </w:trPr>
        <w:tc>
          <w:tcPr>
            <w:tcW w:w="5743" w:type="dxa"/>
            <w:shd w:val="clear" w:color="auto" w:fill="auto"/>
            <w:tcMar>
              <w:left w:w="58" w:type="dxa"/>
              <w:right w:w="58" w:type="dxa"/>
            </w:tcMar>
            <w:vAlign w:val="bottom"/>
          </w:tcPr>
          <w:p w14:paraId="7AC3F291" w14:textId="77777777" w:rsidR="00F93B95" w:rsidRPr="001E6526" w:rsidRDefault="00F93B95" w:rsidP="006E26B2">
            <w:pPr>
              <w:pStyle w:val="TableText"/>
              <w:spacing w:before="0" w:after="0"/>
              <w:rPr>
                <w:rFonts w:ascii="Arial" w:hAnsi="Arial"/>
                <w:sz w:val="18"/>
                <w:lang w:val="mk-MK"/>
              </w:rPr>
            </w:pPr>
          </w:p>
        </w:tc>
        <w:tc>
          <w:tcPr>
            <w:tcW w:w="1435" w:type="dxa"/>
            <w:shd w:val="clear" w:color="auto" w:fill="auto"/>
            <w:tcMar>
              <w:left w:w="58" w:type="dxa"/>
              <w:right w:w="58" w:type="dxa"/>
            </w:tcMar>
            <w:vAlign w:val="bottom"/>
          </w:tcPr>
          <w:p w14:paraId="4A3DA57A" w14:textId="77777777" w:rsidR="00F93B95" w:rsidRPr="001E6526" w:rsidRDefault="00F93B95" w:rsidP="006E26B2">
            <w:pPr>
              <w:pStyle w:val="TableText"/>
              <w:spacing w:before="0" w:after="0"/>
              <w:jc w:val="right"/>
              <w:rPr>
                <w:rFonts w:ascii="Arial" w:hAnsi="Arial"/>
                <w:sz w:val="18"/>
                <w:lang w:val="mk-MK"/>
              </w:rPr>
            </w:pPr>
          </w:p>
        </w:tc>
        <w:tc>
          <w:tcPr>
            <w:tcW w:w="1435" w:type="dxa"/>
            <w:tcMar>
              <w:left w:w="58" w:type="dxa"/>
              <w:right w:w="58" w:type="dxa"/>
            </w:tcMar>
            <w:vAlign w:val="bottom"/>
          </w:tcPr>
          <w:p w14:paraId="3A021C73" w14:textId="77777777" w:rsidR="00F93B95" w:rsidRPr="001E6526" w:rsidRDefault="00F93B95" w:rsidP="006E26B2">
            <w:pPr>
              <w:pStyle w:val="TableText"/>
              <w:spacing w:before="0" w:after="0"/>
              <w:jc w:val="right"/>
              <w:rPr>
                <w:rFonts w:ascii="Arial" w:hAnsi="Arial"/>
                <w:sz w:val="18"/>
                <w:lang w:val="mk-MK"/>
              </w:rPr>
            </w:pPr>
          </w:p>
        </w:tc>
      </w:tr>
      <w:tr w:rsidR="00546297" w:rsidRPr="001E6526" w14:paraId="06098020" w14:textId="77777777" w:rsidTr="008864A4">
        <w:trPr>
          <w:trHeight w:val="246"/>
        </w:trPr>
        <w:tc>
          <w:tcPr>
            <w:tcW w:w="5743" w:type="dxa"/>
            <w:shd w:val="clear" w:color="auto" w:fill="auto"/>
            <w:tcMar>
              <w:left w:w="58" w:type="dxa"/>
              <w:right w:w="58" w:type="dxa"/>
            </w:tcMar>
            <w:vAlign w:val="bottom"/>
          </w:tcPr>
          <w:p w14:paraId="6C4D2781" w14:textId="665E11C6" w:rsidR="00546297" w:rsidRPr="001E6526" w:rsidRDefault="00CE26E6" w:rsidP="006E26B2">
            <w:pPr>
              <w:pStyle w:val="TableText"/>
              <w:spacing w:before="0" w:after="0"/>
              <w:rPr>
                <w:rFonts w:ascii="Arial" w:hAnsi="Arial"/>
                <w:sz w:val="18"/>
                <w:lang w:val="mk-MK"/>
              </w:rPr>
            </w:pPr>
            <w:proofErr w:type="spellStart"/>
            <w:r w:rsidRPr="00CE26E6">
              <w:rPr>
                <w:rFonts w:ascii="Arial" w:hAnsi="Arial"/>
                <w:sz w:val="18"/>
                <w:lang w:val="mk-MK"/>
              </w:rPr>
              <w:t>Held-to-maturity</w:t>
            </w:r>
            <w:proofErr w:type="spellEnd"/>
            <w:r>
              <w:rPr>
                <w:rFonts w:ascii="Arial" w:hAnsi="Arial"/>
                <w:sz w:val="18"/>
                <w:lang w:val="en-US"/>
              </w:rPr>
              <w:t xml:space="preserve"> investments</w:t>
            </w:r>
            <w:r w:rsidRPr="00CE26E6">
              <w:rPr>
                <w:rFonts w:ascii="Arial" w:hAnsi="Arial"/>
                <w:sz w:val="18"/>
                <w:lang w:val="mk-MK"/>
              </w:rPr>
              <w:t xml:space="preserve"> </w:t>
            </w:r>
            <w:proofErr w:type="spellStart"/>
            <w:r w:rsidRPr="00CE26E6">
              <w:rPr>
                <w:rFonts w:ascii="Arial" w:hAnsi="Arial"/>
                <w:sz w:val="18"/>
                <w:lang w:val="mk-MK"/>
              </w:rPr>
              <w:t>issued</w:t>
            </w:r>
            <w:proofErr w:type="spellEnd"/>
            <w:r w:rsidRPr="00CE26E6">
              <w:rPr>
                <w:rFonts w:ascii="Arial" w:hAnsi="Arial"/>
                <w:sz w:val="18"/>
                <w:lang w:val="mk-MK"/>
              </w:rPr>
              <w:t xml:space="preserve"> </w:t>
            </w:r>
            <w:proofErr w:type="spellStart"/>
            <w:r w:rsidRPr="00CE26E6">
              <w:rPr>
                <w:rFonts w:ascii="Arial" w:hAnsi="Arial"/>
                <w:sz w:val="18"/>
                <w:lang w:val="mk-MK"/>
              </w:rPr>
              <w:t>by</w:t>
            </w:r>
            <w:proofErr w:type="spellEnd"/>
            <w:r w:rsidRPr="00CE26E6">
              <w:rPr>
                <w:rFonts w:ascii="Arial" w:hAnsi="Arial"/>
                <w:sz w:val="18"/>
                <w:lang w:val="mk-MK"/>
              </w:rPr>
              <w:t xml:space="preserve"> </w:t>
            </w:r>
            <w:proofErr w:type="spellStart"/>
            <w:r w:rsidRPr="00CE26E6">
              <w:rPr>
                <w:rFonts w:ascii="Arial" w:hAnsi="Arial"/>
                <w:sz w:val="18"/>
                <w:lang w:val="mk-MK"/>
              </w:rPr>
              <w:t>the</w:t>
            </w:r>
            <w:proofErr w:type="spellEnd"/>
            <w:r w:rsidRPr="00CE26E6">
              <w:rPr>
                <w:rFonts w:ascii="Arial" w:hAnsi="Arial"/>
                <w:sz w:val="18"/>
                <w:lang w:val="mk-MK"/>
              </w:rPr>
              <w:t xml:space="preserve"> </w:t>
            </w:r>
            <w:proofErr w:type="spellStart"/>
            <w:r w:rsidRPr="00CE26E6">
              <w:rPr>
                <w:rFonts w:ascii="Arial" w:hAnsi="Arial"/>
                <w:sz w:val="18"/>
                <w:lang w:val="mk-MK"/>
              </w:rPr>
              <w:t>Ministry</w:t>
            </w:r>
            <w:proofErr w:type="spellEnd"/>
            <w:r w:rsidRPr="00CE26E6">
              <w:rPr>
                <w:rFonts w:ascii="Arial" w:hAnsi="Arial"/>
                <w:sz w:val="18"/>
                <w:lang w:val="mk-MK"/>
              </w:rPr>
              <w:t xml:space="preserve"> </w:t>
            </w:r>
            <w:proofErr w:type="spellStart"/>
            <w:r w:rsidRPr="00CE26E6">
              <w:rPr>
                <w:rFonts w:ascii="Arial" w:hAnsi="Arial"/>
                <w:sz w:val="18"/>
                <w:lang w:val="mk-MK"/>
              </w:rPr>
              <w:t>of</w:t>
            </w:r>
            <w:proofErr w:type="spellEnd"/>
            <w:r w:rsidRPr="00CE26E6">
              <w:rPr>
                <w:rFonts w:ascii="Arial" w:hAnsi="Arial"/>
                <w:sz w:val="18"/>
                <w:lang w:val="mk-MK"/>
              </w:rPr>
              <w:t xml:space="preserve"> </w:t>
            </w:r>
            <w:proofErr w:type="spellStart"/>
            <w:r w:rsidRPr="00CE26E6">
              <w:rPr>
                <w:rFonts w:ascii="Arial" w:hAnsi="Arial"/>
                <w:sz w:val="18"/>
                <w:lang w:val="mk-MK"/>
              </w:rPr>
              <w:t>Finance</w:t>
            </w:r>
            <w:proofErr w:type="spellEnd"/>
            <w:r w:rsidRPr="00CE26E6">
              <w:rPr>
                <w:rFonts w:ascii="Arial" w:hAnsi="Arial"/>
                <w:sz w:val="18"/>
                <w:lang w:val="mk-MK"/>
              </w:rPr>
              <w:t xml:space="preserve"> </w:t>
            </w:r>
            <w:r w:rsidR="00BD05A2" w:rsidRPr="00CE3053">
              <w:rPr>
                <w:rFonts w:ascii="Arial" w:hAnsi="Arial"/>
                <w:sz w:val="18"/>
                <w:lang w:val="mk-MK"/>
              </w:rPr>
              <w:t>(</w:t>
            </w:r>
            <w:r>
              <w:rPr>
                <w:rFonts w:ascii="Arial" w:hAnsi="Arial"/>
                <w:sz w:val="18"/>
                <w:lang w:val="en-US"/>
              </w:rPr>
              <w:t>Note</w:t>
            </w:r>
            <w:r w:rsidR="00BD05A2" w:rsidRPr="00CE3053">
              <w:rPr>
                <w:rFonts w:ascii="Arial" w:hAnsi="Arial"/>
                <w:sz w:val="18"/>
                <w:lang w:val="mk-MK"/>
              </w:rPr>
              <w:t xml:space="preserve"> 12)</w:t>
            </w:r>
          </w:p>
        </w:tc>
        <w:tc>
          <w:tcPr>
            <w:tcW w:w="1435" w:type="dxa"/>
            <w:shd w:val="clear" w:color="auto" w:fill="auto"/>
            <w:tcMar>
              <w:left w:w="58" w:type="dxa"/>
              <w:right w:w="58" w:type="dxa"/>
            </w:tcMar>
            <w:vAlign w:val="bottom"/>
          </w:tcPr>
          <w:p w14:paraId="66F17C9E" w14:textId="41016E1E" w:rsidR="00546297" w:rsidRPr="001E6526" w:rsidRDefault="00546297" w:rsidP="006E26B2">
            <w:pPr>
              <w:spacing w:after="0" w:line="240" w:lineRule="auto"/>
              <w:jc w:val="right"/>
              <w:rPr>
                <w:rFonts w:ascii="Arial" w:hAnsi="Arial" w:cs="Arial"/>
                <w:color w:val="000000"/>
                <w:lang w:val="mk-MK"/>
              </w:rPr>
            </w:pPr>
            <w:r w:rsidRPr="001E6526">
              <w:rPr>
                <w:rFonts w:ascii="Arial" w:hAnsi="Arial" w:cs="Arial"/>
                <w:color w:val="000000"/>
                <w:lang w:val="mk-MK"/>
              </w:rPr>
              <w:t>14,730,822</w:t>
            </w:r>
          </w:p>
        </w:tc>
        <w:tc>
          <w:tcPr>
            <w:tcW w:w="1435" w:type="dxa"/>
            <w:shd w:val="clear" w:color="auto" w:fill="auto"/>
            <w:tcMar>
              <w:left w:w="58" w:type="dxa"/>
              <w:right w:w="58" w:type="dxa"/>
            </w:tcMar>
            <w:vAlign w:val="bottom"/>
          </w:tcPr>
          <w:p w14:paraId="5946A3DF" w14:textId="7C8374AA" w:rsidR="00546297" w:rsidRPr="001E6526" w:rsidRDefault="00546297" w:rsidP="006E26B2">
            <w:pPr>
              <w:spacing w:after="0" w:line="240" w:lineRule="auto"/>
              <w:jc w:val="right"/>
              <w:rPr>
                <w:rFonts w:ascii="Arial" w:hAnsi="Arial" w:cs="Arial"/>
                <w:color w:val="000000"/>
                <w:lang w:val="mk-MK"/>
              </w:rPr>
            </w:pPr>
            <w:r w:rsidRPr="001E6526">
              <w:rPr>
                <w:rFonts w:ascii="Arial" w:hAnsi="Arial" w:cs="Arial"/>
                <w:color w:val="000000"/>
                <w:lang w:val="mk-MK"/>
              </w:rPr>
              <w:t>13,930,548</w:t>
            </w:r>
          </w:p>
        </w:tc>
      </w:tr>
      <w:tr w:rsidR="00546297" w:rsidRPr="001E6526" w14:paraId="30F715B5" w14:textId="77777777" w:rsidTr="008864A4">
        <w:trPr>
          <w:trHeight w:val="246"/>
        </w:trPr>
        <w:tc>
          <w:tcPr>
            <w:tcW w:w="5743" w:type="dxa"/>
            <w:shd w:val="clear" w:color="auto" w:fill="auto"/>
            <w:tcMar>
              <w:left w:w="58" w:type="dxa"/>
              <w:right w:w="58" w:type="dxa"/>
            </w:tcMar>
            <w:vAlign w:val="bottom"/>
          </w:tcPr>
          <w:p w14:paraId="3585047F" w14:textId="526A8D1D" w:rsidR="00546297" w:rsidRPr="00CE3053" w:rsidRDefault="00CE26E6" w:rsidP="006E26B2">
            <w:pPr>
              <w:pStyle w:val="TableText"/>
              <w:spacing w:before="0" w:after="0"/>
              <w:rPr>
                <w:rFonts w:ascii="Arial" w:hAnsi="Arial"/>
                <w:sz w:val="18"/>
                <w:lang w:val="mk-MK"/>
              </w:rPr>
            </w:pPr>
            <w:proofErr w:type="spellStart"/>
            <w:r w:rsidRPr="00CE26E6">
              <w:rPr>
                <w:rFonts w:ascii="Arial" w:hAnsi="Arial"/>
                <w:bCs/>
                <w:sz w:val="18"/>
                <w:lang w:val="mk-MK"/>
              </w:rPr>
              <w:t>Current</w:t>
            </w:r>
            <w:proofErr w:type="spellEnd"/>
            <w:r w:rsidRPr="00CE26E6">
              <w:rPr>
                <w:rFonts w:ascii="Arial" w:hAnsi="Arial"/>
                <w:bCs/>
                <w:sz w:val="18"/>
                <w:lang w:val="mk-MK"/>
              </w:rPr>
              <w:t xml:space="preserve"> </w:t>
            </w:r>
            <w:proofErr w:type="spellStart"/>
            <w:r w:rsidRPr="00CE26E6">
              <w:rPr>
                <w:rFonts w:ascii="Arial" w:hAnsi="Arial"/>
                <w:bCs/>
                <w:sz w:val="18"/>
                <w:lang w:val="mk-MK"/>
              </w:rPr>
              <w:t>account</w:t>
            </w:r>
            <w:proofErr w:type="spellEnd"/>
            <w:r w:rsidRPr="00CE26E6">
              <w:rPr>
                <w:rFonts w:ascii="Arial" w:hAnsi="Arial"/>
                <w:bCs/>
                <w:sz w:val="18"/>
                <w:lang w:val="mk-MK"/>
              </w:rPr>
              <w:t xml:space="preserve"> </w:t>
            </w:r>
            <w:proofErr w:type="spellStart"/>
            <w:r w:rsidRPr="00CE26E6">
              <w:rPr>
                <w:rFonts w:ascii="Arial" w:hAnsi="Arial"/>
                <w:bCs/>
                <w:sz w:val="18"/>
                <w:lang w:val="mk-MK"/>
              </w:rPr>
              <w:t>with</w:t>
            </w:r>
            <w:proofErr w:type="spellEnd"/>
            <w:r w:rsidRPr="00CE26E6">
              <w:rPr>
                <w:rFonts w:ascii="Arial" w:hAnsi="Arial"/>
                <w:bCs/>
                <w:sz w:val="18"/>
                <w:lang w:val="mk-MK"/>
              </w:rPr>
              <w:t xml:space="preserve"> NBRNM (</w:t>
            </w:r>
            <w:proofErr w:type="spellStart"/>
            <w:r w:rsidRPr="00CE26E6">
              <w:rPr>
                <w:rFonts w:ascii="Arial" w:hAnsi="Arial"/>
                <w:bCs/>
                <w:sz w:val="18"/>
                <w:lang w:val="mk-MK"/>
              </w:rPr>
              <w:t>Note</w:t>
            </w:r>
            <w:proofErr w:type="spellEnd"/>
            <w:r w:rsidRPr="00CE26E6">
              <w:rPr>
                <w:rFonts w:ascii="Arial" w:hAnsi="Arial"/>
                <w:bCs/>
                <w:sz w:val="18"/>
                <w:lang w:val="mk-MK"/>
              </w:rPr>
              <w:t xml:space="preserve"> 13)</w:t>
            </w:r>
          </w:p>
        </w:tc>
        <w:tc>
          <w:tcPr>
            <w:tcW w:w="1435" w:type="dxa"/>
            <w:shd w:val="clear" w:color="auto" w:fill="auto"/>
            <w:tcMar>
              <w:left w:w="58" w:type="dxa"/>
              <w:right w:w="58" w:type="dxa"/>
            </w:tcMar>
            <w:vAlign w:val="bottom"/>
          </w:tcPr>
          <w:p w14:paraId="4B0A50CE" w14:textId="2DE4BF38" w:rsidR="00546297" w:rsidRPr="001E6526" w:rsidRDefault="00546297" w:rsidP="006E26B2">
            <w:pPr>
              <w:spacing w:after="0" w:line="240" w:lineRule="auto"/>
              <w:jc w:val="right"/>
              <w:rPr>
                <w:rFonts w:ascii="Arial" w:hAnsi="Arial" w:cs="Arial"/>
                <w:color w:val="000000"/>
                <w:lang w:val="mk-MK"/>
              </w:rPr>
            </w:pPr>
            <w:r w:rsidRPr="001E6526">
              <w:rPr>
                <w:rFonts w:ascii="Arial" w:hAnsi="Arial" w:cs="Arial"/>
                <w:color w:val="000000"/>
                <w:lang w:val="mk-MK"/>
              </w:rPr>
              <w:t>68,572</w:t>
            </w:r>
          </w:p>
        </w:tc>
        <w:tc>
          <w:tcPr>
            <w:tcW w:w="1435" w:type="dxa"/>
            <w:shd w:val="clear" w:color="auto" w:fill="auto"/>
            <w:tcMar>
              <w:left w:w="58" w:type="dxa"/>
              <w:right w:w="58" w:type="dxa"/>
            </w:tcMar>
            <w:vAlign w:val="bottom"/>
          </w:tcPr>
          <w:p w14:paraId="65CAD26A" w14:textId="081BC4B8" w:rsidR="00546297" w:rsidRPr="001E6526" w:rsidRDefault="00546297" w:rsidP="006E26B2">
            <w:pPr>
              <w:spacing w:after="0" w:line="240" w:lineRule="auto"/>
              <w:jc w:val="right"/>
              <w:rPr>
                <w:rFonts w:ascii="Arial" w:hAnsi="Arial" w:cs="Arial"/>
                <w:color w:val="000000"/>
                <w:lang w:val="mk-MK"/>
              </w:rPr>
            </w:pPr>
            <w:r w:rsidRPr="001E6526">
              <w:rPr>
                <w:rFonts w:ascii="Arial" w:hAnsi="Arial" w:cs="Arial"/>
                <w:color w:val="000000"/>
                <w:lang w:val="mk-MK"/>
              </w:rPr>
              <w:t>54,848</w:t>
            </w:r>
          </w:p>
        </w:tc>
      </w:tr>
      <w:tr w:rsidR="00546297" w:rsidRPr="001E6526" w14:paraId="1BFAC314" w14:textId="77777777" w:rsidTr="008864A4">
        <w:trPr>
          <w:trHeight w:val="246"/>
        </w:trPr>
        <w:tc>
          <w:tcPr>
            <w:tcW w:w="5743" w:type="dxa"/>
            <w:shd w:val="clear" w:color="auto" w:fill="auto"/>
            <w:tcMar>
              <w:left w:w="58" w:type="dxa"/>
              <w:right w:w="58" w:type="dxa"/>
            </w:tcMar>
            <w:vAlign w:val="bottom"/>
          </w:tcPr>
          <w:p w14:paraId="12089B7F" w14:textId="4C144167" w:rsidR="00546297" w:rsidRPr="00CE3053" w:rsidRDefault="002236F7" w:rsidP="006E26B2">
            <w:pPr>
              <w:pStyle w:val="TableText"/>
              <w:spacing w:before="0" w:after="0"/>
              <w:rPr>
                <w:rFonts w:ascii="Arial" w:hAnsi="Arial"/>
                <w:sz w:val="18"/>
                <w:lang w:val="mk-MK"/>
              </w:rPr>
            </w:pPr>
            <w:proofErr w:type="spellStart"/>
            <w:r w:rsidRPr="002236F7">
              <w:rPr>
                <w:rFonts w:ascii="Arial" w:hAnsi="Arial"/>
                <w:sz w:val="18"/>
                <w:lang w:val="mk-MK"/>
              </w:rPr>
              <w:t>Interest</w:t>
            </w:r>
            <w:proofErr w:type="spellEnd"/>
            <w:r w:rsidRPr="002236F7">
              <w:rPr>
                <w:rFonts w:ascii="Arial" w:hAnsi="Arial"/>
                <w:sz w:val="18"/>
                <w:lang w:val="mk-MK"/>
              </w:rPr>
              <w:t xml:space="preserve"> </w:t>
            </w:r>
            <w:proofErr w:type="spellStart"/>
            <w:r w:rsidRPr="002236F7">
              <w:rPr>
                <w:rFonts w:ascii="Arial" w:hAnsi="Arial"/>
                <w:sz w:val="18"/>
                <w:lang w:val="mk-MK"/>
              </w:rPr>
              <w:t>income</w:t>
            </w:r>
            <w:proofErr w:type="spellEnd"/>
            <w:r w:rsidRPr="002236F7">
              <w:rPr>
                <w:rFonts w:ascii="Arial" w:hAnsi="Arial"/>
                <w:sz w:val="18"/>
                <w:lang w:val="mk-MK"/>
              </w:rPr>
              <w:t xml:space="preserve"> </w:t>
            </w:r>
            <w:proofErr w:type="spellStart"/>
            <w:r w:rsidRPr="002236F7">
              <w:rPr>
                <w:rFonts w:ascii="Arial" w:hAnsi="Arial"/>
                <w:sz w:val="18"/>
                <w:lang w:val="mk-MK"/>
              </w:rPr>
              <w:t>from</w:t>
            </w:r>
            <w:proofErr w:type="spellEnd"/>
            <w:r w:rsidRPr="002236F7">
              <w:rPr>
                <w:rFonts w:ascii="Arial" w:hAnsi="Arial"/>
                <w:sz w:val="18"/>
                <w:lang w:val="mk-MK"/>
              </w:rPr>
              <w:t xml:space="preserve"> </w:t>
            </w:r>
            <w:r>
              <w:rPr>
                <w:rFonts w:ascii="Arial" w:hAnsi="Arial"/>
                <w:sz w:val="18"/>
                <w:lang w:val="en-US"/>
              </w:rPr>
              <w:t>government</w:t>
            </w:r>
            <w:r w:rsidRPr="002236F7">
              <w:rPr>
                <w:rFonts w:ascii="Arial" w:hAnsi="Arial"/>
                <w:sz w:val="18"/>
                <w:lang w:val="mk-MK"/>
              </w:rPr>
              <w:t xml:space="preserve"> </w:t>
            </w:r>
            <w:proofErr w:type="spellStart"/>
            <w:r w:rsidRPr="002236F7">
              <w:rPr>
                <w:rFonts w:ascii="Arial" w:hAnsi="Arial"/>
                <w:sz w:val="18"/>
                <w:lang w:val="mk-MK"/>
              </w:rPr>
              <w:t>bills</w:t>
            </w:r>
            <w:proofErr w:type="spellEnd"/>
            <w:r w:rsidRPr="002236F7">
              <w:rPr>
                <w:rFonts w:ascii="Arial" w:hAnsi="Arial"/>
                <w:sz w:val="18"/>
                <w:lang w:val="mk-MK"/>
              </w:rPr>
              <w:t xml:space="preserve"> </w:t>
            </w:r>
            <w:proofErr w:type="spellStart"/>
            <w:r w:rsidRPr="002236F7">
              <w:rPr>
                <w:rFonts w:ascii="Arial" w:hAnsi="Arial"/>
                <w:sz w:val="18"/>
                <w:lang w:val="mk-MK"/>
              </w:rPr>
              <w:t>issued</w:t>
            </w:r>
            <w:proofErr w:type="spellEnd"/>
            <w:r w:rsidRPr="002236F7">
              <w:rPr>
                <w:rFonts w:ascii="Arial" w:hAnsi="Arial"/>
                <w:sz w:val="18"/>
                <w:lang w:val="mk-MK"/>
              </w:rPr>
              <w:t xml:space="preserve"> </w:t>
            </w:r>
            <w:proofErr w:type="spellStart"/>
            <w:r w:rsidRPr="002236F7">
              <w:rPr>
                <w:rFonts w:ascii="Arial" w:hAnsi="Arial"/>
                <w:sz w:val="18"/>
                <w:lang w:val="mk-MK"/>
              </w:rPr>
              <w:t>to</w:t>
            </w:r>
            <w:proofErr w:type="spellEnd"/>
            <w:r w:rsidRPr="002236F7">
              <w:rPr>
                <w:rFonts w:ascii="Arial" w:hAnsi="Arial"/>
                <w:sz w:val="18"/>
                <w:lang w:val="mk-MK"/>
              </w:rPr>
              <w:t xml:space="preserve"> </w:t>
            </w:r>
            <w:proofErr w:type="spellStart"/>
            <w:r w:rsidRPr="002236F7">
              <w:rPr>
                <w:rFonts w:ascii="Arial" w:hAnsi="Arial"/>
                <w:sz w:val="18"/>
                <w:lang w:val="mk-MK"/>
              </w:rPr>
              <w:t>the</w:t>
            </w:r>
            <w:proofErr w:type="spellEnd"/>
            <w:r w:rsidRPr="002236F7">
              <w:rPr>
                <w:rFonts w:ascii="Arial" w:hAnsi="Arial"/>
                <w:sz w:val="18"/>
                <w:lang w:val="mk-MK"/>
              </w:rPr>
              <w:t xml:space="preserve"> </w:t>
            </w:r>
            <w:proofErr w:type="spellStart"/>
            <w:r w:rsidRPr="002236F7">
              <w:rPr>
                <w:rFonts w:ascii="Arial" w:hAnsi="Arial"/>
                <w:sz w:val="18"/>
                <w:lang w:val="mk-MK"/>
              </w:rPr>
              <w:t>Ministry</w:t>
            </w:r>
            <w:proofErr w:type="spellEnd"/>
            <w:r w:rsidRPr="002236F7">
              <w:rPr>
                <w:rFonts w:ascii="Arial" w:hAnsi="Arial"/>
                <w:sz w:val="18"/>
                <w:lang w:val="mk-MK"/>
              </w:rPr>
              <w:t xml:space="preserve"> </w:t>
            </w:r>
            <w:proofErr w:type="spellStart"/>
            <w:r w:rsidRPr="002236F7">
              <w:rPr>
                <w:rFonts w:ascii="Arial" w:hAnsi="Arial"/>
                <w:sz w:val="18"/>
                <w:lang w:val="mk-MK"/>
              </w:rPr>
              <w:t>of</w:t>
            </w:r>
            <w:proofErr w:type="spellEnd"/>
            <w:r w:rsidRPr="002236F7">
              <w:rPr>
                <w:rFonts w:ascii="Arial" w:hAnsi="Arial"/>
                <w:sz w:val="18"/>
                <w:lang w:val="mk-MK"/>
              </w:rPr>
              <w:t xml:space="preserve"> </w:t>
            </w:r>
            <w:proofErr w:type="spellStart"/>
            <w:r w:rsidRPr="002236F7">
              <w:rPr>
                <w:rFonts w:ascii="Arial" w:hAnsi="Arial"/>
                <w:sz w:val="18"/>
                <w:lang w:val="mk-MK"/>
              </w:rPr>
              <w:t>Finance</w:t>
            </w:r>
            <w:proofErr w:type="spellEnd"/>
            <w:r w:rsidRPr="002236F7">
              <w:rPr>
                <w:rFonts w:ascii="Arial" w:hAnsi="Arial"/>
                <w:sz w:val="18"/>
                <w:lang w:val="mk-MK"/>
              </w:rPr>
              <w:t xml:space="preserve"> (</w:t>
            </w:r>
            <w:proofErr w:type="spellStart"/>
            <w:r w:rsidRPr="002236F7">
              <w:rPr>
                <w:rFonts w:ascii="Arial" w:hAnsi="Arial"/>
                <w:sz w:val="18"/>
                <w:lang w:val="mk-MK"/>
              </w:rPr>
              <w:t>Note</w:t>
            </w:r>
            <w:proofErr w:type="spellEnd"/>
            <w:r w:rsidRPr="002236F7">
              <w:rPr>
                <w:rFonts w:ascii="Arial" w:hAnsi="Arial"/>
                <w:sz w:val="18"/>
                <w:lang w:val="mk-MK"/>
              </w:rPr>
              <w:t xml:space="preserve"> 6) </w:t>
            </w:r>
          </w:p>
        </w:tc>
        <w:tc>
          <w:tcPr>
            <w:tcW w:w="1435" w:type="dxa"/>
            <w:shd w:val="clear" w:color="auto" w:fill="auto"/>
            <w:tcMar>
              <w:left w:w="58" w:type="dxa"/>
              <w:right w:w="58" w:type="dxa"/>
            </w:tcMar>
            <w:vAlign w:val="bottom"/>
          </w:tcPr>
          <w:p w14:paraId="6F420956" w14:textId="1391B439" w:rsidR="00546297" w:rsidRPr="001E6526" w:rsidRDefault="00546297" w:rsidP="006E26B2">
            <w:pPr>
              <w:spacing w:after="0" w:line="240" w:lineRule="auto"/>
              <w:jc w:val="right"/>
              <w:rPr>
                <w:rFonts w:ascii="Arial" w:hAnsi="Arial" w:cs="Arial"/>
                <w:color w:val="000000"/>
                <w:lang w:val="mk-MK"/>
              </w:rPr>
            </w:pPr>
            <w:r w:rsidRPr="001E6526">
              <w:rPr>
                <w:rFonts w:ascii="Arial" w:hAnsi="Arial" w:cs="Arial"/>
                <w:color w:val="000000"/>
                <w:lang w:val="mk-MK"/>
              </w:rPr>
              <w:t>62,641</w:t>
            </w:r>
          </w:p>
        </w:tc>
        <w:tc>
          <w:tcPr>
            <w:tcW w:w="1435" w:type="dxa"/>
            <w:shd w:val="clear" w:color="auto" w:fill="auto"/>
            <w:tcMar>
              <w:left w:w="58" w:type="dxa"/>
              <w:right w:w="58" w:type="dxa"/>
            </w:tcMar>
            <w:vAlign w:val="bottom"/>
          </w:tcPr>
          <w:p w14:paraId="536D1CE8" w14:textId="0BE495DF" w:rsidR="00546297" w:rsidRPr="001E6526" w:rsidRDefault="00546297" w:rsidP="006E26B2">
            <w:pPr>
              <w:spacing w:after="0" w:line="240" w:lineRule="auto"/>
              <w:jc w:val="right"/>
              <w:rPr>
                <w:rFonts w:ascii="Arial" w:hAnsi="Arial" w:cs="Arial"/>
                <w:color w:val="000000"/>
                <w:lang w:val="mk-MK"/>
              </w:rPr>
            </w:pPr>
            <w:r w:rsidRPr="001E6526">
              <w:rPr>
                <w:rFonts w:ascii="Arial" w:hAnsi="Arial" w:cs="Arial"/>
                <w:color w:val="000000"/>
                <w:lang w:val="mk-MK"/>
              </w:rPr>
              <w:t>95,485</w:t>
            </w:r>
          </w:p>
        </w:tc>
      </w:tr>
      <w:tr w:rsidR="00546297" w:rsidRPr="001E6526" w14:paraId="2BB99631" w14:textId="77777777" w:rsidTr="008864A4">
        <w:trPr>
          <w:trHeight w:val="246"/>
        </w:trPr>
        <w:tc>
          <w:tcPr>
            <w:tcW w:w="5743" w:type="dxa"/>
            <w:tcBorders>
              <w:bottom w:val="single" w:sz="4" w:space="0" w:color="auto"/>
            </w:tcBorders>
            <w:shd w:val="clear" w:color="auto" w:fill="auto"/>
            <w:tcMar>
              <w:left w:w="58" w:type="dxa"/>
              <w:right w:w="58" w:type="dxa"/>
            </w:tcMar>
            <w:vAlign w:val="bottom"/>
          </w:tcPr>
          <w:p w14:paraId="7E1AA516" w14:textId="4ED88C2A" w:rsidR="00546297" w:rsidRPr="002236F7" w:rsidRDefault="002236F7" w:rsidP="006E26B2">
            <w:pPr>
              <w:pStyle w:val="TableText"/>
              <w:spacing w:before="0" w:after="0"/>
              <w:rPr>
                <w:rFonts w:ascii="Arial" w:hAnsi="Arial"/>
                <w:sz w:val="18"/>
                <w:lang w:val="en-US"/>
              </w:rPr>
            </w:pPr>
            <w:proofErr w:type="spellStart"/>
            <w:r w:rsidRPr="002236F7">
              <w:rPr>
                <w:rFonts w:ascii="Arial" w:hAnsi="Arial"/>
                <w:sz w:val="18"/>
                <w:lang w:val="mk-MK"/>
              </w:rPr>
              <w:t>Fee</w:t>
            </w:r>
            <w:proofErr w:type="spellEnd"/>
            <w:r w:rsidRPr="002236F7">
              <w:rPr>
                <w:rFonts w:ascii="Arial" w:hAnsi="Arial"/>
                <w:sz w:val="18"/>
                <w:lang w:val="mk-MK"/>
              </w:rPr>
              <w:t xml:space="preserve"> </w:t>
            </w:r>
            <w:proofErr w:type="spellStart"/>
            <w:r w:rsidRPr="002236F7">
              <w:rPr>
                <w:rFonts w:ascii="Arial" w:hAnsi="Arial"/>
                <w:sz w:val="18"/>
                <w:lang w:val="mk-MK"/>
              </w:rPr>
              <w:t>and</w:t>
            </w:r>
            <w:proofErr w:type="spellEnd"/>
            <w:r w:rsidRPr="002236F7">
              <w:rPr>
                <w:rFonts w:ascii="Arial" w:hAnsi="Arial"/>
                <w:sz w:val="18"/>
                <w:lang w:val="mk-MK"/>
              </w:rPr>
              <w:t xml:space="preserve"> </w:t>
            </w:r>
            <w:proofErr w:type="spellStart"/>
            <w:r w:rsidRPr="002236F7">
              <w:rPr>
                <w:rFonts w:ascii="Arial" w:hAnsi="Arial"/>
                <w:sz w:val="18"/>
                <w:lang w:val="mk-MK"/>
              </w:rPr>
              <w:t>commission</w:t>
            </w:r>
            <w:proofErr w:type="spellEnd"/>
            <w:r w:rsidRPr="002236F7">
              <w:rPr>
                <w:rFonts w:ascii="Arial" w:hAnsi="Arial"/>
                <w:sz w:val="18"/>
                <w:lang w:val="mk-MK"/>
              </w:rPr>
              <w:t xml:space="preserve"> </w:t>
            </w:r>
            <w:proofErr w:type="spellStart"/>
            <w:r w:rsidRPr="002236F7">
              <w:rPr>
                <w:rFonts w:ascii="Arial" w:hAnsi="Arial"/>
                <w:sz w:val="18"/>
                <w:lang w:val="mk-MK"/>
              </w:rPr>
              <w:t>expenses</w:t>
            </w:r>
            <w:proofErr w:type="spellEnd"/>
            <w:r>
              <w:rPr>
                <w:rFonts w:ascii="Arial" w:hAnsi="Arial"/>
                <w:sz w:val="18"/>
                <w:lang w:val="en-US"/>
              </w:rPr>
              <w:t xml:space="preserve"> from the c</w:t>
            </w:r>
            <w:r w:rsidRPr="002236F7">
              <w:rPr>
                <w:rFonts w:ascii="Arial" w:hAnsi="Arial"/>
                <w:sz w:val="18"/>
                <w:lang w:val="en-US"/>
              </w:rPr>
              <w:t xml:space="preserve">urrent account </w:t>
            </w:r>
            <w:r>
              <w:rPr>
                <w:rFonts w:ascii="Arial" w:hAnsi="Arial"/>
                <w:sz w:val="18"/>
                <w:lang w:val="en-US"/>
              </w:rPr>
              <w:t>in</w:t>
            </w:r>
            <w:r w:rsidRPr="002236F7">
              <w:rPr>
                <w:rFonts w:ascii="Arial" w:hAnsi="Arial"/>
                <w:sz w:val="18"/>
                <w:lang w:val="en-US"/>
              </w:rPr>
              <w:t xml:space="preserve"> NBRNM</w:t>
            </w:r>
          </w:p>
        </w:tc>
        <w:tc>
          <w:tcPr>
            <w:tcW w:w="1435" w:type="dxa"/>
            <w:tcBorders>
              <w:bottom w:val="single" w:sz="4" w:space="0" w:color="auto"/>
            </w:tcBorders>
            <w:shd w:val="clear" w:color="auto" w:fill="auto"/>
            <w:tcMar>
              <w:left w:w="58" w:type="dxa"/>
              <w:right w:w="58" w:type="dxa"/>
            </w:tcMar>
            <w:vAlign w:val="bottom"/>
          </w:tcPr>
          <w:p w14:paraId="5F3C407D" w14:textId="192836E4" w:rsidR="00546297" w:rsidRPr="001E6526" w:rsidRDefault="00546297" w:rsidP="006E26B2">
            <w:pPr>
              <w:spacing w:after="0" w:line="240" w:lineRule="auto"/>
              <w:jc w:val="right"/>
              <w:rPr>
                <w:rFonts w:ascii="Arial" w:hAnsi="Arial" w:cs="Arial"/>
                <w:color w:val="000000"/>
                <w:lang w:val="mk-MK"/>
              </w:rPr>
            </w:pPr>
            <w:r w:rsidRPr="001E6526">
              <w:rPr>
                <w:rFonts w:ascii="Arial" w:hAnsi="Arial" w:cs="Arial"/>
                <w:color w:val="000000"/>
                <w:lang w:val="mk-MK"/>
              </w:rPr>
              <w:t>22</w:t>
            </w:r>
          </w:p>
        </w:tc>
        <w:tc>
          <w:tcPr>
            <w:tcW w:w="1435" w:type="dxa"/>
            <w:tcBorders>
              <w:bottom w:val="single" w:sz="4" w:space="0" w:color="auto"/>
            </w:tcBorders>
            <w:shd w:val="clear" w:color="auto" w:fill="auto"/>
            <w:tcMar>
              <w:left w:w="58" w:type="dxa"/>
              <w:right w:w="58" w:type="dxa"/>
            </w:tcMar>
            <w:vAlign w:val="bottom"/>
          </w:tcPr>
          <w:p w14:paraId="2582F339" w14:textId="16A35206" w:rsidR="00546297" w:rsidRPr="001E6526" w:rsidRDefault="00546297" w:rsidP="006E26B2">
            <w:pPr>
              <w:spacing w:after="0" w:line="240" w:lineRule="auto"/>
              <w:jc w:val="right"/>
              <w:rPr>
                <w:rFonts w:ascii="Arial" w:hAnsi="Arial" w:cs="Arial"/>
                <w:color w:val="000000"/>
                <w:lang w:val="mk-MK"/>
              </w:rPr>
            </w:pPr>
            <w:r w:rsidRPr="001E6526">
              <w:rPr>
                <w:rFonts w:ascii="Arial" w:hAnsi="Arial" w:cs="Arial"/>
                <w:color w:val="000000"/>
                <w:lang w:val="mk-MK"/>
              </w:rPr>
              <w:t>24</w:t>
            </w:r>
          </w:p>
        </w:tc>
      </w:tr>
    </w:tbl>
    <w:bookmarkEnd w:id="11"/>
    <w:bookmarkEnd w:id="12"/>
    <w:p w14:paraId="3352B6F5" w14:textId="294AB99E" w:rsidR="00F93B95" w:rsidRPr="00B92C37" w:rsidRDefault="00B92C37" w:rsidP="00F93B95">
      <w:pPr>
        <w:pStyle w:val="Heading4"/>
        <w:rPr>
          <w:rFonts w:ascii="Arial" w:hAnsi="Arial" w:cs="Arial"/>
          <w:lang w:val="en-US"/>
        </w:rPr>
      </w:pPr>
      <w:r>
        <w:rPr>
          <w:rFonts w:ascii="Arial" w:hAnsi="Arial" w:cs="Arial"/>
          <w:lang w:val="en-US"/>
        </w:rPr>
        <w:t>Transactions with key management personnel</w:t>
      </w:r>
    </w:p>
    <w:p w14:paraId="0741AB8D" w14:textId="281CFAE8" w:rsidR="00F93B95" w:rsidRPr="00CE3053" w:rsidRDefault="004943AB" w:rsidP="00F93B95">
      <w:pPr>
        <w:pStyle w:val="BodyText"/>
        <w:spacing w:after="0"/>
        <w:jc w:val="both"/>
        <w:rPr>
          <w:rFonts w:ascii="Arial" w:hAnsi="Arial" w:cs="Arial"/>
          <w:lang w:val="mk-MK"/>
        </w:rPr>
      </w:pPr>
      <w:proofErr w:type="spellStart"/>
      <w:r w:rsidRPr="004943AB">
        <w:rPr>
          <w:rFonts w:ascii="Arial" w:hAnsi="Arial" w:cs="Arial"/>
          <w:lang w:val="mk-MK"/>
        </w:rPr>
        <w:t>The</w:t>
      </w:r>
      <w:proofErr w:type="spellEnd"/>
      <w:r w:rsidRPr="004943AB">
        <w:rPr>
          <w:rFonts w:ascii="Arial" w:hAnsi="Arial" w:cs="Arial"/>
          <w:lang w:val="mk-MK"/>
        </w:rPr>
        <w:t xml:space="preserve"> </w:t>
      </w:r>
      <w:proofErr w:type="spellStart"/>
      <w:r w:rsidRPr="004943AB">
        <w:rPr>
          <w:rFonts w:ascii="Arial" w:hAnsi="Arial" w:cs="Arial"/>
          <w:lang w:val="mk-MK"/>
        </w:rPr>
        <w:t>total</w:t>
      </w:r>
      <w:proofErr w:type="spellEnd"/>
      <w:r w:rsidRPr="004943AB">
        <w:rPr>
          <w:rFonts w:ascii="Arial" w:hAnsi="Arial" w:cs="Arial"/>
          <w:lang w:val="mk-MK"/>
        </w:rPr>
        <w:t xml:space="preserve"> </w:t>
      </w:r>
      <w:proofErr w:type="spellStart"/>
      <w:r w:rsidRPr="004943AB">
        <w:rPr>
          <w:rFonts w:ascii="Arial" w:hAnsi="Arial" w:cs="Arial"/>
          <w:lang w:val="mk-MK"/>
        </w:rPr>
        <w:t>remuneration</w:t>
      </w:r>
      <w:proofErr w:type="spellEnd"/>
      <w:r w:rsidRPr="004943AB">
        <w:rPr>
          <w:rFonts w:ascii="Arial" w:hAnsi="Arial" w:cs="Arial"/>
          <w:lang w:val="mk-MK"/>
        </w:rPr>
        <w:t xml:space="preserve"> </w:t>
      </w:r>
      <w:proofErr w:type="spellStart"/>
      <w:r w:rsidRPr="004943AB">
        <w:rPr>
          <w:rFonts w:ascii="Arial" w:hAnsi="Arial" w:cs="Arial"/>
          <w:lang w:val="mk-MK"/>
        </w:rPr>
        <w:t>to</w:t>
      </w:r>
      <w:proofErr w:type="spellEnd"/>
      <w:r w:rsidRPr="004943AB">
        <w:rPr>
          <w:rFonts w:ascii="Arial" w:hAnsi="Arial" w:cs="Arial"/>
          <w:lang w:val="mk-MK"/>
        </w:rPr>
        <w:t xml:space="preserve"> </w:t>
      </w:r>
      <w:proofErr w:type="spellStart"/>
      <w:r w:rsidRPr="004943AB">
        <w:rPr>
          <w:rFonts w:ascii="Arial" w:hAnsi="Arial" w:cs="Arial"/>
          <w:lang w:val="mk-MK"/>
        </w:rPr>
        <w:t>key</w:t>
      </w:r>
      <w:proofErr w:type="spellEnd"/>
      <w:r w:rsidRPr="004943AB">
        <w:rPr>
          <w:rFonts w:ascii="Arial" w:hAnsi="Arial" w:cs="Arial"/>
          <w:lang w:val="mk-MK"/>
        </w:rPr>
        <w:t xml:space="preserve"> </w:t>
      </w:r>
      <w:proofErr w:type="spellStart"/>
      <w:r w:rsidRPr="004943AB">
        <w:rPr>
          <w:rFonts w:ascii="Arial" w:hAnsi="Arial" w:cs="Arial"/>
          <w:lang w:val="mk-MK"/>
        </w:rPr>
        <w:t>Management</w:t>
      </w:r>
      <w:proofErr w:type="spellEnd"/>
      <w:r w:rsidRPr="004943AB">
        <w:rPr>
          <w:rFonts w:ascii="Arial" w:hAnsi="Arial" w:cs="Arial"/>
          <w:lang w:val="mk-MK"/>
        </w:rPr>
        <w:t xml:space="preserve"> </w:t>
      </w:r>
      <w:proofErr w:type="spellStart"/>
      <w:r w:rsidRPr="004943AB">
        <w:rPr>
          <w:rFonts w:ascii="Arial" w:hAnsi="Arial" w:cs="Arial"/>
          <w:lang w:val="mk-MK"/>
        </w:rPr>
        <w:t>personnel</w:t>
      </w:r>
      <w:proofErr w:type="spellEnd"/>
      <w:r w:rsidRPr="004943AB">
        <w:rPr>
          <w:rFonts w:ascii="Arial" w:hAnsi="Arial" w:cs="Arial"/>
          <w:lang w:val="mk-MK"/>
        </w:rPr>
        <w:t xml:space="preserve"> </w:t>
      </w:r>
      <w:proofErr w:type="spellStart"/>
      <w:r w:rsidRPr="004943AB">
        <w:rPr>
          <w:rFonts w:ascii="Arial" w:hAnsi="Arial" w:cs="Arial"/>
          <w:lang w:val="mk-MK"/>
        </w:rPr>
        <w:t>of</w:t>
      </w:r>
      <w:proofErr w:type="spellEnd"/>
      <w:r w:rsidRPr="004943AB">
        <w:rPr>
          <w:rFonts w:ascii="Arial" w:hAnsi="Arial" w:cs="Arial"/>
          <w:lang w:val="mk-MK"/>
        </w:rPr>
        <w:t xml:space="preserve"> </w:t>
      </w:r>
      <w:proofErr w:type="spellStart"/>
      <w:r w:rsidRPr="004943AB">
        <w:rPr>
          <w:rFonts w:ascii="Arial" w:hAnsi="Arial" w:cs="Arial"/>
          <w:lang w:val="mk-MK"/>
        </w:rPr>
        <w:t>the</w:t>
      </w:r>
      <w:proofErr w:type="spellEnd"/>
      <w:r w:rsidRPr="004943AB">
        <w:rPr>
          <w:rFonts w:ascii="Arial" w:hAnsi="Arial" w:cs="Arial"/>
          <w:lang w:val="mk-MK"/>
        </w:rPr>
        <w:t xml:space="preserve"> </w:t>
      </w:r>
      <w:proofErr w:type="spellStart"/>
      <w:r w:rsidRPr="004943AB">
        <w:rPr>
          <w:rFonts w:ascii="Arial" w:hAnsi="Arial" w:cs="Arial"/>
          <w:lang w:val="mk-MK"/>
        </w:rPr>
        <w:t>Fund</w:t>
      </w:r>
      <w:proofErr w:type="spellEnd"/>
      <w:r w:rsidRPr="004943AB">
        <w:rPr>
          <w:rFonts w:ascii="Arial" w:hAnsi="Arial" w:cs="Arial"/>
          <w:lang w:val="mk-MK"/>
        </w:rPr>
        <w:t xml:space="preserve">, </w:t>
      </w:r>
      <w:proofErr w:type="spellStart"/>
      <w:r w:rsidRPr="004943AB">
        <w:rPr>
          <w:rFonts w:ascii="Arial" w:hAnsi="Arial" w:cs="Arial"/>
          <w:lang w:val="mk-MK"/>
        </w:rPr>
        <w:t>included</w:t>
      </w:r>
      <w:proofErr w:type="spellEnd"/>
      <w:r w:rsidRPr="004943AB">
        <w:rPr>
          <w:rFonts w:ascii="Arial" w:hAnsi="Arial" w:cs="Arial"/>
          <w:lang w:val="mk-MK"/>
        </w:rPr>
        <w:t xml:space="preserve"> </w:t>
      </w:r>
      <w:proofErr w:type="spellStart"/>
      <w:r w:rsidRPr="004943AB">
        <w:rPr>
          <w:rFonts w:ascii="Arial" w:hAnsi="Arial" w:cs="Arial"/>
          <w:lang w:val="mk-MK"/>
        </w:rPr>
        <w:t>in</w:t>
      </w:r>
      <w:proofErr w:type="spellEnd"/>
      <w:r w:rsidRPr="004943AB">
        <w:rPr>
          <w:rFonts w:ascii="Arial" w:hAnsi="Arial" w:cs="Arial"/>
          <w:lang w:val="mk-MK"/>
        </w:rPr>
        <w:t xml:space="preserve"> </w:t>
      </w:r>
      <w:proofErr w:type="spellStart"/>
      <w:r w:rsidRPr="004943AB">
        <w:rPr>
          <w:rFonts w:ascii="Arial" w:hAnsi="Arial" w:cs="Arial"/>
          <w:lang w:val="mk-MK"/>
        </w:rPr>
        <w:t>the</w:t>
      </w:r>
      <w:proofErr w:type="spellEnd"/>
      <w:r w:rsidRPr="004943AB">
        <w:rPr>
          <w:rFonts w:ascii="Arial" w:hAnsi="Arial" w:cs="Arial"/>
          <w:lang w:val="mk-MK"/>
        </w:rPr>
        <w:t xml:space="preserve"> </w:t>
      </w:r>
      <w:proofErr w:type="spellStart"/>
      <w:r w:rsidRPr="004943AB">
        <w:rPr>
          <w:rFonts w:ascii="Arial" w:hAnsi="Arial" w:cs="Arial"/>
          <w:lang w:val="mk-MK"/>
        </w:rPr>
        <w:t>employees</w:t>
      </w:r>
      <w:proofErr w:type="spellEnd"/>
      <w:r w:rsidRPr="004943AB">
        <w:rPr>
          <w:rFonts w:ascii="Arial" w:hAnsi="Arial" w:cs="Arial"/>
          <w:lang w:val="mk-MK"/>
        </w:rPr>
        <w:t xml:space="preserve">’ </w:t>
      </w:r>
      <w:proofErr w:type="spellStart"/>
      <w:r w:rsidRPr="004943AB">
        <w:rPr>
          <w:rFonts w:ascii="Arial" w:hAnsi="Arial" w:cs="Arial"/>
          <w:lang w:val="mk-MK"/>
        </w:rPr>
        <w:t>charges</w:t>
      </w:r>
      <w:proofErr w:type="spellEnd"/>
      <w:r w:rsidRPr="004943AB">
        <w:rPr>
          <w:rFonts w:ascii="Arial" w:hAnsi="Arial" w:cs="Arial"/>
          <w:lang w:val="mk-MK"/>
        </w:rPr>
        <w:t xml:space="preserve"> </w:t>
      </w:r>
      <w:proofErr w:type="spellStart"/>
      <w:r w:rsidRPr="004943AB">
        <w:rPr>
          <w:rFonts w:ascii="Arial" w:hAnsi="Arial" w:cs="Arial"/>
          <w:lang w:val="mk-MK"/>
        </w:rPr>
        <w:t>and</w:t>
      </w:r>
      <w:proofErr w:type="spellEnd"/>
      <w:r w:rsidRPr="004943AB">
        <w:rPr>
          <w:rFonts w:ascii="Arial" w:hAnsi="Arial" w:cs="Arial"/>
          <w:lang w:val="mk-MK"/>
        </w:rPr>
        <w:t xml:space="preserve"> </w:t>
      </w:r>
      <w:proofErr w:type="spellStart"/>
      <w:r w:rsidRPr="004943AB">
        <w:rPr>
          <w:rFonts w:ascii="Arial" w:hAnsi="Arial" w:cs="Arial"/>
          <w:lang w:val="mk-MK"/>
        </w:rPr>
        <w:t>other</w:t>
      </w:r>
      <w:proofErr w:type="spellEnd"/>
      <w:r w:rsidRPr="004943AB">
        <w:rPr>
          <w:rFonts w:ascii="Arial" w:hAnsi="Arial" w:cs="Arial"/>
          <w:lang w:val="mk-MK"/>
        </w:rPr>
        <w:t xml:space="preserve"> </w:t>
      </w:r>
      <w:proofErr w:type="spellStart"/>
      <w:r w:rsidRPr="004943AB">
        <w:rPr>
          <w:rFonts w:ascii="Arial" w:hAnsi="Arial" w:cs="Arial"/>
          <w:lang w:val="mk-MK"/>
        </w:rPr>
        <w:t>expenditures</w:t>
      </w:r>
      <w:proofErr w:type="spellEnd"/>
      <w:r w:rsidRPr="004943AB">
        <w:rPr>
          <w:rFonts w:ascii="Arial" w:hAnsi="Arial" w:cs="Arial"/>
          <w:lang w:val="mk-MK"/>
        </w:rPr>
        <w:t xml:space="preserve"> </w:t>
      </w:r>
      <w:proofErr w:type="spellStart"/>
      <w:r w:rsidRPr="004943AB">
        <w:rPr>
          <w:rFonts w:ascii="Arial" w:hAnsi="Arial" w:cs="Arial"/>
          <w:lang w:val="mk-MK"/>
        </w:rPr>
        <w:t>are</w:t>
      </w:r>
      <w:proofErr w:type="spellEnd"/>
      <w:r w:rsidRPr="004943AB">
        <w:rPr>
          <w:rFonts w:ascii="Arial" w:hAnsi="Arial" w:cs="Arial"/>
          <w:lang w:val="mk-MK"/>
        </w:rPr>
        <w:t xml:space="preserve"> </w:t>
      </w:r>
      <w:proofErr w:type="spellStart"/>
      <w:r w:rsidRPr="004943AB">
        <w:rPr>
          <w:rFonts w:ascii="Arial" w:hAnsi="Arial" w:cs="Arial"/>
          <w:lang w:val="mk-MK"/>
        </w:rPr>
        <w:t>as</w:t>
      </w:r>
      <w:proofErr w:type="spellEnd"/>
      <w:r w:rsidRPr="004943AB">
        <w:rPr>
          <w:rFonts w:ascii="Arial" w:hAnsi="Arial" w:cs="Arial"/>
          <w:lang w:val="mk-MK"/>
        </w:rPr>
        <w:t xml:space="preserve"> </w:t>
      </w:r>
      <w:proofErr w:type="spellStart"/>
      <w:r w:rsidRPr="004943AB">
        <w:rPr>
          <w:rFonts w:ascii="Arial" w:hAnsi="Arial" w:cs="Arial"/>
          <w:lang w:val="mk-MK"/>
        </w:rPr>
        <w:t>follows</w:t>
      </w:r>
      <w:proofErr w:type="spellEnd"/>
      <w:r w:rsidR="00F93B95" w:rsidRPr="00CE3053">
        <w:rPr>
          <w:rFonts w:ascii="Arial" w:hAnsi="Arial" w:cs="Arial"/>
          <w:lang w:val="mk-MK"/>
        </w:rPr>
        <w:t>:</w:t>
      </w:r>
    </w:p>
    <w:tbl>
      <w:tblPr>
        <w:tblW w:w="8578" w:type="dxa"/>
        <w:tblInd w:w="86" w:type="dxa"/>
        <w:tblLook w:val="01E0" w:firstRow="1" w:lastRow="1" w:firstColumn="1" w:lastColumn="1" w:noHBand="0" w:noVBand="0"/>
      </w:tblPr>
      <w:tblGrid>
        <w:gridCol w:w="5719"/>
        <w:gridCol w:w="1429"/>
        <w:gridCol w:w="1430"/>
      </w:tblGrid>
      <w:tr w:rsidR="00F30EF8" w:rsidRPr="001E6526" w14:paraId="763E28FE" w14:textId="77777777" w:rsidTr="008864A4">
        <w:trPr>
          <w:trHeight w:val="258"/>
        </w:trPr>
        <w:tc>
          <w:tcPr>
            <w:tcW w:w="5719" w:type="dxa"/>
            <w:shd w:val="clear" w:color="auto" w:fill="auto"/>
            <w:tcMar>
              <w:left w:w="58" w:type="dxa"/>
              <w:right w:w="58" w:type="dxa"/>
            </w:tcMar>
            <w:vAlign w:val="bottom"/>
          </w:tcPr>
          <w:p w14:paraId="2F6AC75D" w14:textId="77777777" w:rsidR="00F30EF8" w:rsidRPr="00CE3053" w:rsidRDefault="00F30EF8" w:rsidP="006E26B2">
            <w:pPr>
              <w:pStyle w:val="TableText"/>
              <w:spacing w:before="0" w:after="0"/>
              <w:jc w:val="right"/>
              <w:rPr>
                <w:rFonts w:ascii="Arial" w:hAnsi="Arial"/>
                <w:sz w:val="18"/>
                <w:lang w:val="mk-MK"/>
              </w:rPr>
            </w:pPr>
          </w:p>
        </w:tc>
        <w:tc>
          <w:tcPr>
            <w:tcW w:w="2859" w:type="dxa"/>
            <w:gridSpan w:val="2"/>
            <w:shd w:val="clear" w:color="auto" w:fill="auto"/>
            <w:tcMar>
              <w:left w:w="58" w:type="dxa"/>
              <w:right w:w="58" w:type="dxa"/>
            </w:tcMar>
            <w:vAlign w:val="bottom"/>
          </w:tcPr>
          <w:p w14:paraId="75631C36" w14:textId="52A2EBCD" w:rsidR="00F30EF8" w:rsidRPr="00CE3053" w:rsidRDefault="00F30EF8" w:rsidP="006E26B2">
            <w:pPr>
              <w:pStyle w:val="TableText"/>
              <w:spacing w:before="0" w:after="0"/>
              <w:jc w:val="right"/>
              <w:rPr>
                <w:rFonts w:ascii="Arial" w:hAnsi="Arial"/>
                <w:sz w:val="18"/>
                <w:lang w:val="mk-MK"/>
              </w:rPr>
            </w:pPr>
            <w:r w:rsidRPr="00CE3053">
              <w:rPr>
                <w:rFonts w:ascii="Arial" w:hAnsi="Arial"/>
                <w:sz w:val="18"/>
                <w:lang w:val="mk-MK"/>
              </w:rPr>
              <w:t xml:space="preserve">(000 </w:t>
            </w:r>
            <w:proofErr w:type="spellStart"/>
            <w:r w:rsidR="004943AB">
              <w:rPr>
                <w:rFonts w:ascii="Arial" w:hAnsi="Arial"/>
                <w:sz w:val="18"/>
                <w:lang w:val="en-US"/>
              </w:rPr>
              <w:t>mkd</w:t>
            </w:r>
            <w:proofErr w:type="spellEnd"/>
            <w:r w:rsidRPr="00CE3053">
              <w:rPr>
                <w:rFonts w:ascii="Arial" w:hAnsi="Arial"/>
                <w:sz w:val="18"/>
                <w:lang w:val="mk-MK"/>
              </w:rPr>
              <w:t>)</w:t>
            </w:r>
          </w:p>
        </w:tc>
      </w:tr>
      <w:tr w:rsidR="00F93B95" w:rsidRPr="001E6526" w14:paraId="5DAAD0AD" w14:textId="77777777" w:rsidTr="008864A4">
        <w:trPr>
          <w:trHeight w:val="258"/>
        </w:trPr>
        <w:tc>
          <w:tcPr>
            <w:tcW w:w="5719" w:type="dxa"/>
            <w:shd w:val="clear" w:color="auto" w:fill="auto"/>
            <w:tcMar>
              <w:left w:w="58" w:type="dxa"/>
              <w:right w:w="58" w:type="dxa"/>
            </w:tcMar>
            <w:vAlign w:val="bottom"/>
          </w:tcPr>
          <w:p w14:paraId="7D5EEBD4" w14:textId="77777777" w:rsidR="00F93B95" w:rsidRPr="00CE3053" w:rsidRDefault="00F93B95" w:rsidP="006E26B2">
            <w:pPr>
              <w:pStyle w:val="TableText"/>
              <w:spacing w:before="0" w:after="0"/>
              <w:jc w:val="both"/>
              <w:rPr>
                <w:rFonts w:ascii="Arial" w:hAnsi="Arial"/>
                <w:sz w:val="18"/>
                <w:lang w:val="mk-MK"/>
              </w:rPr>
            </w:pPr>
          </w:p>
        </w:tc>
        <w:tc>
          <w:tcPr>
            <w:tcW w:w="1429" w:type="dxa"/>
            <w:shd w:val="clear" w:color="auto" w:fill="auto"/>
            <w:tcMar>
              <w:left w:w="58" w:type="dxa"/>
              <w:right w:w="58" w:type="dxa"/>
            </w:tcMar>
            <w:vAlign w:val="bottom"/>
          </w:tcPr>
          <w:p w14:paraId="3D8A1947" w14:textId="266A5EE6" w:rsidR="00F93B95" w:rsidRPr="00CE3053" w:rsidRDefault="00F93B95" w:rsidP="006E26B2">
            <w:pPr>
              <w:pStyle w:val="TableText"/>
              <w:spacing w:before="0" w:after="0"/>
              <w:jc w:val="right"/>
              <w:rPr>
                <w:rFonts w:ascii="Arial" w:hAnsi="Arial"/>
                <w:sz w:val="18"/>
                <w:lang w:val="mk-MK"/>
              </w:rPr>
            </w:pPr>
            <w:r w:rsidRPr="00CE3053">
              <w:rPr>
                <w:rFonts w:ascii="Arial" w:hAnsi="Arial"/>
                <w:sz w:val="18"/>
                <w:lang w:val="mk-MK"/>
              </w:rPr>
              <w:t>202</w:t>
            </w:r>
            <w:r w:rsidR="006A1C5B" w:rsidRPr="001E6526">
              <w:rPr>
                <w:rFonts w:ascii="Arial" w:hAnsi="Arial"/>
                <w:sz w:val="18"/>
                <w:lang w:val="mk-MK"/>
              </w:rPr>
              <w:t>1</w:t>
            </w:r>
          </w:p>
        </w:tc>
        <w:tc>
          <w:tcPr>
            <w:tcW w:w="1429" w:type="dxa"/>
            <w:tcMar>
              <w:left w:w="58" w:type="dxa"/>
              <w:right w:w="58" w:type="dxa"/>
            </w:tcMar>
            <w:vAlign w:val="bottom"/>
          </w:tcPr>
          <w:p w14:paraId="75F89CF8" w14:textId="1B7F654B" w:rsidR="00F93B95" w:rsidRPr="00CE3053" w:rsidRDefault="00F93B95" w:rsidP="006E26B2">
            <w:pPr>
              <w:pStyle w:val="TableText"/>
              <w:spacing w:before="0" w:after="0"/>
              <w:jc w:val="right"/>
              <w:rPr>
                <w:rFonts w:ascii="Arial" w:hAnsi="Arial"/>
                <w:sz w:val="18"/>
                <w:lang w:val="mk-MK"/>
              </w:rPr>
            </w:pPr>
            <w:r w:rsidRPr="00CE3053">
              <w:rPr>
                <w:rFonts w:ascii="Arial" w:hAnsi="Arial"/>
                <w:sz w:val="18"/>
                <w:lang w:val="mk-MK"/>
              </w:rPr>
              <w:t>20</w:t>
            </w:r>
            <w:r w:rsidR="00546297" w:rsidRPr="001E6526">
              <w:rPr>
                <w:rFonts w:ascii="Arial" w:hAnsi="Arial"/>
                <w:sz w:val="18"/>
                <w:lang w:val="mk-MK"/>
              </w:rPr>
              <w:t>20</w:t>
            </w:r>
          </w:p>
        </w:tc>
      </w:tr>
      <w:tr w:rsidR="00F93B95" w:rsidRPr="001E6526" w14:paraId="736C7DCF" w14:textId="77777777" w:rsidTr="008864A4">
        <w:trPr>
          <w:trHeight w:val="258"/>
        </w:trPr>
        <w:tc>
          <w:tcPr>
            <w:tcW w:w="5719" w:type="dxa"/>
            <w:shd w:val="clear" w:color="auto" w:fill="auto"/>
            <w:tcMar>
              <w:left w:w="58" w:type="dxa"/>
              <w:right w:w="58" w:type="dxa"/>
            </w:tcMar>
            <w:vAlign w:val="bottom"/>
          </w:tcPr>
          <w:p w14:paraId="7D145CFA" w14:textId="77777777" w:rsidR="00F93B95" w:rsidRPr="00CE3053" w:rsidRDefault="00F93B95" w:rsidP="006E26B2">
            <w:pPr>
              <w:pStyle w:val="TableText"/>
              <w:spacing w:before="0" w:after="0"/>
              <w:jc w:val="both"/>
              <w:rPr>
                <w:rFonts w:ascii="Arial" w:hAnsi="Arial"/>
                <w:sz w:val="18"/>
                <w:lang w:val="mk-MK"/>
              </w:rPr>
            </w:pPr>
          </w:p>
        </w:tc>
        <w:tc>
          <w:tcPr>
            <w:tcW w:w="1429" w:type="dxa"/>
            <w:shd w:val="clear" w:color="auto" w:fill="auto"/>
            <w:tcMar>
              <w:left w:w="58" w:type="dxa"/>
              <w:right w:w="58" w:type="dxa"/>
            </w:tcMar>
            <w:vAlign w:val="bottom"/>
          </w:tcPr>
          <w:p w14:paraId="113FE4C0" w14:textId="77777777" w:rsidR="00F93B95" w:rsidRPr="00CE3053" w:rsidRDefault="00F93B95" w:rsidP="006E26B2">
            <w:pPr>
              <w:pStyle w:val="TableText"/>
              <w:spacing w:before="0" w:after="0"/>
              <w:jc w:val="right"/>
              <w:rPr>
                <w:rFonts w:ascii="Arial" w:hAnsi="Arial"/>
                <w:sz w:val="18"/>
                <w:lang w:val="mk-MK"/>
              </w:rPr>
            </w:pPr>
          </w:p>
        </w:tc>
        <w:tc>
          <w:tcPr>
            <w:tcW w:w="1429" w:type="dxa"/>
            <w:tcMar>
              <w:left w:w="58" w:type="dxa"/>
              <w:right w:w="58" w:type="dxa"/>
            </w:tcMar>
            <w:vAlign w:val="bottom"/>
          </w:tcPr>
          <w:p w14:paraId="5B374C07" w14:textId="77777777" w:rsidR="00F93B95" w:rsidRPr="00CE3053" w:rsidRDefault="00F93B95" w:rsidP="006E26B2">
            <w:pPr>
              <w:pStyle w:val="TableText"/>
              <w:spacing w:before="0" w:after="0"/>
              <w:jc w:val="right"/>
              <w:rPr>
                <w:rFonts w:ascii="Arial" w:hAnsi="Arial"/>
                <w:sz w:val="18"/>
                <w:lang w:val="mk-MK"/>
              </w:rPr>
            </w:pPr>
          </w:p>
        </w:tc>
      </w:tr>
      <w:tr w:rsidR="00F93B95" w:rsidRPr="001E6526" w14:paraId="0B934717" w14:textId="77777777" w:rsidTr="008864A4">
        <w:trPr>
          <w:trHeight w:val="258"/>
        </w:trPr>
        <w:tc>
          <w:tcPr>
            <w:tcW w:w="5719" w:type="dxa"/>
            <w:tcBorders>
              <w:bottom w:val="single" w:sz="4" w:space="0" w:color="auto"/>
            </w:tcBorders>
            <w:shd w:val="clear" w:color="auto" w:fill="auto"/>
            <w:tcMar>
              <w:left w:w="58" w:type="dxa"/>
              <w:right w:w="58" w:type="dxa"/>
            </w:tcMar>
            <w:vAlign w:val="bottom"/>
          </w:tcPr>
          <w:p w14:paraId="2423632A" w14:textId="4B752467" w:rsidR="00F93B95" w:rsidRPr="002A002C" w:rsidRDefault="004943AB" w:rsidP="006E26B2">
            <w:pPr>
              <w:pStyle w:val="TableText"/>
              <w:spacing w:before="0" w:after="0"/>
              <w:jc w:val="both"/>
              <w:rPr>
                <w:rFonts w:ascii="Arial" w:hAnsi="Arial"/>
                <w:bCs/>
                <w:sz w:val="18"/>
                <w:lang w:val="en-US"/>
              </w:rPr>
            </w:pPr>
            <w:proofErr w:type="spellStart"/>
            <w:r w:rsidRPr="004943AB">
              <w:rPr>
                <w:rFonts w:ascii="Arial" w:hAnsi="Arial"/>
                <w:bCs/>
                <w:sz w:val="18"/>
                <w:lang w:val="mk-MK"/>
              </w:rPr>
              <w:t>Remuneration</w:t>
            </w:r>
            <w:proofErr w:type="spellEnd"/>
            <w:r w:rsidRPr="004943AB">
              <w:rPr>
                <w:rFonts w:ascii="Arial" w:hAnsi="Arial"/>
                <w:bCs/>
                <w:sz w:val="18"/>
                <w:lang w:val="mk-MK"/>
              </w:rPr>
              <w:t xml:space="preserve"> </w:t>
            </w:r>
            <w:proofErr w:type="spellStart"/>
            <w:r w:rsidRPr="004943AB">
              <w:rPr>
                <w:rFonts w:ascii="Arial" w:hAnsi="Arial"/>
                <w:bCs/>
                <w:sz w:val="18"/>
                <w:lang w:val="mk-MK"/>
              </w:rPr>
              <w:t>to</w:t>
            </w:r>
            <w:proofErr w:type="spellEnd"/>
            <w:r w:rsidRPr="004943AB">
              <w:rPr>
                <w:rFonts w:ascii="Arial" w:hAnsi="Arial"/>
                <w:bCs/>
                <w:sz w:val="18"/>
                <w:lang w:val="mk-MK"/>
              </w:rPr>
              <w:t xml:space="preserve"> </w:t>
            </w:r>
            <w:r w:rsidR="00D13469">
              <w:rPr>
                <w:rFonts w:ascii="Arial" w:hAnsi="Arial"/>
                <w:bCs/>
                <w:sz w:val="18"/>
                <w:lang w:val="en-US"/>
              </w:rPr>
              <w:t>management</w:t>
            </w:r>
            <w:r w:rsidRPr="004943AB">
              <w:rPr>
                <w:rFonts w:ascii="Arial" w:hAnsi="Arial"/>
                <w:bCs/>
                <w:sz w:val="18"/>
                <w:lang w:val="mk-MK"/>
              </w:rPr>
              <w:t xml:space="preserve"> </w:t>
            </w:r>
            <w:r w:rsidR="002A002C">
              <w:rPr>
                <w:rFonts w:ascii="Arial" w:hAnsi="Arial"/>
                <w:bCs/>
                <w:sz w:val="18"/>
                <w:lang w:val="en-US"/>
              </w:rPr>
              <w:t>personnel</w:t>
            </w:r>
          </w:p>
        </w:tc>
        <w:tc>
          <w:tcPr>
            <w:tcW w:w="1429" w:type="dxa"/>
            <w:tcBorders>
              <w:bottom w:val="single" w:sz="4" w:space="0" w:color="auto"/>
            </w:tcBorders>
            <w:shd w:val="clear" w:color="auto" w:fill="auto"/>
            <w:tcMar>
              <w:left w:w="58" w:type="dxa"/>
              <w:right w:w="58" w:type="dxa"/>
            </w:tcMar>
            <w:vAlign w:val="center"/>
          </w:tcPr>
          <w:p w14:paraId="7CA00A8F" w14:textId="254966E2" w:rsidR="00F93B95" w:rsidRPr="00CE3053" w:rsidRDefault="00333F11" w:rsidP="006E26B2">
            <w:pPr>
              <w:spacing w:after="0" w:line="240" w:lineRule="auto"/>
              <w:jc w:val="right"/>
              <w:rPr>
                <w:rFonts w:ascii="Arial" w:hAnsi="Arial" w:cs="Arial"/>
                <w:color w:val="000000"/>
                <w:lang w:val="mk-MK"/>
              </w:rPr>
            </w:pPr>
            <w:r w:rsidRPr="001E6526">
              <w:rPr>
                <w:rFonts w:ascii="Arial" w:hAnsi="Arial" w:cs="Arial"/>
                <w:color w:val="000000"/>
                <w:lang w:val="mk-MK"/>
              </w:rPr>
              <w:t>1</w:t>
            </w:r>
            <w:r w:rsidR="00F93B95" w:rsidRPr="00CE3053">
              <w:rPr>
                <w:rFonts w:ascii="Arial" w:hAnsi="Arial" w:cs="Arial"/>
                <w:color w:val="000000"/>
                <w:lang w:val="mk-MK"/>
              </w:rPr>
              <w:t>,</w:t>
            </w:r>
            <w:r w:rsidRPr="001E6526">
              <w:rPr>
                <w:rFonts w:ascii="Arial" w:hAnsi="Arial" w:cs="Arial"/>
                <w:color w:val="000000"/>
                <w:lang w:val="mk-MK"/>
              </w:rPr>
              <w:t>344</w:t>
            </w:r>
          </w:p>
        </w:tc>
        <w:tc>
          <w:tcPr>
            <w:tcW w:w="1429" w:type="dxa"/>
            <w:tcBorders>
              <w:bottom w:val="single" w:sz="4" w:space="0" w:color="auto"/>
            </w:tcBorders>
            <w:tcMar>
              <w:left w:w="58" w:type="dxa"/>
              <w:right w:w="58" w:type="dxa"/>
            </w:tcMar>
            <w:vAlign w:val="center"/>
          </w:tcPr>
          <w:p w14:paraId="22C21B05" w14:textId="7DE4B923" w:rsidR="00F93B95" w:rsidRPr="00CE3053" w:rsidRDefault="00F93B95" w:rsidP="006E26B2">
            <w:pPr>
              <w:spacing w:after="0" w:line="240" w:lineRule="auto"/>
              <w:jc w:val="right"/>
              <w:rPr>
                <w:rFonts w:ascii="Arial" w:hAnsi="Arial" w:cs="Arial"/>
                <w:color w:val="000000"/>
                <w:lang w:val="mk-MK"/>
              </w:rPr>
            </w:pPr>
            <w:r w:rsidRPr="001E6526">
              <w:rPr>
                <w:rFonts w:ascii="Arial" w:hAnsi="Arial" w:cs="Arial"/>
                <w:color w:val="000000"/>
                <w:lang w:val="mk-MK"/>
              </w:rPr>
              <w:t>1,</w:t>
            </w:r>
            <w:r w:rsidR="00546297" w:rsidRPr="001E6526">
              <w:rPr>
                <w:rFonts w:ascii="Arial" w:hAnsi="Arial" w:cs="Arial"/>
                <w:color w:val="000000"/>
                <w:lang w:val="mk-MK"/>
              </w:rPr>
              <w:t>262</w:t>
            </w:r>
          </w:p>
        </w:tc>
      </w:tr>
      <w:tr w:rsidR="00F93B95" w:rsidRPr="001E6526" w14:paraId="724F728B" w14:textId="77777777" w:rsidTr="008864A4">
        <w:trPr>
          <w:trHeight w:val="258"/>
        </w:trPr>
        <w:tc>
          <w:tcPr>
            <w:tcW w:w="5719" w:type="dxa"/>
            <w:tcBorders>
              <w:top w:val="single" w:sz="4" w:space="0" w:color="auto"/>
              <w:bottom w:val="double" w:sz="4" w:space="0" w:color="auto"/>
            </w:tcBorders>
            <w:shd w:val="clear" w:color="auto" w:fill="auto"/>
            <w:tcMar>
              <w:left w:w="58" w:type="dxa"/>
              <w:right w:w="58" w:type="dxa"/>
            </w:tcMar>
            <w:vAlign w:val="bottom"/>
          </w:tcPr>
          <w:p w14:paraId="2C1B00A5" w14:textId="77777777" w:rsidR="00F93B95" w:rsidRPr="00CE3053" w:rsidRDefault="00F93B95" w:rsidP="006E26B2">
            <w:pPr>
              <w:pStyle w:val="TableText"/>
              <w:spacing w:before="0" w:after="0"/>
              <w:jc w:val="both"/>
              <w:rPr>
                <w:rFonts w:ascii="Arial" w:hAnsi="Arial"/>
                <w:b/>
                <w:sz w:val="18"/>
                <w:lang w:val="mk-MK"/>
              </w:rPr>
            </w:pPr>
          </w:p>
        </w:tc>
        <w:tc>
          <w:tcPr>
            <w:tcW w:w="1429" w:type="dxa"/>
            <w:tcBorders>
              <w:top w:val="single" w:sz="4" w:space="0" w:color="auto"/>
              <w:bottom w:val="double" w:sz="4" w:space="0" w:color="auto"/>
            </w:tcBorders>
            <w:shd w:val="clear" w:color="auto" w:fill="auto"/>
            <w:tcMar>
              <w:left w:w="58" w:type="dxa"/>
              <w:right w:w="58" w:type="dxa"/>
            </w:tcMar>
            <w:vAlign w:val="center"/>
          </w:tcPr>
          <w:p w14:paraId="22F471C4" w14:textId="446ED1C4" w:rsidR="00F93B95" w:rsidRPr="00CE3053" w:rsidRDefault="00333F11" w:rsidP="006E26B2">
            <w:pPr>
              <w:spacing w:after="0" w:line="240" w:lineRule="auto"/>
              <w:jc w:val="right"/>
              <w:rPr>
                <w:rFonts w:ascii="Arial" w:hAnsi="Arial" w:cs="Arial"/>
                <w:b/>
                <w:bCs/>
                <w:color w:val="000000"/>
                <w:lang w:val="mk-MK"/>
              </w:rPr>
            </w:pPr>
            <w:r w:rsidRPr="001E6526">
              <w:rPr>
                <w:rFonts w:ascii="Arial" w:hAnsi="Arial" w:cs="Arial"/>
                <w:b/>
                <w:bCs/>
                <w:color w:val="000000"/>
                <w:lang w:val="mk-MK"/>
              </w:rPr>
              <w:t>1</w:t>
            </w:r>
            <w:r w:rsidR="00F93B95" w:rsidRPr="00CE3053">
              <w:rPr>
                <w:rFonts w:ascii="Arial" w:hAnsi="Arial" w:cs="Arial"/>
                <w:b/>
                <w:bCs/>
                <w:color w:val="000000"/>
                <w:lang w:val="mk-MK"/>
              </w:rPr>
              <w:t>,</w:t>
            </w:r>
            <w:r w:rsidRPr="001E6526">
              <w:rPr>
                <w:rFonts w:ascii="Arial" w:hAnsi="Arial" w:cs="Arial"/>
                <w:b/>
                <w:bCs/>
                <w:color w:val="000000"/>
                <w:lang w:val="mk-MK"/>
              </w:rPr>
              <w:t>344</w:t>
            </w:r>
          </w:p>
        </w:tc>
        <w:tc>
          <w:tcPr>
            <w:tcW w:w="1429" w:type="dxa"/>
            <w:tcBorders>
              <w:top w:val="single" w:sz="4" w:space="0" w:color="auto"/>
              <w:bottom w:val="double" w:sz="4" w:space="0" w:color="auto"/>
            </w:tcBorders>
            <w:tcMar>
              <w:left w:w="58" w:type="dxa"/>
              <w:right w:w="58" w:type="dxa"/>
            </w:tcMar>
            <w:vAlign w:val="center"/>
          </w:tcPr>
          <w:p w14:paraId="16BD2C0B" w14:textId="12CBED4B" w:rsidR="00F93B95" w:rsidRPr="00CE3053" w:rsidRDefault="00F93B95" w:rsidP="006E26B2">
            <w:pPr>
              <w:spacing w:after="0" w:line="240" w:lineRule="auto"/>
              <w:jc w:val="right"/>
              <w:rPr>
                <w:rFonts w:ascii="Arial" w:hAnsi="Arial" w:cs="Arial"/>
                <w:b/>
                <w:bCs/>
                <w:color w:val="000000"/>
                <w:lang w:val="mk-MK"/>
              </w:rPr>
            </w:pPr>
            <w:r w:rsidRPr="001E6526">
              <w:rPr>
                <w:rFonts w:ascii="Arial" w:hAnsi="Arial" w:cs="Arial"/>
                <w:b/>
                <w:bCs/>
                <w:color w:val="000000"/>
                <w:lang w:val="mk-MK"/>
              </w:rPr>
              <w:t>1,</w:t>
            </w:r>
            <w:r w:rsidR="00744D1A" w:rsidRPr="001E6526">
              <w:rPr>
                <w:rFonts w:ascii="Arial" w:hAnsi="Arial" w:cs="Arial"/>
                <w:b/>
                <w:bCs/>
                <w:color w:val="000000"/>
                <w:lang w:val="mk-MK"/>
              </w:rPr>
              <w:t>262</w:t>
            </w:r>
          </w:p>
        </w:tc>
      </w:tr>
    </w:tbl>
    <w:p w14:paraId="6CEA2273" w14:textId="2F859E7D" w:rsidR="00F93B95" w:rsidRPr="00CE3053" w:rsidRDefault="00F93B95" w:rsidP="00F93B95">
      <w:pPr>
        <w:pStyle w:val="NumberedHeading1"/>
        <w:numPr>
          <w:ilvl w:val="0"/>
          <w:numId w:val="0"/>
        </w:numPr>
        <w:spacing w:before="0" w:after="0" w:line="260" w:lineRule="atLeast"/>
        <w:ind w:left="360"/>
        <w:rPr>
          <w:rFonts w:ascii="Arial" w:hAnsi="Arial" w:cs="Arial"/>
          <w:b/>
          <w:color w:val="4F2D7F"/>
          <w:sz w:val="18"/>
          <w:lang w:val="mk-MK"/>
        </w:rPr>
      </w:pPr>
    </w:p>
    <w:p w14:paraId="7279CDFD" w14:textId="0C187928" w:rsidR="00A12CF7" w:rsidRPr="00CE3053" w:rsidRDefault="004943AB" w:rsidP="00A12CF7">
      <w:pPr>
        <w:pStyle w:val="NumberedHeading1"/>
        <w:numPr>
          <w:ilvl w:val="0"/>
          <w:numId w:val="22"/>
        </w:numPr>
        <w:spacing w:before="0" w:after="0" w:line="260" w:lineRule="atLeast"/>
        <w:rPr>
          <w:rFonts w:ascii="Arial" w:hAnsi="Arial" w:cs="Arial"/>
          <w:b/>
          <w:color w:val="4F2D7F"/>
          <w:sz w:val="18"/>
          <w:lang w:val="mk-MK"/>
        </w:rPr>
      </w:pPr>
      <w:r>
        <w:rPr>
          <w:rFonts w:ascii="Arial" w:hAnsi="Arial" w:cs="Arial"/>
          <w:b/>
          <w:color w:val="4F2D7F"/>
          <w:sz w:val="18"/>
          <w:lang w:val="en-US"/>
        </w:rPr>
        <w:t xml:space="preserve">Commitments and </w:t>
      </w:r>
      <w:proofErr w:type="spellStart"/>
      <w:r>
        <w:rPr>
          <w:rFonts w:ascii="Arial" w:hAnsi="Arial" w:cs="Arial"/>
          <w:b/>
          <w:color w:val="4F2D7F"/>
          <w:sz w:val="18"/>
          <w:lang w:val="en-US"/>
        </w:rPr>
        <w:t>contigencies</w:t>
      </w:r>
      <w:proofErr w:type="spellEnd"/>
    </w:p>
    <w:p w14:paraId="45E04990" w14:textId="77777777" w:rsidR="00A12CF7" w:rsidRPr="00CE3053" w:rsidRDefault="00A12CF7" w:rsidP="00A12CF7">
      <w:pPr>
        <w:pStyle w:val="BodyText"/>
        <w:spacing w:after="0" w:line="240" w:lineRule="auto"/>
        <w:jc w:val="both"/>
        <w:rPr>
          <w:rFonts w:ascii="Arial" w:hAnsi="Arial" w:cs="Arial"/>
          <w:i/>
          <w:lang w:val="mk-MK"/>
        </w:rPr>
      </w:pPr>
    </w:p>
    <w:p w14:paraId="4872ED75" w14:textId="0BF60FCB" w:rsidR="00A12CF7" w:rsidRPr="004943AB" w:rsidRDefault="004943AB" w:rsidP="00A12CF7">
      <w:pPr>
        <w:pStyle w:val="BodyText"/>
        <w:spacing w:after="0" w:line="240" w:lineRule="auto"/>
        <w:jc w:val="both"/>
        <w:rPr>
          <w:rFonts w:ascii="Arial" w:hAnsi="Arial" w:cs="Arial"/>
          <w:i/>
          <w:lang w:val="en-US"/>
        </w:rPr>
      </w:pPr>
      <w:r>
        <w:rPr>
          <w:rFonts w:ascii="Arial" w:hAnsi="Arial" w:cs="Arial"/>
          <w:i/>
          <w:lang w:val="en-US"/>
        </w:rPr>
        <w:t xml:space="preserve">Litigations </w:t>
      </w:r>
    </w:p>
    <w:p w14:paraId="7C0C7AAA" w14:textId="1C398F7B" w:rsidR="00A12CF7" w:rsidRPr="00CE3053" w:rsidRDefault="004943AB" w:rsidP="00A12CF7">
      <w:pPr>
        <w:pStyle w:val="BodyText"/>
        <w:jc w:val="both"/>
        <w:rPr>
          <w:rFonts w:ascii="Arial" w:hAnsi="Arial" w:cs="Arial"/>
          <w:lang w:val="mk-MK"/>
        </w:rPr>
      </w:pPr>
      <w:proofErr w:type="spellStart"/>
      <w:r w:rsidRPr="004943AB">
        <w:rPr>
          <w:rFonts w:ascii="Arial" w:hAnsi="Arial" w:cs="Arial"/>
          <w:lang w:val="mk-MK"/>
        </w:rPr>
        <w:t>As</w:t>
      </w:r>
      <w:proofErr w:type="spellEnd"/>
      <w:r w:rsidRPr="004943AB">
        <w:rPr>
          <w:rFonts w:ascii="Arial" w:hAnsi="Arial" w:cs="Arial"/>
          <w:lang w:val="mk-MK"/>
        </w:rPr>
        <w:t xml:space="preserve"> </w:t>
      </w:r>
      <w:proofErr w:type="spellStart"/>
      <w:r w:rsidRPr="004943AB">
        <w:rPr>
          <w:rFonts w:ascii="Arial" w:hAnsi="Arial" w:cs="Arial"/>
          <w:lang w:val="mk-MK"/>
        </w:rPr>
        <w:t>of</w:t>
      </w:r>
      <w:proofErr w:type="spellEnd"/>
      <w:r w:rsidRPr="004943AB">
        <w:rPr>
          <w:rFonts w:ascii="Arial" w:hAnsi="Arial" w:cs="Arial"/>
          <w:lang w:val="mk-MK"/>
        </w:rPr>
        <w:t xml:space="preserve"> 31 </w:t>
      </w:r>
      <w:proofErr w:type="spellStart"/>
      <w:r w:rsidRPr="004943AB">
        <w:rPr>
          <w:rFonts w:ascii="Arial" w:hAnsi="Arial" w:cs="Arial"/>
          <w:lang w:val="mk-MK"/>
        </w:rPr>
        <w:t>December</w:t>
      </w:r>
      <w:proofErr w:type="spellEnd"/>
      <w:r w:rsidRPr="004943AB">
        <w:rPr>
          <w:rFonts w:ascii="Arial" w:hAnsi="Arial" w:cs="Arial"/>
          <w:lang w:val="mk-MK"/>
        </w:rPr>
        <w:t xml:space="preserve"> 202</w:t>
      </w:r>
      <w:r w:rsidR="005662E1">
        <w:rPr>
          <w:rFonts w:ascii="Arial" w:hAnsi="Arial" w:cs="Arial"/>
          <w:lang w:val="en-US"/>
        </w:rPr>
        <w:t>1</w:t>
      </w:r>
      <w:r w:rsidRPr="004943AB">
        <w:rPr>
          <w:rFonts w:ascii="Arial" w:hAnsi="Arial" w:cs="Arial"/>
          <w:lang w:val="mk-MK"/>
        </w:rPr>
        <w:t xml:space="preserve"> </w:t>
      </w:r>
      <w:proofErr w:type="spellStart"/>
      <w:r w:rsidRPr="004943AB">
        <w:rPr>
          <w:rFonts w:ascii="Arial" w:hAnsi="Arial" w:cs="Arial"/>
          <w:lang w:val="mk-MK"/>
        </w:rPr>
        <w:t>and</w:t>
      </w:r>
      <w:proofErr w:type="spellEnd"/>
      <w:r w:rsidRPr="004943AB">
        <w:rPr>
          <w:rFonts w:ascii="Arial" w:hAnsi="Arial" w:cs="Arial"/>
          <w:lang w:val="mk-MK"/>
        </w:rPr>
        <w:t xml:space="preserve"> 20</w:t>
      </w:r>
      <w:r w:rsidR="005662E1">
        <w:rPr>
          <w:rFonts w:ascii="Arial" w:hAnsi="Arial" w:cs="Arial"/>
          <w:lang w:val="en-US"/>
        </w:rPr>
        <w:t>20</w:t>
      </w:r>
      <w:r w:rsidRPr="004943AB">
        <w:rPr>
          <w:rFonts w:ascii="Arial" w:hAnsi="Arial" w:cs="Arial"/>
          <w:lang w:val="mk-MK"/>
        </w:rPr>
        <w:t xml:space="preserve">, </w:t>
      </w:r>
      <w:proofErr w:type="spellStart"/>
      <w:r w:rsidRPr="004943AB">
        <w:rPr>
          <w:rFonts w:ascii="Arial" w:hAnsi="Arial" w:cs="Arial"/>
          <w:lang w:val="mk-MK"/>
        </w:rPr>
        <w:t>there</w:t>
      </w:r>
      <w:proofErr w:type="spellEnd"/>
      <w:r w:rsidRPr="004943AB">
        <w:rPr>
          <w:rFonts w:ascii="Arial" w:hAnsi="Arial" w:cs="Arial"/>
          <w:lang w:val="mk-MK"/>
        </w:rPr>
        <w:t xml:space="preserve"> </w:t>
      </w:r>
      <w:proofErr w:type="spellStart"/>
      <w:r w:rsidRPr="004943AB">
        <w:rPr>
          <w:rFonts w:ascii="Arial" w:hAnsi="Arial" w:cs="Arial"/>
          <w:lang w:val="mk-MK"/>
        </w:rPr>
        <w:t>are</w:t>
      </w:r>
      <w:proofErr w:type="spellEnd"/>
      <w:r w:rsidRPr="004943AB">
        <w:rPr>
          <w:rFonts w:ascii="Arial" w:hAnsi="Arial" w:cs="Arial"/>
          <w:lang w:val="mk-MK"/>
        </w:rPr>
        <w:t xml:space="preserve"> </w:t>
      </w:r>
      <w:proofErr w:type="spellStart"/>
      <w:r w:rsidRPr="004943AB">
        <w:rPr>
          <w:rFonts w:ascii="Arial" w:hAnsi="Arial" w:cs="Arial"/>
          <w:lang w:val="mk-MK"/>
        </w:rPr>
        <w:t>no</w:t>
      </w:r>
      <w:proofErr w:type="spellEnd"/>
      <w:r w:rsidRPr="004943AB">
        <w:rPr>
          <w:rFonts w:ascii="Arial" w:hAnsi="Arial" w:cs="Arial"/>
          <w:lang w:val="mk-MK"/>
        </w:rPr>
        <w:t xml:space="preserve"> </w:t>
      </w:r>
      <w:proofErr w:type="spellStart"/>
      <w:r w:rsidRPr="004943AB">
        <w:rPr>
          <w:rFonts w:ascii="Arial" w:hAnsi="Arial" w:cs="Arial"/>
          <w:lang w:val="mk-MK"/>
        </w:rPr>
        <w:t>provisions</w:t>
      </w:r>
      <w:proofErr w:type="spellEnd"/>
      <w:r w:rsidRPr="004943AB">
        <w:rPr>
          <w:rFonts w:ascii="Arial" w:hAnsi="Arial" w:cs="Arial"/>
          <w:lang w:val="mk-MK"/>
        </w:rPr>
        <w:t xml:space="preserve"> </w:t>
      </w:r>
      <w:proofErr w:type="spellStart"/>
      <w:r w:rsidRPr="004943AB">
        <w:rPr>
          <w:rFonts w:ascii="Arial" w:hAnsi="Arial" w:cs="Arial"/>
          <w:lang w:val="mk-MK"/>
        </w:rPr>
        <w:t>recorded</w:t>
      </w:r>
      <w:proofErr w:type="spellEnd"/>
      <w:r w:rsidRPr="004943AB">
        <w:rPr>
          <w:rFonts w:ascii="Arial" w:hAnsi="Arial" w:cs="Arial"/>
          <w:lang w:val="mk-MK"/>
        </w:rPr>
        <w:t xml:space="preserve"> </w:t>
      </w:r>
      <w:proofErr w:type="spellStart"/>
      <w:r w:rsidRPr="004943AB">
        <w:rPr>
          <w:rFonts w:ascii="Arial" w:hAnsi="Arial" w:cs="Arial"/>
          <w:lang w:val="mk-MK"/>
        </w:rPr>
        <w:t>for</w:t>
      </w:r>
      <w:proofErr w:type="spellEnd"/>
      <w:r w:rsidRPr="004943AB">
        <w:rPr>
          <w:rFonts w:ascii="Arial" w:hAnsi="Arial" w:cs="Arial"/>
          <w:lang w:val="mk-MK"/>
        </w:rPr>
        <w:t xml:space="preserve"> </w:t>
      </w:r>
      <w:proofErr w:type="spellStart"/>
      <w:r w:rsidRPr="004943AB">
        <w:rPr>
          <w:rFonts w:ascii="Arial" w:hAnsi="Arial" w:cs="Arial"/>
          <w:lang w:val="mk-MK"/>
        </w:rPr>
        <w:t>potential</w:t>
      </w:r>
      <w:proofErr w:type="spellEnd"/>
      <w:r w:rsidRPr="004943AB">
        <w:rPr>
          <w:rFonts w:ascii="Arial" w:hAnsi="Arial" w:cs="Arial"/>
          <w:lang w:val="mk-MK"/>
        </w:rPr>
        <w:t xml:space="preserve"> </w:t>
      </w:r>
      <w:proofErr w:type="spellStart"/>
      <w:r w:rsidRPr="004943AB">
        <w:rPr>
          <w:rFonts w:ascii="Arial" w:hAnsi="Arial" w:cs="Arial"/>
          <w:lang w:val="mk-MK"/>
        </w:rPr>
        <w:t>losses</w:t>
      </w:r>
      <w:proofErr w:type="spellEnd"/>
      <w:r w:rsidRPr="004943AB">
        <w:rPr>
          <w:rFonts w:ascii="Arial" w:hAnsi="Arial" w:cs="Arial"/>
          <w:lang w:val="mk-MK"/>
        </w:rPr>
        <w:t xml:space="preserve"> </w:t>
      </w:r>
      <w:proofErr w:type="spellStart"/>
      <w:r w:rsidRPr="004943AB">
        <w:rPr>
          <w:rFonts w:ascii="Arial" w:hAnsi="Arial" w:cs="Arial"/>
          <w:lang w:val="mk-MK"/>
        </w:rPr>
        <w:t>from</w:t>
      </w:r>
      <w:proofErr w:type="spellEnd"/>
      <w:r w:rsidRPr="004943AB">
        <w:rPr>
          <w:rFonts w:ascii="Arial" w:hAnsi="Arial" w:cs="Arial"/>
          <w:lang w:val="mk-MK"/>
        </w:rPr>
        <w:t xml:space="preserve"> </w:t>
      </w:r>
      <w:proofErr w:type="spellStart"/>
      <w:r w:rsidRPr="004943AB">
        <w:rPr>
          <w:rFonts w:ascii="Arial" w:hAnsi="Arial" w:cs="Arial"/>
          <w:lang w:val="mk-MK"/>
        </w:rPr>
        <w:t>legal</w:t>
      </w:r>
      <w:proofErr w:type="spellEnd"/>
      <w:r w:rsidRPr="004943AB">
        <w:rPr>
          <w:rFonts w:ascii="Arial" w:hAnsi="Arial" w:cs="Arial"/>
          <w:lang w:val="mk-MK"/>
        </w:rPr>
        <w:t xml:space="preserve"> </w:t>
      </w:r>
      <w:proofErr w:type="spellStart"/>
      <w:r w:rsidRPr="004943AB">
        <w:rPr>
          <w:rFonts w:ascii="Arial" w:hAnsi="Arial" w:cs="Arial"/>
          <w:lang w:val="mk-MK"/>
        </w:rPr>
        <w:t>proceedings</w:t>
      </w:r>
      <w:proofErr w:type="spellEnd"/>
      <w:r w:rsidRPr="004943AB">
        <w:rPr>
          <w:rFonts w:ascii="Arial" w:hAnsi="Arial" w:cs="Arial"/>
          <w:lang w:val="mk-MK"/>
        </w:rPr>
        <w:t xml:space="preserve">. </w:t>
      </w:r>
      <w:proofErr w:type="spellStart"/>
      <w:r w:rsidRPr="004943AB">
        <w:rPr>
          <w:rFonts w:ascii="Arial" w:hAnsi="Arial" w:cs="Arial"/>
          <w:lang w:val="mk-MK"/>
        </w:rPr>
        <w:t>Fund’s</w:t>
      </w:r>
      <w:proofErr w:type="spellEnd"/>
      <w:r w:rsidRPr="004943AB">
        <w:rPr>
          <w:rFonts w:ascii="Arial" w:hAnsi="Arial" w:cs="Arial"/>
          <w:lang w:val="mk-MK"/>
        </w:rPr>
        <w:t xml:space="preserve"> </w:t>
      </w:r>
      <w:proofErr w:type="spellStart"/>
      <w:r w:rsidRPr="004943AB">
        <w:rPr>
          <w:rFonts w:ascii="Arial" w:hAnsi="Arial" w:cs="Arial"/>
          <w:lang w:val="mk-MK"/>
        </w:rPr>
        <w:t>Management</w:t>
      </w:r>
      <w:proofErr w:type="spellEnd"/>
      <w:r w:rsidRPr="004943AB">
        <w:rPr>
          <w:rFonts w:ascii="Arial" w:hAnsi="Arial" w:cs="Arial"/>
          <w:lang w:val="mk-MK"/>
        </w:rPr>
        <w:t xml:space="preserve"> </w:t>
      </w:r>
      <w:proofErr w:type="spellStart"/>
      <w:r w:rsidRPr="004943AB">
        <w:rPr>
          <w:rFonts w:ascii="Arial" w:hAnsi="Arial" w:cs="Arial"/>
          <w:lang w:val="mk-MK"/>
        </w:rPr>
        <w:t>regularly</w:t>
      </w:r>
      <w:proofErr w:type="spellEnd"/>
      <w:r w:rsidRPr="004943AB">
        <w:rPr>
          <w:rFonts w:ascii="Arial" w:hAnsi="Arial" w:cs="Arial"/>
          <w:lang w:val="mk-MK"/>
        </w:rPr>
        <w:t xml:space="preserve"> </w:t>
      </w:r>
      <w:proofErr w:type="spellStart"/>
      <w:r w:rsidRPr="004943AB">
        <w:rPr>
          <w:rFonts w:ascii="Arial" w:hAnsi="Arial" w:cs="Arial"/>
          <w:lang w:val="mk-MK"/>
        </w:rPr>
        <w:t>monitors</w:t>
      </w:r>
      <w:proofErr w:type="spellEnd"/>
      <w:r w:rsidRPr="004943AB">
        <w:rPr>
          <w:rFonts w:ascii="Arial" w:hAnsi="Arial" w:cs="Arial"/>
          <w:lang w:val="mk-MK"/>
        </w:rPr>
        <w:t xml:space="preserve"> </w:t>
      </w:r>
      <w:proofErr w:type="spellStart"/>
      <w:r w:rsidRPr="004943AB">
        <w:rPr>
          <w:rFonts w:ascii="Arial" w:hAnsi="Arial" w:cs="Arial"/>
          <w:lang w:val="mk-MK"/>
        </w:rPr>
        <w:t>all</w:t>
      </w:r>
      <w:proofErr w:type="spellEnd"/>
      <w:r w:rsidRPr="004943AB">
        <w:rPr>
          <w:rFonts w:ascii="Arial" w:hAnsi="Arial" w:cs="Arial"/>
          <w:lang w:val="mk-MK"/>
        </w:rPr>
        <w:t xml:space="preserve"> </w:t>
      </w:r>
      <w:proofErr w:type="spellStart"/>
      <w:r w:rsidRPr="004943AB">
        <w:rPr>
          <w:rFonts w:ascii="Arial" w:hAnsi="Arial" w:cs="Arial"/>
          <w:lang w:val="mk-MK"/>
        </w:rPr>
        <w:t>the</w:t>
      </w:r>
      <w:proofErr w:type="spellEnd"/>
      <w:r w:rsidRPr="004943AB">
        <w:rPr>
          <w:rFonts w:ascii="Arial" w:hAnsi="Arial" w:cs="Arial"/>
          <w:lang w:val="mk-MK"/>
        </w:rPr>
        <w:t xml:space="preserve"> </w:t>
      </w:r>
      <w:proofErr w:type="spellStart"/>
      <w:r w:rsidRPr="004943AB">
        <w:rPr>
          <w:rFonts w:ascii="Arial" w:hAnsi="Arial" w:cs="Arial"/>
          <w:lang w:val="mk-MK"/>
        </w:rPr>
        <w:t>possible</w:t>
      </w:r>
      <w:proofErr w:type="spellEnd"/>
      <w:r w:rsidRPr="004943AB">
        <w:rPr>
          <w:rFonts w:ascii="Arial" w:hAnsi="Arial" w:cs="Arial"/>
          <w:lang w:val="mk-MK"/>
        </w:rPr>
        <w:t xml:space="preserve"> </w:t>
      </w:r>
      <w:proofErr w:type="spellStart"/>
      <w:r w:rsidRPr="004943AB">
        <w:rPr>
          <w:rFonts w:ascii="Arial" w:hAnsi="Arial" w:cs="Arial"/>
          <w:lang w:val="mk-MK"/>
        </w:rPr>
        <w:t>losses</w:t>
      </w:r>
      <w:proofErr w:type="spellEnd"/>
      <w:r w:rsidRPr="004943AB">
        <w:rPr>
          <w:rFonts w:ascii="Arial" w:hAnsi="Arial" w:cs="Arial"/>
          <w:lang w:val="mk-MK"/>
        </w:rPr>
        <w:t xml:space="preserve">, </w:t>
      </w:r>
      <w:proofErr w:type="spellStart"/>
      <w:r w:rsidRPr="004943AB">
        <w:rPr>
          <w:rFonts w:ascii="Arial" w:hAnsi="Arial" w:cs="Arial"/>
          <w:lang w:val="mk-MK"/>
        </w:rPr>
        <w:t>which</w:t>
      </w:r>
      <w:proofErr w:type="spellEnd"/>
      <w:r w:rsidRPr="004943AB">
        <w:rPr>
          <w:rFonts w:ascii="Arial" w:hAnsi="Arial" w:cs="Arial"/>
          <w:lang w:val="mk-MK"/>
        </w:rPr>
        <w:t xml:space="preserve"> </w:t>
      </w:r>
      <w:proofErr w:type="spellStart"/>
      <w:r w:rsidRPr="004943AB">
        <w:rPr>
          <w:rFonts w:ascii="Arial" w:hAnsi="Arial" w:cs="Arial"/>
          <w:lang w:val="mk-MK"/>
        </w:rPr>
        <w:t>may</w:t>
      </w:r>
      <w:proofErr w:type="spellEnd"/>
      <w:r w:rsidRPr="004943AB">
        <w:rPr>
          <w:rFonts w:ascii="Arial" w:hAnsi="Arial" w:cs="Arial"/>
          <w:lang w:val="mk-MK"/>
        </w:rPr>
        <w:t xml:space="preserve"> </w:t>
      </w:r>
      <w:proofErr w:type="spellStart"/>
      <w:r w:rsidRPr="004943AB">
        <w:rPr>
          <w:rFonts w:ascii="Arial" w:hAnsi="Arial" w:cs="Arial"/>
          <w:lang w:val="mk-MK"/>
        </w:rPr>
        <w:t>occur</w:t>
      </w:r>
      <w:proofErr w:type="spellEnd"/>
      <w:r w:rsidRPr="004943AB">
        <w:rPr>
          <w:rFonts w:ascii="Arial" w:hAnsi="Arial" w:cs="Arial"/>
          <w:lang w:val="mk-MK"/>
        </w:rPr>
        <w:t xml:space="preserve"> </w:t>
      </w:r>
      <w:proofErr w:type="spellStart"/>
      <w:r w:rsidRPr="004943AB">
        <w:rPr>
          <w:rFonts w:ascii="Arial" w:hAnsi="Arial" w:cs="Arial"/>
          <w:lang w:val="mk-MK"/>
        </w:rPr>
        <w:t>in</w:t>
      </w:r>
      <w:proofErr w:type="spellEnd"/>
      <w:r w:rsidRPr="004943AB">
        <w:rPr>
          <w:rFonts w:ascii="Arial" w:hAnsi="Arial" w:cs="Arial"/>
          <w:lang w:val="mk-MK"/>
        </w:rPr>
        <w:t xml:space="preserve"> </w:t>
      </w:r>
      <w:proofErr w:type="spellStart"/>
      <w:r w:rsidRPr="004943AB">
        <w:rPr>
          <w:rFonts w:ascii="Arial" w:hAnsi="Arial" w:cs="Arial"/>
          <w:lang w:val="mk-MK"/>
        </w:rPr>
        <w:t>the</w:t>
      </w:r>
      <w:proofErr w:type="spellEnd"/>
      <w:r w:rsidRPr="004943AB">
        <w:rPr>
          <w:rFonts w:ascii="Arial" w:hAnsi="Arial" w:cs="Arial"/>
          <w:lang w:val="mk-MK"/>
        </w:rPr>
        <w:t xml:space="preserve"> </w:t>
      </w:r>
      <w:proofErr w:type="spellStart"/>
      <w:r w:rsidRPr="004943AB">
        <w:rPr>
          <w:rFonts w:ascii="Arial" w:hAnsi="Arial" w:cs="Arial"/>
          <w:lang w:val="mk-MK"/>
        </w:rPr>
        <w:t>future</w:t>
      </w:r>
      <w:proofErr w:type="spellEnd"/>
      <w:r w:rsidRPr="004943AB">
        <w:rPr>
          <w:rFonts w:ascii="Arial" w:hAnsi="Arial" w:cs="Arial"/>
          <w:lang w:val="mk-MK"/>
        </w:rPr>
        <w:t xml:space="preserve">, </w:t>
      </w:r>
      <w:proofErr w:type="spellStart"/>
      <w:r w:rsidRPr="004943AB">
        <w:rPr>
          <w:rFonts w:ascii="Arial" w:hAnsi="Arial" w:cs="Arial"/>
          <w:lang w:val="mk-MK"/>
        </w:rPr>
        <w:t>due</w:t>
      </w:r>
      <w:proofErr w:type="spellEnd"/>
      <w:r w:rsidRPr="004943AB">
        <w:rPr>
          <w:rFonts w:ascii="Arial" w:hAnsi="Arial" w:cs="Arial"/>
          <w:lang w:val="mk-MK"/>
        </w:rPr>
        <w:t xml:space="preserve"> </w:t>
      </w:r>
      <w:proofErr w:type="spellStart"/>
      <w:r w:rsidRPr="004943AB">
        <w:rPr>
          <w:rFonts w:ascii="Arial" w:hAnsi="Arial" w:cs="Arial"/>
          <w:lang w:val="mk-MK"/>
        </w:rPr>
        <w:t>to</w:t>
      </w:r>
      <w:proofErr w:type="spellEnd"/>
      <w:r w:rsidRPr="004943AB">
        <w:rPr>
          <w:rFonts w:ascii="Arial" w:hAnsi="Arial" w:cs="Arial"/>
          <w:lang w:val="mk-MK"/>
        </w:rPr>
        <w:t xml:space="preserve"> </w:t>
      </w:r>
      <w:proofErr w:type="spellStart"/>
      <w:r w:rsidRPr="004943AB">
        <w:rPr>
          <w:rFonts w:ascii="Arial" w:hAnsi="Arial" w:cs="Arial"/>
          <w:lang w:val="mk-MK"/>
        </w:rPr>
        <w:t>legal</w:t>
      </w:r>
      <w:proofErr w:type="spellEnd"/>
      <w:r w:rsidRPr="004943AB">
        <w:rPr>
          <w:rFonts w:ascii="Arial" w:hAnsi="Arial" w:cs="Arial"/>
          <w:lang w:val="mk-MK"/>
        </w:rPr>
        <w:t xml:space="preserve"> </w:t>
      </w:r>
      <w:proofErr w:type="spellStart"/>
      <w:r w:rsidRPr="004943AB">
        <w:rPr>
          <w:rFonts w:ascii="Arial" w:hAnsi="Arial" w:cs="Arial"/>
          <w:lang w:val="mk-MK"/>
        </w:rPr>
        <w:t>proceedings</w:t>
      </w:r>
      <w:proofErr w:type="spellEnd"/>
      <w:r w:rsidRPr="004943AB">
        <w:rPr>
          <w:rFonts w:ascii="Arial" w:hAnsi="Arial" w:cs="Arial"/>
          <w:lang w:val="mk-MK"/>
        </w:rPr>
        <w:t xml:space="preserve"> </w:t>
      </w:r>
      <w:proofErr w:type="spellStart"/>
      <w:r w:rsidRPr="004943AB">
        <w:rPr>
          <w:rFonts w:ascii="Arial" w:hAnsi="Arial" w:cs="Arial"/>
          <w:lang w:val="mk-MK"/>
        </w:rPr>
        <w:t>and</w:t>
      </w:r>
      <w:proofErr w:type="spellEnd"/>
      <w:r w:rsidRPr="004943AB">
        <w:rPr>
          <w:rFonts w:ascii="Arial" w:hAnsi="Arial" w:cs="Arial"/>
          <w:lang w:val="mk-MK"/>
        </w:rPr>
        <w:t xml:space="preserve"> </w:t>
      </w:r>
      <w:proofErr w:type="spellStart"/>
      <w:r w:rsidRPr="004943AB">
        <w:rPr>
          <w:rFonts w:ascii="Arial" w:hAnsi="Arial" w:cs="Arial"/>
          <w:lang w:val="mk-MK"/>
        </w:rPr>
        <w:t>claims</w:t>
      </w:r>
      <w:proofErr w:type="spellEnd"/>
      <w:r w:rsidRPr="004943AB">
        <w:rPr>
          <w:rFonts w:ascii="Arial" w:hAnsi="Arial" w:cs="Arial"/>
          <w:lang w:val="mk-MK"/>
        </w:rPr>
        <w:t xml:space="preserve"> </w:t>
      </w:r>
      <w:proofErr w:type="spellStart"/>
      <w:r w:rsidRPr="004943AB">
        <w:rPr>
          <w:rFonts w:ascii="Arial" w:hAnsi="Arial" w:cs="Arial"/>
          <w:lang w:val="mk-MK"/>
        </w:rPr>
        <w:t>against</w:t>
      </w:r>
      <w:proofErr w:type="spellEnd"/>
      <w:r w:rsidRPr="004943AB">
        <w:rPr>
          <w:rFonts w:ascii="Arial" w:hAnsi="Arial" w:cs="Arial"/>
          <w:lang w:val="mk-MK"/>
        </w:rPr>
        <w:t xml:space="preserve"> </w:t>
      </w:r>
      <w:proofErr w:type="spellStart"/>
      <w:r w:rsidRPr="004943AB">
        <w:rPr>
          <w:rFonts w:ascii="Arial" w:hAnsi="Arial" w:cs="Arial"/>
          <w:lang w:val="mk-MK"/>
        </w:rPr>
        <w:t>the</w:t>
      </w:r>
      <w:proofErr w:type="spellEnd"/>
      <w:r w:rsidRPr="004943AB">
        <w:rPr>
          <w:rFonts w:ascii="Arial" w:hAnsi="Arial" w:cs="Arial"/>
          <w:lang w:val="mk-MK"/>
        </w:rPr>
        <w:t xml:space="preserve"> </w:t>
      </w:r>
      <w:proofErr w:type="spellStart"/>
      <w:r w:rsidRPr="004943AB">
        <w:rPr>
          <w:rFonts w:ascii="Arial" w:hAnsi="Arial" w:cs="Arial"/>
          <w:lang w:val="mk-MK"/>
        </w:rPr>
        <w:t>Fund</w:t>
      </w:r>
      <w:proofErr w:type="spellEnd"/>
      <w:r w:rsidR="00A12CF7" w:rsidRPr="00CE3053">
        <w:rPr>
          <w:rFonts w:ascii="Arial" w:hAnsi="Arial" w:cs="Arial"/>
          <w:lang w:val="mk-MK"/>
        </w:rPr>
        <w:t>.</w:t>
      </w:r>
    </w:p>
    <w:p w14:paraId="05CAD1CF" w14:textId="61BDB883" w:rsidR="00A12CF7" w:rsidRPr="004943AB" w:rsidRDefault="004943AB" w:rsidP="00A12CF7">
      <w:pPr>
        <w:pStyle w:val="BodyText"/>
        <w:spacing w:after="0" w:line="240" w:lineRule="auto"/>
        <w:jc w:val="both"/>
        <w:rPr>
          <w:rFonts w:ascii="Arial" w:hAnsi="Arial" w:cs="Arial"/>
          <w:i/>
          <w:lang w:val="en-US"/>
        </w:rPr>
      </w:pPr>
      <w:r>
        <w:rPr>
          <w:rFonts w:ascii="Arial" w:hAnsi="Arial" w:cs="Arial"/>
          <w:i/>
          <w:lang w:val="en-US"/>
        </w:rPr>
        <w:t>Taxation</w:t>
      </w:r>
    </w:p>
    <w:p w14:paraId="50DFA407" w14:textId="333A0A10" w:rsidR="00A12CF7" w:rsidRPr="00CE3053" w:rsidRDefault="004943AB" w:rsidP="00A12CF7">
      <w:pPr>
        <w:pStyle w:val="BodyText"/>
        <w:jc w:val="both"/>
        <w:rPr>
          <w:rFonts w:ascii="Arial" w:hAnsi="Arial" w:cs="Arial"/>
          <w:lang w:val="mk-MK"/>
        </w:rPr>
      </w:pPr>
      <w:proofErr w:type="spellStart"/>
      <w:r w:rsidRPr="004943AB">
        <w:rPr>
          <w:rFonts w:ascii="Arial" w:hAnsi="Arial" w:cs="Arial"/>
          <w:lang w:val="mk-MK"/>
        </w:rPr>
        <w:t>The</w:t>
      </w:r>
      <w:proofErr w:type="spellEnd"/>
      <w:r w:rsidRPr="004943AB">
        <w:rPr>
          <w:rFonts w:ascii="Arial" w:hAnsi="Arial" w:cs="Arial"/>
          <w:lang w:val="mk-MK"/>
        </w:rPr>
        <w:t xml:space="preserve"> </w:t>
      </w:r>
      <w:proofErr w:type="spellStart"/>
      <w:r w:rsidRPr="004943AB">
        <w:rPr>
          <w:rFonts w:ascii="Arial" w:hAnsi="Arial" w:cs="Arial"/>
          <w:lang w:val="mk-MK"/>
        </w:rPr>
        <w:t>tax</w:t>
      </w:r>
      <w:proofErr w:type="spellEnd"/>
      <w:r w:rsidRPr="004943AB">
        <w:rPr>
          <w:rFonts w:ascii="Arial" w:hAnsi="Arial" w:cs="Arial"/>
          <w:lang w:val="mk-MK"/>
        </w:rPr>
        <w:t xml:space="preserve"> </w:t>
      </w:r>
      <w:proofErr w:type="spellStart"/>
      <w:r w:rsidRPr="004943AB">
        <w:rPr>
          <w:rFonts w:ascii="Arial" w:hAnsi="Arial" w:cs="Arial"/>
          <w:lang w:val="mk-MK"/>
        </w:rPr>
        <w:t>authorities</w:t>
      </w:r>
      <w:proofErr w:type="spellEnd"/>
      <w:r w:rsidRPr="004943AB">
        <w:rPr>
          <w:rFonts w:ascii="Arial" w:hAnsi="Arial" w:cs="Arial"/>
          <w:lang w:val="mk-MK"/>
        </w:rPr>
        <w:t xml:space="preserve"> </w:t>
      </w:r>
      <w:proofErr w:type="spellStart"/>
      <w:r w:rsidRPr="004943AB">
        <w:rPr>
          <w:rFonts w:ascii="Arial" w:hAnsi="Arial" w:cs="Arial"/>
          <w:lang w:val="mk-MK"/>
        </w:rPr>
        <w:t>may</w:t>
      </w:r>
      <w:proofErr w:type="spellEnd"/>
      <w:r w:rsidRPr="004943AB">
        <w:rPr>
          <w:rFonts w:ascii="Arial" w:hAnsi="Arial" w:cs="Arial"/>
          <w:lang w:val="mk-MK"/>
        </w:rPr>
        <w:t xml:space="preserve"> </w:t>
      </w:r>
      <w:proofErr w:type="spellStart"/>
      <w:r w:rsidRPr="004943AB">
        <w:rPr>
          <w:rFonts w:ascii="Arial" w:hAnsi="Arial" w:cs="Arial"/>
          <w:lang w:val="mk-MK"/>
        </w:rPr>
        <w:t>at</w:t>
      </w:r>
      <w:proofErr w:type="spellEnd"/>
      <w:r w:rsidRPr="004943AB">
        <w:rPr>
          <w:rFonts w:ascii="Arial" w:hAnsi="Arial" w:cs="Arial"/>
          <w:lang w:val="mk-MK"/>
        </w:rPr>
        <w:t xml:space="preserve"> </w:t>
      </w:r>
      <w:proofErr w:type="spellStart"/>
      <w:r w:rsidRPr="004943AB">
        <w:rPr>
          <w:rFonts w:ascii="Arial" w:hAnsi="Arial" w:cs="Arial"/>
          <w:lang w:val="mk-MK"/>
        </w:rPr>
        <w:t>any</w:t>
      </w:r>
      <w:proofErr w:type="spellEnd"/>
      <w:r w:rsidRPr="004943AB">
        <w:rPr>
          <w:rFonts w:ascii="Arial" w:hAnsi="Arial" w:cs="Arial"/>
          <w:lang w:val="mk-MK"/>
        </w:rPr>
        <w:t xml:space="preserve"> </w:t>
      </w:r>
      <w:proofErr w:type="spellStart"/>
      <w:r w:rsidRPr="004943AB">
        <w:rPr>
          <w:rFonts w:ascii="Arial" w:hAnsi="Arial" w:cs="Arial"/>
          <w:lang w:val="mk-MK"/>
        </w:rPr>
        <w:t>time</w:t>
      </w:r>
      <w:proofErr w:type="spellEnd"/>
      <w:r w:rsidRPr="004943AB">
        <w:rPr>
          <w:rFonts w:ascii="Arial" w:hAnsi="Arial" w:cs="Arial"/>
          <w:lang w:val="mk-MK"/>
        </w:rPr>
        <w:t xml:space="preserve"> </w:t>
      </w:r>
      <w:proofErr w:type="spellStart"/>
      <w:r w:rsidRPr="004943AB">
        <w:rPr>
          <w:rFonts w:ascii="Arial" w:hAnsi="Arial" w:cs="Arial"/>
          <w:lang w:val="mk-MK"/>
        </w:rPr>
        <w:t>inspect</w:t>
      </w:r>
      <w:proofErr w:type="spellEnd"/>
      <w:r w:rsidRPr="004943AB">
        <w:rPr>
          <w:rFonts w:ascii="Arial" w:hAnsi="Arial" w:cs="Arial"/>
          <w:lang w:val="mk-MK"/>
        </w:rPr>
        <w:t xml:space="preserve"> </w:t>
      </w:r>
      <w:proofErr w:type="spellStart"/>
      <w:r w:rsidRPr="004943AB">
        <w:rPr>
          <w:rFonts w:ascii="Arial" w:hAnsi="Arial" w:cs="Arial"/>
          <w:lang w:val="mk-MK"/>
        </w:rPr>
        <w:t>the</w:t>
      </w:r>
      <w:proofErr w:type="spellEnd"/>
      <w:r w:rsidRPr="004943AB">
        <w:rPr>
          <w:rFonts w:ascii="Arial" w:hAnsi="Arial" w:cs="Arial"/>
          <w:lang w:val="mk-MK"/>
        </w:rPr>
        <w:t xml:space="preserve"> </w:t>
      </w:r>
      <w:proofErr w:type="spellStart"/>
      <w:r w:rsidRPr="004943AB">
        <w:rPr>
          <w:rFonts w:ascii="Arial" w:hAnsi="Arial" w:cs="Arial"/>
          <w:lang w:val="mk-MK"/>
        </w:rPr>
        <w:t>books</w:t>
      </w:r>
      <w:proofErr w:type="spellEnd"/>
      <w:r w:rsidRPr="004943AB">
        <w:rPr>
          <w:rFonts w:ascii="Arial" w:hAnsi="Arial" w:cs="Arial"/>
          <w:lang w:val="mk-MK"/>
        </w:rPr>
        <w:t xml:space="preserve"> </w:t>
      </w:r>
      <w:proofErr w:type="spellStart"/>
      <w:r w:rsidRPr="004943AB">
        <w:rPr>
          <w:rFonts w:ascii="Arial" w:hAnsi="Arial" w:cs="Arial"/>
          <w:lang w:val="mk-MK"/>
        </w:rPr>
        <w:t>and</w:t>
      </w:r>
      <w:proofErr w:type="spellEnd"/>
      <w:r w:rsidRPr="004943AB">
        <w:rPr>
          <w:rFonts w:ascii="Arial" w:hAnsi="Arial" w:cs="Arial"/>
          <w:lang w:val="mk-MK"/>
        </w:rPr>
        <w:t xml:space="preserve"> </w:t>
      </w:r>
      <w:proofErr w:type="spellStart"/>
      <w:r w:rsidRPr="004943AB">
        <w:rPr>
          <w:rFonts w:ascii="Arial" w:hAnsi="Arial" w:cs="Arial"/>
          <w:lang w:val="mk-MK"/>
        </w:rPr>
        <w:t>records</w:t>
      </w:r>
      <w:proofErr w:type="spellEnd"/>
      <w:r w:rsidRPr="004943AB">
        <w:rPr>
          <w:rFonts w:ascii="Arial" w:hAnsi="Arial" w:cs="Arial"/>
          <w:lang w:val="mk-MK"/>
        </w:rPr>
        <w:t xml:space="preserve"> </w:t>
      </w:r>
      <w:proofErr w:type="spellStart"/>
      <w:r w:rsidRPr="004943AB">
        <w:rPr>
          <w:rFonts w:ascii="Arial" w:hAnsi="Arial" w:cs="Arial"/>
          <w:lang w:val="mk-MK"/>
        </w:rPr>
        <w:t>up</w:t>
      </w:r>
      <w:proofErr w:type="spellEnd"/>
      <w:r w:rsidRPr="004943AB">
        <w:rPr>
          <w:rFonts w:ascii="Arial" w:hAnsi="Arial" w:cs="Arial"/>
          <w:lang w:val="mk-MK"/>
        </w:rPr>
        <w:t xml:space="preserve"> </w:t>
      </w:r>
      <w:proofErr w:type="spellStart"/>
      <w:r w:rsidRPr="004943AB">
        <w:rPr>
          <w:rFonts w:ascii="Arial" w:hAnsi="Arial" w:cs="Arial"/>
          <w:lang w:val="mk-MK"/>
        </w:rPr>
        <w:t>to</w:t>
      </w:r>
      <w:proofErr w:type="spellEnd"/>
      <w:r w:rsidRPr="004943AB">
        <w:rPr>
          <w:rFonts w:ascii="Arial" w:hAnsi="Arial" w:cs="Arial"/>
          <w:lang w:val="mk-MK"/>
        </w:rPr>
        <w:t xml:space="preserve"> 5 </w:t>
      </w:r>
      <w:proofErr w:type="spellStart"/>
      <w:r w:rsidRPr="004943AB">
        <w:rPr>
          <w:rFonts w:ascii="Arial" w:hAnsi="Arial" w:cs="Arial"/>
          <w:lang w:val="mk-MK"/>
        </w:rPr>
        <w:t>years</w:t>
      </w:r>
      <w:proofErr w:type="spellEnd"/>
      <w:r w:rsidRPr="004943AB">
        <w:rPr>
          <w:rFonts w:ascii="Arial" w:hAnsi="Arial" w:cs="Arial"/>
          <w:lang w:val="mk-MK"/>
        </w:rPr>
        <w:t xml:space="preserve"> </w:t>
      </w:r>
      <w:proofErr w:type="spellStart"/>
      <w:r w:rsidRPr="004943AB">
        <w:rPr>
          <w:rFonts w:ascii="Arial" w:hAnsi="Arial" w:cs="Arial"/>
          <w:lang w:val="mk-MK"/>
        </w:rPr>
        <w:t>subsequent</w:t>
      </w:r>
      <w:proofErr w:type="spellEnd"/>
      <w:r w:rsidRPr="004943AB">
        <w:rPr>
          <w:rFonts w:ascii="Arial" w:hAnsi="Arial" w:cs="Arial"/>
          <w:lang w:val="mk-MK"/>
        </w:rPr>
        <w:t xml:space="preserve"> </w:t>
      </w:r>
      <w:proofErr w:type="spellStart"/>
      <w:r w:rsidRPr="004943AB">
        <w:rPr>
          <w:rFonts w:ascii="Arial" w:hAnsi="Arial" w:cs="Arial"/>
          <w:lang w:val="mk-MK"/>
        </w:rPr>
        <w:t>to</w:t>
      </w:r>
      <w:proofErr w:type="spellEnd"/>
      <w:r w:rsidRPr="004943AB">
        <w:rPr>
          <w:rFonts w:ascii="Arial" w:hAnsi="Arial" w:cs="Arial"/>
          <w:lang w:val="mk-MK"/>
        </w:rPr>
        <w:t xml:space="preserve"> </w:t>
      </w:r>
      <w:proofErr w:type="spellStart"/>
      <w:r w:rsidRPr="004943AB">
        <w:rPr>
          <w:rFonts w:ascii="Arial" w:hAnsi="Arial" w:cs="Arial"/>
          <w:lang w:val="mk-MK"/>
        </w:rPr>
        <w:t>the</w:t>
      </w:r>
      <w:proofErr w:type="spellEnd"/>
      <w:r w:rsidRPr="004943AB">
        <w:rPr>
          <w:rFonts w:ascii="Arial" w:hAnsi="Arial" w:cs="Arial"/>
          <w:lang w:val="mk-MK"/>
        </w:rPr>
        <w:t xml:space="preserve"> </w:t>
      </w:r>
      <w:proofErr w:type="spellStart"/>
      <w:r w:rsidRPr="004943AB">
        <w:rPr>
          <w:rFonts w:ascii="Arial" w:hAnsi="Arial" w:cs="Arial"/>
          <w:lang w:val="mk-MK"/>
        </w:rPr>
        <w:t>reported</w:t>
      </w:r>
      <w:proofErr w:type="spellEnd"/>
      <w:r w:rsidRPr="004943AB">
        <w:rPr>
          <w:rFonts w:ascii="Arial" w:hAnsi="Arial" w:cs="Arial"/>
          <w:lang w:val="mk-MK"/>
        </w:rPr>
        <w:t xml:space="preserve"> </w:t>
      </w:r>
      <w:proofErr w:type="spellStart"/>
      <w:r w:rsidRPr="004943AB">
        <w:rPr>
          <w:rFonts w:ascii="Arial" w:hAnsi="Arial" w:cs="Arial"/>
          <w:lang w:val="mk-MK"/>
        </w:rPr>
        <w:t>tax</w:t>
      </w:r>
      <w:proofErr w:type="spellEnd"/>
      <w:r w:rsidRPr="004943AB">
        <w:rPr>
          <w:rFonts w:ascii="Arial" w:hAnsi="Arial" w:cs="Arial"/>
          <w:lang w:val="mk-MK"/>
        </w:rPr>
        <w:t xml:space="preserve"> </w:t>
      </w:r>
      <w:proofErr w:type="spellStart"/>
      <w:r w:rsidRPr="004943AB">
        <w:rPr>
          <w:rFonts w:ascii="Arial" w:hAnsi="Arial" w:cs="Arial"/>
          <w:lang w:val="mk-MK"/>
        </w:rPr>
        <w:t>year</w:t>
      </w:r>
      <w:proofErr w:type="spellEnd"/>
      <w:r w:rsidRPr="004943AB">
        <w:rPr>
          <w:rFonts w:ascii="Arial" w:hAnsi="Arial" w:cs="Arial"/>
          <w:lang w:val="mk-MK"/>
        </w:rPr>
        <w:t xml:space="preserve">, </w:t>
      </w:r>
      <w:proofErr w:type="spellStart"/>
      <w:r w:rsidRPr="004943AB">
        <w:rPr>
          <w:rFonts w:ascii="Arial" w:hAnsi="Arial" w:cs="Arial"/>
          <w:lang w:val="mk-MK"/>
        </w:rPr>
        <w:t>and</w:t>
      </w:r>
      <w:proofErr w:type="spellEnd"/>
      <w:r w:rsidRPr="004943AB">
        <w:rPr>
          <w:rFonts w:ascii="Arial" w:hAnsi="Arial" w:cs="Arial"/>
          <w:lang w:val="mk-MK"/>
        </w:rPr>
        <w:t xml:space="preserve"> </w:t>
      </w:r>
      <w:proofErr w:type="spellStart"/>
      <w:r w:rsidRPr="004943AB">
        <w:rPr>
          <w:rFonts w:ascii="Arial" w:hAnsi="Arial" w:cs="Arial"/>
          <w:lang w:val="mk-MK"/>
        </w:rPr>
        <w:t>may</w:t>
      </w:r>
      <w:proofErr w:type="spellEnd"/>
      <w:r w:rsidRPr="004943AB">
        <w:rPr>
          <w:rFonts w:ascii="Arial" w:hAnsi="Arial" w:cs="Arial"/>
          <w:lang w:val="mk-MK"/>
        </w:rPr>
        <w:t xml:space="preserve"> </w:t>
      </w:r>
      <w:proofErr w:type="spellStart"/>
      <w:r w:rsidRPr="004943AB">
        <w:rPr>
          <w:rFonts w:ascii="Arial" w:hAnsi="Arial" w:cs="Arial"/>
          <w:lang w:val="mk-MK"/>
        </w:rPr>
        <w:t>impose</w:t>
      </w:r>
      <w:proofErr w:type="spellEnd"/>
      <w:r w:rsidRPr="004943AB">
        <w:rPr>
          <w:rFonts w:ascii="Arial" w:hAnsi="Arial" w:cs="Arial"/>
          <w:lang w:val="mk-MK"/>
        </w:rPr>
        <w:t xml:space="preserve"> </w:t>
      </w:r>
      <w:proofErr w:type="spellStart"/>
      <w:r w:rsidRPr="004943AB">
        <w:rPr>
          <w:rFonts w:ascii="Arial" w:hAnsi="Arial" w:cs="Arial"/>
          <w:lang w:val="mk-MK"/>
        </w:rPr>
        <w:t>additional</w:t>
      </w:r>
      <w:proofErr w:type="spellEnd"/>
      <w:r w:rsidRPr="004943AB">
        <w:rPr>
          <w:rFonts w:ascii="Arial" w:hAnsi="Arial" w:cs="Arial"/>
          <w:lang w:val="mk-MK"/>
        </w:rPr>
        <w:t xml:space="preserve"> </w:t>
      </w:r>
      <w:proofErr w:type="spellStart"/>
      <w:r w:rsidRPr="004943AB">
        <w:rPr>
          <w:rFonts w:ascii="Arial" w:hAnsi="Arial" w:cs="Arial"/>
          <w:lang w:val="mk-MK"/>
        </w:rPr>
        <w:t>tax</w:t>
      </w:r>
      <w:proofErr w:type="spellEnd"/>
      <w:r w:rsidRPr="004943AB">
        <w:rPr>
          <w:rFonts w:ascii="Arial" w:hAnsi="Arial" w:cs="Arial"/>
          <w:lang w:val="mk-MK"/>
        </w:rPr>
        <w:t xml:space="preserve"> </w:t>
      </w:r>
      <w:proofErr w:type="spellStart"/>
      <w:r w:rsidRPr="004943AB">
        <w:rPr>
          <w:rFonts w:ascii="Arial" w:hAnsi="Arial" w:cs="Arial"/>
          <w:lang w:val="mk-MK"/>
        </w:rPr>
        <w:t>assessments</w:t>
      </w:r>
      <w:proofErr w:type="spellEnd"/>
      <w:r w:rsidRPr="004943AB">
        <w:rPr>
          <w:rFonts w:ascii="Arial" w:hAnsi="Arial" w:cs="Arial"/>
          <w:lang w:val="mk-MK"/>
        </w:rPr>
        <w:t xml:space="preserve"> </w:t>
      </w:r>
      <w:proofErr w:type="spellStart"/>
      <w:r w:rsidRPr="004943AB">
        <w:rPr>
          <w:rFonts w:ascii="Arial" w:hAnsi="Arial" w:cs="Arial"/>
          <w:lang w:val="mk-MK"/>
        </w:rPr>
        <w:t>and</w:t>
      </w:r>
      <w:proofErr w:type="spellEnd"/>
      <w:r w:rsidRPr="004943AB">
        <w:rPr>
          <w:rFonts w:ascii="Arial" w:hAnsi="Arial" w:cs="Arial"/>
          <w:lang w:val="mk-MK"/>
        </w:rPr>
        <w:t xml:space="preserve"> </w:t>
      </w:r>
      <w:proofErr w:type="spellStart"/>
      <w:r w:rsidRPr="004943AB">
        <w:rPr>
          <w:rFonts w:ascii="Arial" w:hAnsi="Arial" w:cs="Arial"/>
          <w:lang w:val="mk-MK"/>
        </w:rPr>
        <w:t>penalties</w:t>
      </w:r>
      <w:proofErr w:type="spellEnd"/>
      <w:r w:rsidR="00A12CF7" w:rsidRPr="00CE3053">
        <w:rPr>
          <w:rFonts w:ascii="Arial" w:hAnsi="Arial" w:cs="Arial"/>
          <w:lang w:val="mk-MK"/>
        </w:rPr>
        <w:t xml:space="preserve">. </w:t>
      </w:r>
      <w:proofErr w:type="spellStart"/>
      <w:r w:rsidRPr="004943AB">
        <w:rPr>
          <w:rFonts w:ascii="Arial" w:hAnsi="Arial" w:cs="Arial"/>
          <w:lang w:val="mk-MK"/>
        </w:rPr>
        <w:t>According</w:t>
      </w:r>
      <w:proofErr w:type="spellEnd"/>
      <w:r w:rsidRPr="004943AB">
        <w:rPr>
          <w:rFonts w:ascii="Arial" w:hAnsi="Arial" w:cs="Arial"/>
          <w:lang w:val="mk-MK"/>
        </w:rPr>
        <w:t xml:space="preserve"> </w:t>
      </w:r>
      <w:proofErr w:type="spellStart"/>
      <w:r w:rsidRPr="004943AB">
        <w:rPr>
          <w:rFonts w:ascii="Arial" w:hAnsi="Arial" w:cs="Arial"/>
          <w:lang w:val="mk-MK"/>
        </w:rPr>
        <w:t>to</w:t>
      </w:r>
      <w:proofErr w:type="spellEnd"/>
      <w:r w:rsidRPr="004943AB">
        <w:rPr>
          <w:rFonts w:ascii="Arial" w:hAnsi="Arial" w:cs="Arial"/>
          <w:lang w:val="mk-MK"/>
        </w:rPr>
        <w:t xml:space="preserve"> </w:t>
      </w:r>
      <w:proofErr w:type="spellStart"/>
      <w:r w:rsidRPr="004943AB">
        <w:rPr>
          <w:rFonts w:ascii="Arial" w:hAnsi="Arial" w:cs="Arial"/>
          <w:lang w:val="mk-MK"/>
        </w:rPr>
        <w:t>the</w:t>
      </w:r>
      <w:proofErr w:type="spellEnd"/>
      <w:r w:rsidRPr="004943AB">
        <w:rPr>
          <w:rFonts w:ascii="Arial" w:hAnsi="Arial" w:cs="Arial"/>
          <w:lang w:val="mk-MK"/>
        </w:rPr>
        <w:t xml:space="preserve"> </w:t>
      </w:r>
      <w:proofErr w:type="spellStart"/>
      <w:r w:rsidRPr="004943AB">
        <w:rPr>
          <w:rFonts w:ascii="Arial" w:hAnsi="Arial" w:cs="Arial"/>
          <w:lang w:val="mk-MK"/>
        </w:rPr>
        <w:t>estimates</w:t>
      </w:r>
      <w:proofErr w:type="spellEnd"/>
      <w:r w:rsidRPr="004943AB">
        <w:rPr>
          <w:rFonts w:ascii="Arial" w:hAnsi="Arial" w:cs="Arial"/>
          <w:lang w:val="mk-MK"/>
        </w:rPr>
        <w:t xml:space="preserve"> </w:t>
      </w:r>
      <w:proofErr w:type="spellStart"/>
      <w:r w:rsidRPr="004943AB">
        <w:rPr>
          <w:rFonts w:ascii="Arial" w:hAnsi="Arial" w:cs="Arial"/>
          <w:lang w:val="mk-MK"/>
        </w:rPr>
        <w:t>of</w:t>
      </w:r>
      <w:proofErr w:type="spellEnd"/>
      <w:r w:rsidRPr="004943AB">
        <w:rPr>
          <w:rFonts w:ascii="Arial" w:hAnsi="Arial" w:cs="Arial"/>
          <w:lang w:val="mk-MK"/>
        </w:rPr>
        <w:t xml:space="preserve"> </w:t>
      </w:r>
      <w:proofErr w:type="spellStart"/>
      <w:r w:rsidRPr="004943AB">
        <w:rPr>
          <w:rFonts w:ascii="Arial" w:hAnsi="Arial" w:cs="Arial"/>
          <w:lang w:val="mk-MK"/>
        </w:rPr>
        <w:t>the</w:t>
      </w:r>
      <w:proofErr w:type="spellEnd"/>
      <w:r w:rsidRPr="004943AB">
        <w:rPr>
          <w:rFonts w:ascii="Arial" w:hAnsi="Arial" w:cs="Arial"/>
          <w:lang w:val="mk-MK"/>
        </w:rPr>
        <w:t xml:space="preserve"> </w:t>
      </w:r>
      <w:proofErr w:type="spellStart"/>
      <w:r w:rsidRPr="004943AB">
        <w:rPr>
          <w:rFonts w:ascii="Arial" w:hAnsi="Arial" w:cs="Arial"/>
          <w:lang w:val="mk-MK"/>
        </w:rPr>
        <w:t>Fund's</w:t>
      </w:r>
      <w:proofErr w:type="spellEnd"/>
      <w:r w:rsidRPr="004943AB">
        <w:rPr>
          <w:rFonts w:ascii="Arial" w:hAnsi="Arial" w:cs="Arial"/>
          <w:lang w:val="mk-MK"/>
        </w:rPr>
        <w:t xml:space="preserve"> </w:t>
      </w:r>
      <w:proofErr w:type="spellStart"/>
      <w:r w:rsidRPr="004943AB">
        <w:rPr>
          <w:rFonts w:ascii="Arial" w:hAnsi="Arial" w:cs="Arial"/>
          <w:lang w:val="mk-MK"/>
        </w:rPr>
        <w:t>Management</w:t>
      </w:r>
      <w:proofErr w:type="spellEnd"/>
      <w:r w:rsidRPr="004943AB">
        <w:rPr>
          <w:rFonts w:ascii="Arial" w:hAnsi="Arial" w:cs="Arial"/>
          <w:lang w:val="mk-MK"/>
        </w:rPr>
        <w:t xml:space="preserve"> </w:t>
      </w:r>
      <w:proofErr w:type="spellStart"/>
      <w:r w:rsidRPr="004943AB">
        <w:rPr>
          <w:rFonts w:ascii="Arial" w:hAnsi="Arial" w:cs="Arial"/>
          <w:lang w:val="mk-MK"/>
        </w:rPr>
        <w:t>and</w:t>
      </w:r>
      <w:proofErr w:type="spellEnd"/>
      <w:r w:rsidRPr="004943AB">
        <w:rPr>
          <w:rFonts w:ascii="Arial" w:hAnsi="Arial" w:cs="Arial"/>
          <w:lang w:val="mk-MK"/>
        </w:rPr>
        <w:t xml:space="preserve"> </w:t>
      </w:r>
      <w:proofErr w:type="spellStart"/>
      <w:r w:rsidRPr="004943AB">
        <w:rPr>
          <w:rFonts w:ascii="Arial" w:hAnsi="Arial" w:cs="Arial"/>
          <w:lang w:val="mk-MK"/>
        </w:rPr>
        <w:t>on</w:t>
      </w:r>
      <w:proofErr w:type="spellEnd"/>
      <w:r w:rsidRPr="004943AB">
        <w:rPr>
          <w:rFonts w:ascii="Arial" w:hAnsi="Arial" w:cs="Arial"/>
          <w:lang w:val="mk-MK"/>
        </w:rPr>
        <w:t xml:space="preserve"> </w:t>
      </w:r>
      <w:proofErr w:type="spellStart"/>
      <w:r w:rsidRPr="004943AB">
        <w:rPr>
          <w:rFonts w:ascii="Arial" w:hAnsi="Arial" w:cs="Arial"/>
          <w:lang w:val="mk-MK"/>
        </w:rPr>
        <w:t>the</w:t>
      </w:r>
      <w:proofErr w:type="spellEnd"/>
      <w:r w:rsidRPr="004943AB">
        <w:rPr>
          <w:rFonts w:ascii="Arial" w:hAnsi="Arial" w:cs="Arial"/>
          <w:lang w:val="mk-MK"/>
        </w:rPr>
        <w:t xml:space="preserve"> </w:t>
      </w:r>
      <w:proofErr w:type="spellStart"/>
      <w:r w:rsidRPr="004943AB">
        <w:rPr>
          <w:rFonts w:ascii="Arial" w:hAnsi="Arial" w:cs="Arial"/>
          <w:lang w:val="mk-MK"/>
        </w:rPr>
        <w:t>date</w:t>
      </w:r>
      <w:proofErr w:type="spellEnd"/>
      <w:r w:rsidRPr="004943AB">
        <w:rPr>
          <w:rFonts w:ascii="Arial" w:hAnsi="Arial" w:cs="Arial"/>
          <w:lang w:val="mk-MK"/>
        </w:rPr>
        <w:t xml:space="preserve"> </w:t>
      </w:r>
      <w:proofErr w:type="spellStart"/>
      <w:r w:rsidRPr="004943AB">
        <w:rPr>
          <w:rFonts w:ascii="Arial" w:hAnsi="Arial" w:cs="Arial"/>
          <w:lang w:val="mk-MK"/>
        </w:rPr>
        <w:t>of</w:t>
      </w:r>
      <w:proofErr w:type="spellEnd"/>
      <w:r w:rsidRPr="004943AB">
        <w:rPr>
          <w:rFonts w:ascii="Arial" w:hAnsi="Arial" w:cs="Arial"/>
          <w:lang w:val="mk-MK"/>
        </w:rPr>
        <w:t xml:space="preserve"> </w:t>
      </w:r>
      <w:proofErr w:type="spellStart"/>
      <w:r w:rsidRPr="004943AB">
        <w:rPr>
          <w:rFonts w:ascii="Arial" w:hAnsi="Arial" w:cs="Arial"/>
          <w:lang w:val="mk-MK"/>
        </w:rPr>
        <w:t>these</w:t>
      </w:r>
      <w:proofErr w:type="spellEnd"/>
      <w:r w:rsidRPr="004943AB">
        <w:rPr>
          <w:rFonts w:ascii="Arial" w:hAnsi="Arial" w:cs="Arial"/>
          <w:lang w:val="mk-MK"/>
        </w:rPr>
        <w:t xml:space="preserve"> </w:t>
      </w:r>
      <w:proofErr w:type="spellStart"/>
      <w:r w:rsidRPr="004943AB">
        <w:rPr>
          <w:rFonts w:ascii="Arial" w:hAnsi="Arial" w:cs="Arial"/>
          <w:lang w:val="mk-MK"/>
        </w:rPr>
        <w:t>reports</w:t>
      </w:r>
      <w:proofErr w:type="spellEnd"/>
      <w:r w:rsidRPr="004943AB">
        <w:rPr>
          <w:rFonts w:ascii="Arial" w:hAnsi="Arial" w:cs="Arial"/>
          <w:lang w:val="mk-MK"/>
        </w:rPr>
        <w:t xml:space="preserve">, </w:t>
      </w:r>
      <w:proofErr w:type="spellStart"/>
      <w:r w:rsidRPr="004943AB">
        <w:rPr>
          <w:rFonts w:ascii="Arial" w:hAnsi="Arial" w:cs="Arial"/>
          <w:lang w:val="mk-MK"/>
        </w:rPr>
        <w:t>there</w:t>
      </w:r>
      <w:proofErr w:type="spellEnd"/>
      <w:r w:rsidRPr="004943AB">
        <w:rPr>
          <w:rFonts w:ascii="Arial" w:hAnsi="Arial" w:cs="Arial"/>
          <w:lang w:val="mk-MK"/>
        </w:rPr>
        <w:t xml:space="preserve"> </w:t>
      </w:r>
      <w:proofErr w:type="spellStart"/>
      <w:r w:rsidRPr="004943AB">
        <w:rPr>
          <w:rFonts w:ascii="Arial" w:hAnsi="Arial" w:cs="Arial"/>
          <w:lang w:val="mk-MK"/>
        </w:rPr>
        <w:t>are</w:t>
      </w:r>
      <w:proofErr w:type="spellEnd"/>
      <w:r w:rsidRPr="004943AB">
        <w:rPr>
          <w:rFonts w:ascii="Arial" w:hAnsi="Arial" w:cs="Arial"/>
          <w:lang w:val="mk-MK"/>
        </w:rPr>
        <w:t xml:space="preserve"> </w:t>
      </w:r>
      <w:proofErr w:type="spellStart"/>
      <w:r w:rsidRPr="004943AB">
        <w:rPr>
          <w:rFonts w:ascii="Arial" w:hAnsi="Arial" w:cs="Arial"/>
          <w:lang w:val="mk-MK"/>
        </w:rPr>
        <w:t>no</w:t>
      </w:r>
      <w:proofErr w:type="spellEnd"/>
      <w:r w:rsidRPr="004943AB">
        <w:rPr>
          <w:rFonts w:ascii="Arial" w:hAnsi="Arial" w:cs="Arial"/>
          <w:lang w:val="mk-MK"/>
        </w:rPr>
        <w:t xml:space="preserve"> </w:t>
      </w:r>
      <w:proofErr w:type="spellStart"/>
      <w:r w:rsidRPr="004943AB">
        <w:rPr>
          <w:rFonts w:ascii="Arial" w:hAnsi="Arial" w:cs="Arial"/>
          <w:lang w:val="mk-MK"/>
        </w:rPr>
        <w:t>additional</w:t>
      </w:r>
      <w:proofErr w:type="spellEnd"/>
      <w:r w:rsidRPr="004943AB">
        <w:rPr>
          <w:rFonts w:ascii="Arial" w:hAnsi="Arial" w:cs="Arial"/>
          <w:lang w:val="mk-MK"/>
        </w:rPr>
        <w:t xml:space="preserve"> </w:t>
      </w:r>
      <w:proofErr w:type="spellStart"/>
      <w:r w:rsidRPr="004943AB">
        <w:rPr>
          <w:rFonts w:ascii="Arial" w:hAnsi="Arial" w:cs="Arial"/>
          <w:lang w:val="mk-MK"/>
        </w:rPr>
        <w:t>conditions</w:t>
      </w:r>
      <w:proofErr w:type="spellEnd"/>
      <w:r w:rsidRPr="004943AB">
        <w:rPr>
          <w:rFonts w:ascii="Arial" w:hAnsi="Arial" w:cs="Arial"/>
          <w:lang w:val="mk-MK"/>
        </w:rPr>
        <w:t xml:space="preserve"> </w:t>
      </w:r>
      <w:proofErr w:type="spellStart"/>
      <w:r w:rsidRPr="004943AB">
        <w:rPr>
          <w:rFonts w:ascii="Arial" w:hAnsi="Arial" w:cs="Arial"/>
          <w:lang w:val="mk-MK"/>
        </w:rPr>
        <w:t>from</w:t>
      </w:r>
      <w:proofErr w:type="spellEnd"/>
      <w:r w:rsidRPr="004943AB">
        <w:rPr>
          <w:rFonts w:ascii="Arial" w:hAnsi="Arial" w:cs="Arial"/>
          <w:lang w:val="mk-MK"/>
        </w:rPr>
        <w:t xml:space="preserve"> </w:t>
      </w:r>
      <w:proofErr w:type="spellStart"/>
      <w:r w:rsidRPr="004943AB">
        <w:rPr>
          <w:rFonts w:ascii="Arial" w:hAnsi="Arial" w:cs="Arial"/>
          <w:lang w:val="mk-MK"/>
        </w:rPr>
        <w:t>which</w:t>
      </w:r>
      <w:proofErr w:type="spellEnd"/>
      <w:r w:rsidRPr="004943AB">
        <w:rPr>
          <w:rFonts w:ascii="Arial" w:hAnsi="Arial" w:cs="Arial"/>
          <w:lang w:val="mk-MK"/>
        </w:rPr>
        <w:t xml:space="preserve"> </w:t>
      </w:r>
      <w:proofErr w:type="spellStart"/>
      <w:r w:rsidRPr="004943AB">
        <w:rPr>
          <w:rFonts w:ascii="Arial" w:hAnsi="Arial" w:cs="Arial"/>
          <w:lang w:val="mk-MK"/>
        </w:rPr>
        <w:t>potential</w:t>
      </w:r>
      <w:proofErr w:type="spellEnd"/>
      <w:r w:rsidRPr="004943AB">
        <w:rPr>
          <w:rFonts w:ascii="Arial" w:hAnsi="Arial" w:cs="Arial"/>
          <w:lang w:val="mk-MK"/>
        </w:rPr>
        <w:t xml:space="preserve"> </w:t>
      </w:r>
      <w:proofErr w:type="spellStart"/>
      <w:r w:rsidRPr="004943AB">
        <w:rPr>
          <w:rFonts w:ascii="Arial" w:hAnsi="Arial" w:cs="Arial"/>
          <w:lang w:val="mk-MK"/>
        </w:rPr>
        <w:t>potentially</w:t>
      </w:r>
      <w:proofErr w:type="spellEnd"/>
      <w:r w:rsidRPr="004943AB">
        <w:rPr>
          <w:rFonts w:ascii="Arial" w:hAnsi="Arial" w:cs="Arial"/>
          <w:lang w:val="mk-MK"/>
        </w:rPr>
        <w:t xml:space="preserve"> </w:t>
      </w:r>
      <w:proofErr w:type="spellStart"/>
      <w:r w:rsidRPr="004943AB">
        <w:rPr>
          <w:rFonts w:ascii="Arial" w:hAnsi="Arial" w:cs="Arial"/>
          <w:lang w:val="mk-MK"/>
        </w:rPr>
        <w:t>material</w:t>
      </w:r>
      <w:proofErr w:type="spellEnd"/>
      <w:r w:rsidRPr="004943AB">
        <w:rPr>
          <w:rFonts w:ascii="Arial" w:hAnsi="Arial" w:cs="Arial"/>
          <w:lang w:val="mk-MK"/>
        </w:rPr>
        <w:t xml:space="preserve"> </w:t>
      </w:r>
      <w:proofErr w:type="spellStart"/>
      <w:r w:rsidRPr="004943AB">
        <w:rPr>
          <w:rFonts w:ascii="Arial" w:hAnsi="Arial" w:cs="Arial"/>
          <w:lang w:val="mk-MK"/>
        </w:rPr>
        <w:t>obligations</w:t>
      </w:r>
      <w:proofErr w:type="spellEnd"/>
      <w:r w:rsidRPr="004943AB">
        <w:rPr>
          <w:rFonts w:ascii="Arial" w:hAnsi="Arial" w:cs="Arial"/>
          <w:lang w:val="mk-MK"/>
        </w:rPr>
        <w:t xml:space="preserve"> </w:t>
      </w:r>
      <w:proofErr w:type="spellStart"/>
      <w:r w:rsidRPr="004943AB">
        <w:rPr>
          <w:rFonts w:ascii="Arial" w:hAnsi="Arial" w:cs="Arial"/>
          <w:lang w:val="mk-MK"/>
        </w:rPr>
        <w:t>may</w:t>
      </w:r>
      <w:proofErr w:type="spellEnd"/>
      <w:r w:rsidRPr="004943AB">
        <w:rPr>
          <w:rFonts w:ascii="Arial" w:hAnsi="Arial" w:cs="Arial"/>
          <w:lang w:val="mk-MK"/>
        </w:rPr>
        <w:t xml:space="preserve"> </w:t>
      </w:r>
      <w:proofErr w:type="spellStart"/>
      <w:r w:rsidRPr="004943AB">
        <w:rPr>
          <w:rFonts w:ascii="Arial" w:hAnsi="Arial" w:cs="Arial"/>
          <w:lang w:val="mk-MK"/>
        </w:rPr>
        <w:t>arise</w:t>
      </w:r>
      <w:proofErr w:type="spellEnd"/>
      <w:r w:rsidRPr="004943AB">
        <w:rPr>
          <w:rFonts w:ascii="Arial" w:hAnsi="Arial" w:cs="Arial"/>
          <w:lang w:val="mk-MK"/>
        </w:rPr>
        <w:t xml:space="preserve"> </w:t>
      </w:r>
      <w:proofErr w:type="spellStart"/>
      <w:r w:rsidRPr="004943AB">
        <w:rPr>
          <w:rFonts w:ascii="Arial" w:hAnsi="Arial" w:cs="Arial"/>
          <w:lang w:val="mk-MK"/>
        </w:rPr>
        <w:t>on</w:t>
      </w:r>
      <w:proofErr w:type="spellEnd"/>
      <w:r w:rsidRPr="004943AB">
        <w:rPr>
          <w:rFonts w:ascii="Arial" w:hAnsi="Arial" w:cs="Arial"/>
          <w:lang w:val="mk-MK"/>
        </w:rPr>
        <w:t xml:space="preserve"> </w:t>
      </w:r>
      <w:proofErr w:type="spellStart"/>
      <w:r w:rsidRPr="004943AB">
        <w:rPr>
          <w:rFonts w:ascii="Arial" w:hAnsi="Arial" w:cs="Arial"/>
          <w:lang w:val="mk-MK"/>
        </w:rPr>
        <w:t>this</w:t>
      </w:r>
      <w:proofErr w:type="spellEnd"/>
      <w:r w:rsidRPr="004943AB">
        <w:rPr>
          <w:rFonts w:ascii="Arial" w:hAnsi="Arial" w:cs="Arial"/>
          <w:lang w:val="mk-MK"/>
        </w:rPr>
        <w:t xml:space="preserve"> </w:t>
      </w:r>
      <w:proofErr w:type="spellStart"/>
      <w:r w:rsidRPr="004943AB">
        <w:rPr>
          <w:rFonts w:ascii="Arial" w:hAnsi="Arial" w:cs="Arial"/>
          <w:lang w:val="mk-MK"/>
        </w:rPr>
        <w:t>basis</w:t>
      </w:r>
      <w:proofErr w:type="spellEnd"/>
      <w:r w:rsidRPr="004943AB">
        <w:rPr>
          <w:rFonts w:ascii="Arial" w:hAnsi="Arial" w:cs="Arial"/>
          <w:lang w:val="mk-MK"/>
        </w:rPr>
        <w:t>.</w:t>
      </w:r>
    </w:p>
    <w:p w14:paraId="2EA4725E" w14:textId="6E1D8B3E" w:rsidR="00A12CF7" w:rsidRPr="004943AB" w:rsidRDefault="004943AB" w:rsidP="00A12CF7">
      <w:pPr>
        <w:pStyle w:val="BodyText"/>
        <w:spacing w:after="0" w:line="240" w:lineRule="auto"/>
        <w:jc w:val="both"/>
        <w:rPr>
          <w:rFonts w:ascii="Arial" w:hAnsi="Arial" w:cs="Arial"/>
          <w:i/>
          <w:lang w:val="en-US"/>
        </w:rPr>
      </w:pPr>
      <w:r>
        <w:rPr>
          <w:rFonts w:ascii="Arial" w:hAnsi="Arial" w:cs="Arial"/>
          <w:i/>
          <w:lang w:val="en-US"/>
        </w:rPr>
        <w:t>Capital commitments</w:t>
      </w:r>
    </w:p>
    <w:p w14:paraId="75C4411C" w14:textId="5E6E3297" w:rsidR="00A12CF7" w:rsidRPr="00CE3053" w:rsidRDefault="004943AB" w:rsidP="00A12CF7">
      <w:pPr>
        <w:pStyle w:val="BodyText"/>
        <w:jc w:val="both"/>
        <w:rPr>
          <w:rFonts w:ascii="Arial" w:hAnsi="Arial" w:cs="Arial"/>
          <w:lang w:val="mk-MK"/>
        </w:rPr>
      </w:pPr>
      <w:proofErr w:type="spellStart"/>
      <w:r w:rsidRPr="004943AB">
        <w:rPr>
          <w:rFonts w:ascii="Arial" w:hAnsi="Arial" w:cs="Arial"/>
          <w:lang w:val="mk-MK"/>
        </w:rPr>
        <w:t>As</w:t>
      </w:r>
      <w:proofErr w:type="spellEnd"/>
      <w:r w:rsidRPr="004943AB">
        <w:rPr>
          <w:rFonts w:ascii="Arial" w:hAnsi="Arial" w:cs="Arial"/>
          <w:lang w:val="mk-MK"/>
        </w:rPr>
        <w:t xml:space="preserve"> </w:t>
      </w:r>
      <w:proofErr w:type="spellStart"/>
      <w:r w:rsidRPr="004943AB">
        <w:rPr>
          <w:rFonts w:ascii="Arial" w:hAnsi="Arial" w:cs="Arial"/>
          <w:lang w:val="mk-MK"/>
        </w:rPr>
        <w:t>at</w:t>
      </w:r>
      <w:proofErr w:type="spellEnd"/>
      <w:r w:rsidRPr="004943AB">
        <w:rPr>
          <w:rFonts w:ascii="Arial" w:hAnsi="Arial" w:cs="Arial"/>
          <w:lang w:val="mk-MK"/>
        </w:rPr>
        <w:t xml:space="preserve"> </w:t>
      </w:r>
      <w:proofErr w:type="spellStart"/>
      <w:r w:rsidRPr="004943AB">
        <w:rPr>
          <w:rFonts w:ascii="Arial" w:hAnsi="Arial" w:cs="Arial"/>
          <w:lang w:val="mk-MK"/>
        </w:rPr>
        <w:t>the</w:t>
      </w:r>
      <w:proofErr w:type="spellEnd"/>
      <w:r w:rsidRPr="004943AB">
        <w:rPr>
          <w:rFonts w:ascii="Arial" w:hAnsi="Arial" w:cs="Arial"/>
          <w:lang w:val="mk-MK"/>
        </w:rPr>
        <w:t xml:space="preserve"> </w:t>
      </w:r>
      <w:proofErr w:type="spellStart"/>
      <w:r w:rsidRPr="004943AB">
        <w:rPr>
          <w:rFonts w:ascii="Arial" w:hAnsi="Arial" w:cs="Arial"/>
          <w:lang w:val="mk-MK"/>
        </w:rPr>
        <w:t>reporting</w:t>
      </w:r>
      <w:proofErr w:type="spellEnd"/>
      <w:r w:rsidRPr="004943AB">
        <w:rPr>
          <w:rFonts w:ascii="Arial" w:hAnsi="Arial" w:cs="Arial"/>
          <w:lang w:val="mk-MK"/>
        </w:rPr>
        <w:t xml:space="preserve"> </w:t>
      </w:r>
      <w:proofErr w:type="spellStart"/>
      <w:r w:rsidRPr="004943AB">
        <w:rPr>
          <w:rFonts w:ascii="Arial" w:hAnsi="Arial" w:cs="Arial"/>
          <w:lang w:val="mk-MK"/>
        </w:rPr>
        <w:t>date</w:t>
      </w:r>
      <w:proofErr w:type="spellEnd"/>
      <w:r w:rsidRPr="004943AB">
        <w:rPr>
          <w:rFonts w:ascii="Arial" w:hAnsi="Arial" w:cs="Arial"/>
          <w:lang w:val="mk-MK"/>
        </w:rPr>
        <w:t xml:space="preserve">, </w:t>
      </w:r>
      <w:proofErr w:type="spellStart"/>
      <w:r w:rsidRPr="004943AB">
        <w:rPr>
          <w:rFonts w:ascii="Arial" w:hAnsi="Arial" w:cs="Arial"/>
          <w:lang w:val="mk-MK"/>
        </w:rPr>
        <w:t>there</w:t>
      </w:r>
      <w:proofErr w:type="spellEnd"/>
      <w:r w:rsidRPr="004943AB">
        <w:rPr>
          <w:rFonts w:ascii="Arial" w:hAnsi="Arial" w:cs="Arial"/>
          <w:lang w:val="mk-MK"/>
        </w:rPr>
        <w:t xml:space="preserve"> </w:t>
      </w:r>
      <w:proofErr w:type="spellStart"/>
      <w:r w:rsidRPr="004943AB">
        <w:rPr>
          <w:rFonts w:ascii="Arial" w:hAnsi="Arial" w:cs="Arial"/>
          <w:lang w:val="mk-MK"/>
        </w:rPr>
        <w:t>are</w:t>
      </w:r>
      <w:proofErr w:type="spellEnd"/>
      <w:r w:rsidRPr="004943AB">
        <w:rPr>
          <w:rFonts w:ascii="Arial" w:hAnsi="Arial" w:cs="Arial"/>
          <w:lang w:val="mk-MK"/>
        </w:rPr>
        <w:t xml:space="preserve"> </w:t>
      </w:r>
      <w:proofErr w:type="spellStart"/>
      <w:r w:rsidRPr="004943AB">
        <w:rPr>
          <w:rFonts w:ascii="Arial" w:hAnsi="Arial" w:cs="Arial"/>
          <w:lang w:val="mk-MK"/>
        </w:rPr>
        <w:t>no</w:t>
      </w:r>
      <w:proofErr w:type="spellEnd"/>
      <w:r w:rsidRPr="004943AB">
        <w:rPr>
          <w:rFonts w:ascii="Arial" w:hAnsi="Arial" w:cs="Arial"/>
          <w:lang w:val="mk-MK"/>
        </w:rPr>
        <w:t xml:space="preserve"> </w:t>
      </w:r>
      <w:proofErr w:type="spellStart"/>
      <w:r w:rsidRPr="004943AB">
        <w:rPr>
          <w:rFonts w:ascii="Arial" w:hAnsi="Arial" w:cs="Arial"/>
          <w:lang w:val="mk-MK"/>
        </w:rPr>
        <w:t>capital</w:t>
      </w:r>
      <w:proofErr w:type="spellEnd"/>
      <w:r w:rsidRPr="004943AB">
        <w:rPr>
          <w:rFonts w:ascii="Arial" w:hAnsi="Arial" w:cs="Arial"/>
          <w:lang w:val="mk-MK"/>
        </w:rPr>
        <w:t xml:space="preserve"> </w:t>
      </w:r>
      <w:proofErr w:type="spellStart"/>
      <w:r w:rsidRPr="004943AB">
        <w:rPr>
          <w:rFonts w:ascii="Arial" w:hAnsi="Arial" w:cs="Arial"/>
          <w:lang w:val="mk-MK"/>
        </w:rPr>
        <w:t>commitments</w:t>
      </w:r>
      <w:proofErr w:type="spellEnd"/>
      <w:r w:rsidRPr="004943AB">
        <w:rPr>
          <w:rFonts w:ascii="Arial" w:hAnsi="Arial" w:cs="Arial"/>
          <w:lang w:val="mk-MK"/>
        </w:rPr>
        <w:t xml:space="preserve"> </w:t>
      </w:r>
      <w:proofErr w:type="spellStart"/>
      <w:r w:rsidRPr="004943AB">
        <w:rPr>
          <w:rFonts w:ascii="Arial" w:hAnsi="Arial" w:cs="Arial"/>
          <w:lang w:val="mk-MK"/>
        </w:rPr>
        <w:t>that</w:t>
      </w:r>
      <w:proofErr w:type="spellEnd"/>
      <w:r w:rsidRPr="004943AB">
        <w:rPr>
          <w:rFonts w:ascii="Arial" w:hAnsi="Arial" w:cs="Arial"/>
          <w:lang w:val="mk-MK"/>
        </w:rPr>
        <w:t xml:space="preserve"> </w:t>
      </w:r>
      <w:proofErr w:type="spellStart"/>
      <w:r w:rsidRPr="004943AB">
        <w:rPr>
          <w:rFonts w:ascii="Arial" w:hAnsi="Arial" w:cs="Arial"/>
          <w:lang w:val="mk-MK"/>
        </w:rPr>
        <w:t>have</w:t>
      </w:r>
      <w:proofErr w:type="spellEnd"/>
      <w:r w:rsidRPr="004943AB">
        <w:rPr>
          <w:rFonts w:ascii="Arial" w:hAnsi="Arial" w:cs="Arial"/>
          <w:lang w:val="mk-MK"/>
        </w:rPr>
        <w:t xml:space="preserve"> </w:t>
      </w:r>
      <w:proofErr w:type="spellStart"/>
      <w:r w:rsidRPr="004943AB">
        <w:rPr>
          <w:rFonts w:ascii="Arial" w:hAnsi="Arial" w:cs="Arial"/>
          <w:lang w:val="mk-MK"/>
        </w:rPr>
        <w:t>been</w:t>
      </w:r>
      <w:proofErr w:type="spellEnd"/>
      <w:r w:rsidRPr="004943AB">
        <w:rPr>
          <w:rFonts w:ascii="Arial" w:hAnsi="Arial" w:cs="Arial"/>
          <w:lang w:val="mk-MK"/>
        </w:rPr>
        <w:t xml:space="preserve"> </w:t>
      </w:r>
      <w:proofErr w:type="spellStart"/>
      <w:r w:rsidRPr="004943AB">
        <w:rPr>
          <w:rFonts w:ascii="Arial" w:hAnsi="Arial" w:cs="Arial"/>
          <w:lang w:val="mk-MK"/>
        </w:rPr>
        <w:t>recognized</w:t>
      </w:r>
      <w:proofErr w:type="spellEnd"/>
      <w:r w:rsidRPr="004943AB">
        <w:rPr>
          <w:rFonts w:ascii="Arial" w:hAnsi="Arial" w:cs="Arial"/>
          <w:lang w:val="mk-MK"/>
        </w:rPr>
        <w:t xml:space="preserve"> </w:t>
      </w:r>
      <w:proofErr w:type="spellStart"/>
      <w:r w:rsidRPr="004943AB">
        <w:rPr>
          <w:rFonts w:ascii="Arial" w:hAnsi="Arial" w:cs="Arial"/>
          <w:lang w:val="mk-MK"/>
        </w:rPr>
        <w:t>in</w:t>
      </w:r>
      <w:proofErr w:type="spellEnd"/>
      <w:r w:rsidRPr="004943AB">
        <w:rPr>
          <w:rFonts w:ascii="Arial" w:hAnsi="Arial" w:cs="Arial"/>
          <w:lang w:val="mk-MK"/>
        </w:rPr>
        <w:t xml:space="preserve"> </w:t>
      </w:r>
      <w:proofErr w:type="spellStart"/>
      <w:r w:rsidRPr="004943AB">
        <w:rPr>
          <w:rFonts w:ascii="Arial" w:hAnsi="Arial" w:cs="Arial"/>
          <w:lang w:val="mk-MK"/>
        </w:rPr>
        <w:t>the</w:t>
      </w:r>
      <w:proofErr w:type="spellEnd"/>
      <w:r w:rsidRPr="004943AB">
        <w:rPr>
          <w:rFonts w:ascii="Arial" w:hAnsi="Arial" w:cs="Arial"/>
          <w:lang w:val="mk-MK"/>
        </w:rPr>
        <w:t xml:space="preserve"> </w:t>
      </w:r>
      <w:proofErr w:type="spellStart"/>
      <w:r w:rsidRPr="004943AB">
        <w:rPr>
          <w:rFonts w:ascii="Arial" w:hAnsi="Arial" w:cs="Arial"/>
          <w:lang w:val="mk-MK"/>
        </w:rPr>
        <w:t>financial</w:t>
      </w:r>
      <w:proofErr w:type="spellEnd"/>
      <w:r w:rsidRPr="004943AB">
        <w:rPr>
          <w:rFonts w:ascii="Arial" w:hAnsi="Arial" w:cs="Arial"/>
          <w:lang w:val="mk-MK"/>
        </w:rPr>
        <w:t xml:space="preserve"> </w:t>
      </w:r>
      <w:proofErr w:type="spellStart"/>
      <w:r w:rsidRPr="004943AB">
        <w:rPr>
          <w:rFonts w:ascii="Arial" w:hAnsi="Arial" w:cs="Arial"/>
          <w:lang w:val="mk-MK"/>
        </w:rPr>
        <w:t>statements</w:t>
      </w:r>
      <w:proofErr w:type="spellEnd"/>
      <w:r w:rsidR="00A12CF7" w:rsidRPr="00CE3053">
        <w:rPr>
          <w:rFonts w:ascii="Arial" w:hAnsi="Arial" w:cs="Arial"/>
          <w:lang w:val="mk-MK"/>
        </w:rPr>
        <w:t>.</w:t>
      </w:r>
    </w:p>
    <w:p w14:paraId="0502BB86" w14:textId="45E89821" w:rsidR="00A12CF7" w:rsidRDefault="00A12CF7" w:rsidP="00A12CF7">
      <w:pPr>
        <w:pStyle w:val="BodyText"/>
        <w:jc w:val="both"/>
        <w:rPr>
          <w:rFonts w:ascii="Arial" w:hAnsi="Arial" w:cs="Arial"/>
          <w:lang w:val="mk-MK"/>
        </w:rPr>
      </w:pPr>
    </w:p>
    <w:p w14:paraId="07211643" w14:textId="1B5FCDE0" w:rsidR="00BD0CFC" w:rsidRDefault="00BD0CFC" w:rsidP="00A12CF7">
      <w:pPr>
        <w:pStyle w:val="BodyText"/>
        <w:jc w:val="both"/>
        <w:rPr>
          <w:rFonts w:ascii="Arial" w:hAnsi="Arial" w:cs="Arial"/>
          <w:lang w:val="mk-MK"/>
        </w:rPr>
      </w:pPr>
    </w:p>
    <w:p w14:paraId="4569D36E" w14:textId="07E100A0" w:rsidR="00BD0CFC" w:rsidRDefault="00BD0CFC" w:rsidP="00A12CF7">
      <w:pPr>
        <w:pStyle w:val="BodyText"/>
        <w:jc w:val="both"/>
        <w:rPr>
          <w:rFonts w:ascii="Arial" w:hAnsi="Arial" w:cs="Arial"/>
          <w:lang w:val="mk-MK"/>
        </w:rPr>
      </w:pPr>
    </w:p>
    <w:p w14:paraId="5DE1AF8C" w14:textId="36187B41" w:rsidR="00BD0CFC" w:rsidRDefault="00BD0CFC" w:rsidP="00A12CF7">
      <w:pPr>
        <w:pStyle w:val="BodyText"/>
        <w:jc w:val="both"/>
        <w:rPr>
          <w:rFonts w:ascii="Arial" w:hAnsi="Arial" w:cs="Arial"/>
          <w:lang w:val="mk-MK"/>
        </w:rPr>
      </w:pPr>
    </w:p>
    <w:p w14:paraId="643D4DF1" w14:textId="1EE414E2" w:rsidR="00BD0CFC" w:rsidRDefault="00BD0CFC" w:rsidP="00A12CF7">
      <w:pPr>
        <w:pStyle w:val="BodyText"/>
        <w:jc w:val="both"/>
        <w:rPr>
          <w:rFonts w:ascii="Arial" w:hAnsi="Arial" w:cs="Arial"/>
          <w:lang w:val="mk-MK"/>
        </w:rPr>
      </w:pPr>
    </w:p>
    <w:p w14:paraId="2F01DF05" w14:textId="77777777" w:rsidR="00BD0CFC" w:rsidRPr="00CE3053" w:rsidRDefault="00BD0CFC" w:rsidP="00A12CF7">
      <w:pPr>
        <w:pStyle w:val="BodyText"/>
        <w:jc w:val="both"/>
        <w:rPr>
          <w:rFonts w:ascii="Arial" w:hAnsi="Arial" w:cs="Arial"/>
          <w:lang w:val="mk-MK"/>
        </w:rPr>
      </w:pPr>
    </w:p>
    <w:p w14:paraId="54E0A9F8" w14:textId="582193AA" w:rsidR="00A12CF7" w:rsidRPr="00CE3053" w:rsidRDefault="000B5277" w:rsidP="00A12CF7">
      <w:pPr>
        <w:pStyle w:val="NumberedHeading1"/>
        <w:numPr>
          <w:ilvl w:val="0"/>
          <w:numId w:val="22"/>
        </w:numPr>
        <w:spacing w:before="0" w:after="0" w:line="260" w:lineRule="atLeast"/>
        <w:jc w:val="both"/>
        <w:rPr>
          <w:rFonts w:ascii="Arial" w:hAnsi="Arial" w:cs="Arial"/>
          <w:b/>
          <w:color w:val="4F2D7F"/>
          <w:sz w:val="18"/>
          <w:lang w:val="mk-MK"/>
        </w:rPr>
      </w:pPr>
      <w:r>
        <w:rPr>
          <w:rFonts w:ascii="Arial" w:hAnsi="Arial" w:cs="Arial"/>
          <w:b/>
          <w:color w:val="4F2D7F"/>
          <w:sz w:val="18"/>
          <w:lang w:val="en-US"/>
        </w:rPr>
        <w:lastRenderedPageBreak/>
        <w:t>Events after the reporting date</w:t>
      </w:r>
    </w:p>
    <w:p w14:paraId="49E561F7" w14:textId="77777777" w:rsidR="00A12CF7" w:rsidRPr="00CE3053" w:rsidRDefault="00A12CF7" w:rsidP="00A12CF7">
      <w:pPr>
        <w:pStyle w:val="NumberedBodyText"/>
        <w:numPr>
          <w:ilvl w:val="0"/>
          <w:numId w:val="0"/>
        </w:numPr>
        <w:rPr>
          <w:lang w:val="mk-MK"/>
        </w:rPr>
      </w:pPr>
    </w:p>
    <w:p w14:paraId="18AA283B" w14:textId="06D20AEC" w:rsidR="000B5277" w:rsidRDefault="000B5277" w:rsidP="00A12CF7">
      <w:pPr>
        <w:pStyle w:val="BodyText"/>
        <w:jc w:val="both"/>
        <w:rPr>
          <w:rFonts w:ascii="Arial" w:hAnsi="Arial" w:cs="Arial"/>
          <w:lang w:val="mk-MK"/>
        </w:rPr>
      </w:pPr>
      <w:proofErr w:type="spellStart"/>
      <w:r w:rsidRPr="000B5277">
        <w:rPr>
          <w:rFonts w:ascii="Arial" w:hAnsi="Arial" w:cs="Arial"/>
          <w:lang w:val="mk-MK"/>
        </w:rPr>
        <w:t>On</w:t>
      </w:r>
      <w:proofErr w:type="spellEnd"/>
      <w:r w:rsidRPr="000B5277">
        <w:rPr>
          <w:rFonts w:ascii="Arial" w:hAnsi="Arial" w:cs="Arial"/>
          <w:lang w:val="mk-MK"/>
        </w:rPr>
        <w:t xml:space="preserve"> </w:t>
      </w:r>
      <w:r w:rsidR="00150F49">
        <w:rPr>
          <w:rFonts w:ascii="Arial" w:hAnsi="Arial" w:cs="Arial"/>
          <w:lang w:val="en-US"/>
        </w:rPr>
        <w:t xml:space="preserve">24 </w:t>
      </w:r>
      <w:proofErr w:type="spellStart"/>
      <w:r w:rsidRPr="000B5277">
        <w:rPr>
          <w:rFonts w:ascii="Arial" w:hAnsi="Arial" w:cs="Arial"/>
          <w:lang w:val="mk-MK"/>
        </w:rPr>
        <w:t>February</w:t>
      </w:r>
      <w:proofErr w:type="spellEnd"/>
      <w:r w:rsidRPr="000B5277">
        <w:rPr>
          <w:rFonts w:ascii="Arial" w:hAnsi="Arial" w:cs="Arial"/>
          <w:lang w:val="mk-MK"/>
        </w:rPr>
        <w:t xml:space="preserve"> 2022,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Russian</w:t>
      </w:r>
      <w:proofErr w:type="spellEnd"/>
      <w:r w:rsidRPr="000B5277">
        <w:rPr>
          <w:rFonts w:ascii="Arial" w:hAnsi="Arial" w:cs="Arial"/>
          <w:lang w:val="mk-MK"/>
        </w:rPr>
        <w:t xml:space="preserve"> </w:t>
      </w:r>
      <w:proofErr w:type="spellStart"/>
      <w:r w:rsidRPr="000B5277">
        <w:rPr>
          <w:rFonts w:ascii="Arial" w:hAnsi="Arial" w:cs="Arial"/>
          <w:lang w:val="mk-MK"/>
        </w:rPr>
        <w:t>Federation</w:t>
      </w:r>
      <w:proofErr w:type="spellEnd"/>
      <w:r w:rsidRPr="000B5277">
        <w:rPr>
          <w:rFonts w:ascii="Arial" w:hAnsi="Arial" w:cs="Arial"/>
          <w:lang w:val="mk-MK"/>
        </w:rPr>
        <w:t xml:space="preserve"> </w:t>
      </w:r>
      <w:r w:rsidR="00B90724">
        <w:rPr>
          <w:rFonts w:ascii="Arial" w:hAnsi="Arial" w:cs="Arial"/>
          <w:lang w:val="en-US"/>
        </w:rPr>
        <w:t>started</w:t>
      </w:r>
      <w:r w:rsidR="00B90724" w:rsidRPr="000B5277">
        <w:rPr>
          <w:rFonts w:ascii="Arial" w:hAnsi="Arial" w:cs="Arial"/>
          <w:lang w:val="mk-MK"/>
        </w:rPr>
        <w:t xml:space="preserve"> </w:t>
      </w:r>
      <w:r w:rsidRPr="000B5277">
        <w:rPr>
          <w:rFonts w:ascii="Arial" w:hAnsi="Arial" w:cs="Arial"/>
          <w:lang w:val="mk-MK"/>
        </w:rPr>
        <w:t xml:space="preserve">a </w:t>
      </w:r>
      <w:proofErr w:type="spellStart"/>
      <w:r w:rsidRPr="000B5277">
        <w:rPr>
          <w:rFonts w:ascii="Arial" w:hAnsi="Arial" w:cs="Arial"/>
          <w:lang w:val="mk-MK"/>
        </w:rPr>
        <w:t>military</w:t>
      </w:r>
      <w:proofErr w:type="spellEnd"/>
      <w:r w:rsidRPr="000B5277">
        <w:rPr>
          <w:rFonts w:ascii="Arial" w:hAnsi="Arial" w:cs="Arial"/>
          <w:lang w:val="mk-MK"/>
        </w:rPr>
        <w:t xml:space="preserve"> </w:t>
      </w:r>
      <w:proofErr w:type="spellStart"/>
      <w:r w:rsidRPr="000B5277">
        <w:rPr>
          <w:rFonts w:ascii="Arial" w:hAnsi="Arial" w:cs="Arial"/>
          <w:lang w:val="mk-MK"/>
        </w:rPr>
        <w:t>invasion</w:t>
      </w:r>
      <w:proofErr w:type="spellEnd"/>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Ukraine</w:t>
      </w:r>
      <w:proofErr w:type="spellEnd"/>
      <w:r w:rsidRPr="000B5277">
        <w:rPr>
          <w:rFonts w:ascii="Arial" w:hAnsi="Arial" w:cs="Arial"/>
          <w:lang w:val="mk-MK"/>
        </w:rPr>
        <w:t xml:space="preserve">, </w:t>
      </w:r>
      <w:proofErr w:type="spellStart"/>
      <w:r w:rsidRPr="000B5277">
        <w:rPr>
          <w:rFonts w:ascii="Arial" w:hAnsi="Arial" w:cs="Arial"/>
          <w:lang w:val="mk-MK"/>
        </w:rPr>
        <w:t>which</w:t>
      </w:r>
      <w:proofErr w:type="spellEnd"/>
      <w:r w:rsidRPr="000B5277">
        <w:rPr>
          <w:rFonts w:ascii="Arial" w:hAnsi="Arial" w:cs="Arial"/>
          <w:lang w:val="mk-MK"/>
        </w:rPr>
        <w:t xml:space="preserve"> </w:t>
      </w:r>
      <w:proofErr w:type="spellStart"/>
      <w:r w:rsidRPr="000B5277">
        <w:rPr>
          <w:rFonts w:ascii="Arial" w:hAnsi="Arial" w:cs="Arial"/>
          <w:lang w:val="mk-MK"/>
        </w:rPr>
        <w:t>affected</w:t>
      </w:r>
      <w:proofErr w:type="spellEnd"/>
      <w:r w:rsidRPr="000B5277">
        <w:rPr>
          <w:rFonts w:ascii="Arial" w:hAnsi="Arial" w:cs="Arial"/>
          <w:lang w:val="mk-MK"/>
        </w:rPr>
        <w:t xml:space="preserve"> </w:t>
      </w:r>
      <w:proofErr w:type="spellStart"/>
      <w:r w:rsidRPr="000B5277">
        <w:rPr>
          <w:rFonts w:ascii="Arial" w:hAnsi="Arial" w:cs="Arial"/>
          <w:lang w:val="mk-MK"/>
        </w:rPr>
        <w:t>Europe</w:t>
      </w:r>
      <w:proofErr w:type="spellEnd"/>
      <w:r w:rsidRPr="000B5277">
        <w:rPr>
          <w:rFonts w:ascii="Arial" w:hAnsi="Arial" w:cs="Arial"/>
          <w:lang w:val="mk-MK"/>
        </w:rPr>
        <w:t xml:space="preserve"> </w:t>
      </w:r>
      <w:proofErr w:type="spellStart"/>
      <w:r w:rsidRPr="000B5277">
        <w:rPr>
          <w:rFonts w:ascii="Arial" w:hAnsi="Arial" w:cs="Arial"/>
          <w:lang w:val="mk-MK"/>
        </w:rPr>
        <w:t>and</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rest</w:t>
      </w:r>
      <w:proofErr w:type="spellEnd"/>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world</w:t>
      </w:r>
      <w:proofErr w:type="spellEnd"/>
      <w:r w:rsidRPr="000B5277">
        <w:rPr>
          <w:rFonts w:ascii="Arial" w:hAnsi="Arial" w:cs="Arial"/>
          <w:lang w:val="mk-MK"/>
        </w:rPr>
        <w:t xml:space="preserve"> </w:t>
      </w:r>
      <w:proofErr w:type="spellStart"/>
      <w:r w:rsidRPr="000B5277">
        <w:rPr>
          <w:rFonts w:ascii="Arial" w:hAnsi="Arial" w:cs="Arial"/>
          <w:lang w:val="mk-MK"/>
        </w:rPr>
        <w:t>by</w:t>
      </w:r>
      <w:proofErr w:type="spellEnd"/>
      <w:r w:rsidRPr="000B5277">
        <w:rPr>
          <w:rFonts w:ascii="Arial" w:hAnsi="Arial" w:cs="Arial"/>
          <w:lang w:val="mk-MK"/>
        </w:rPr>
        <w:t xml:space="preserve"> a </w:t>
      </w:r>
      <w:proofErr w:type="spellStart"/>
      <w:r w:rsidRPr="000B5277">
        <w:rPr>
          <w:rFonts w:ascii="Arial" w:hAnsi="Arial" w:cs="Arial"/>
          <w:lang w:val="mk-MK"/>
        </w:rPr>
        <w:t>new</w:t>
      </w:r>
      <w:proofErr w:type="spellEnd"/>
      <w:r w:rsidRPr="000B5277">
        <w:rPr>
          <w:rFonts w:ascii="Arial" w:hAnsi="Arial" w:cs="Arial"/>
          <w:lang w:val="mk-MK"/>
        </w:rPr>
        <w:t xml:space="preserve"> </w:t>
      </w:r>
      <w:proofErr w:type="spellStart"/>
      <w:r w:rsidRPr="000B5277">
        <w:rPr>
          <w:rFonts w:ascii="Arial" w:hAnsi="Arial" w:cs="Arial"/>
          <w:lang w:val="mk-MK"/>
        </w:rPr>
        <w:t>military</w:t>
      </w:r>
      <w:proofErr w:type="spellEnd"/>
      <w:r w:rsidRPr="000B5277">
        <w:rPr>
          <w:rFonts w:ascii="Arial" w:hAnsi="Arial" w:cs="Arial"/>
          <w:lang w:val="mk-MK"/>
        </w:rPr>
        <w:t xml:space="preserve"> </w:t>
      </w:r>
      <w:proofErr w:type="spellStart"/>
      <w:r w:rsidRPr="000B5277">
        <w:rPr>
          <w:rFonts w:ascii="Arial" w:hAnsi="Arial" w:cs="Arial"/>
          <w:lang w:val="mk-MK"/>
        </w:rPr>
        <w:t>situation</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global</w:t>
      </w:r>
      <w:proofErr w:type="spellEnd"/>
      <w:r w:rsidRPr="000B5277">
        <w:rPr>
          <w:rFonts w:ascii="Arial" w:hAnsi="Arial" w:cs="Arial"/>
          <w:lang w:val="mk-MK"/>
        </w:rPr>
        <w:t xml:space="preserve"> </w:t>
      </w:r>
      <w:proofErr w:type="spellStart"/>
      <w:r w:rsidRPr="000B5277">
        <w:rPr>
          <w:rFonts w:ascii="Arial" w:hAnsi="Arial" w:cs="Arial"/>
          <w:lang w:val="mk-MK"/>
        </w:rPr>
        <w:t>economic</w:t>
      </w:r>
      <w:proofErr w:type="spellEnd"/>
      <w:r w:rsidRPr="000B5277">
        <w:rPr>
          <w:rFonts w:ascii="Arial" w:hAnsi="Arial" w:cs="Arial"/>
          <w:lang w:val="mk-MK"/>
        </w:rPr>
        <w:t xml:space="preserve"> </w:t>
      </w:r>
      <w:proofErr w:type="spellStart"/>
      <w:r w:rsidRPr="000B5277">
        <w:rPr>
          <w:rFonts w:ascii="Arial" w:hAnsi="Arial" w:cs="Arial"/>
          <w:lang w:val="mk-MK"/>
        </w:rPr>
        <w:t>crisis</w:t>
      </w:r>
      <w:proofErr w:type="spellEnd"/>
      <w:r w:rsidRPr="000B5277">
        <w:rPr>
          <w:rFonts w:ascii="Arial" w:hAnsi="Arial" w:cs="Arial"/>
          <w:lang w:val="mk-MK"/>
        </w:rPr>
        <w:t xml:space="preserve"> </w:t>
      </w:r>
      <w:proofErr w:type="spellStart"/>
      <w:r w:rsidRPr="000B5277">
        <w:rPr>
          <w:rFonts w:ascii="Arial" w:hAnsi="Arial" w:cs="Arial"/>
          <w:lang w:val="mk-MK"/>
        </w:rPr>
        <w:t>caused</w:t>
      </w:r>
      <w:proofErr w:type="spellEnd"/>
      <w:r w:rsidRPr="000B5277">
        <w:rPr>
          <w:rFonts w:ascii="Arial" w:hAnsi="Arial" w:cs="Arial"/>
          <w:lang w:val="mk-MK"/>
        </w:rPr>
        <w:t xml:space="preserve"> </w:t>
      </w:r>
      <w:proofErr w:type="spellStart"/>
      <w:r w:rsidRPr="000B5277">
        <w:rPr>
          <w:rFonts w:ascii="Arial" w:hAnsi="Arial" w:cs="Arial"/>
          <w:lang w:val="mk-MK"/>
        </w:rPr>
        <w:t>by</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COVID-19 </w:t>
      </w:r>
      <w:proofErr w:type="spellStart"/>
      <w:r w:rsidRPr="000B5277">
        <w:rPr>
          <w:rFonts w:ascii="Arial" w:hAnsi="Arial" w:cs="Arial"/>
          <w:lang w:val="mk-MK"/>
        </w:rPr>
        <w:t>pandemic</w:t>
      </w:r>
      <w:proofErr w:type="spellEnd"/>
      <w:r w:rsidRPr="000B5277">
        <w:rPr>
          <w:rFonts w:ascii="Arial" w:hAnsi="Arial" w:cs="Arial"/>
          <w:lang w:val="mk-MK"/>
        </w:rPr>
        <w:t xml:space="preserve"> </w:t>
      </w:r>
      <w:proofErr w:type="spellStart"/>
      <w:r w:rsidRPr="000B5277">
        <w:rPr>
          <w:rFonts w:ascii="Arial" w:hAnsi="Arial" w:cs="Arial"/>
          <w:lang w:val="mk-MK"/>
        </w:rPr>
        <w:t>has</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potential</w:t>
      </w:r>
      <w:proofErr w:type="spellEnd"/>
      <w:r w:rsidRPr="000B5277">
        <w:rPr>
          <w:rFonts w:ascii="Arial" w:hAnsi="Arial" w:cs="Arial"/>
          <w:lang w:val="mk-MK"/>
        </w:rPr>
        <w:t xml:space="preserve"> </w:t>
      </w:r>
      <w:proofErr w:type="spellStart"/>
      <w:r w:rsidRPr="000B5277">
        <w:rPr>
          <w:rFonts w:ascii="Arial" w:hAnsi="Arial" w:cs="Arial"/>
          <w:lang w:val="mk-MK"/>
        </w:rPr>
        <w:t>to</w:t>
      </w:r>
      <w:proofErr w:type="spellEnd"/>
      <w:r w:rsidRPr="000B5277">
        <w:rPr>
          <w:rFonts w:ascii="Arial" w:hAnsi="Arial" w:cs="Arial"/>
          <w:lang w:val="mk-MK"/>
        </w:rPr>
        <w:t xml:space="preserve"> </w:t>
      </w:r>
      <w:proofErr w:type="spellStart"/>
      <w:r w:rsidRPr="00EC0E92">
        <w:rPr>
          <w:rFonts w:ascii="Arial" w:hAnsi="Arial" w:cs="Arial"/>
          <w:lang w:val="mk-MK"/>
        </w:rPr>
        <w:t>deepen</w:t>
      </w:r>
      <w:proofErr w:type="spellEnd"/>
      <w:r w:rsidRPr="00EC0E92">
        <w:rPr>
          <w:rFonts w:ascii="Arial" w:hAnsi="Arial" w:cs="Arial"/>
          <w:lang w:val="mk-MK"/>
        </w:rPr>
        <w:t xml:space="preserve"> </w:t>
      </w:r>
      <w:proofErr w:type="spellStart"/>
      <w:r w:rsidRPr="00EC0E92">
        <w:rPr>
          <w:rFonts w:ascii="Arial" w:hAnsi="Arial" w:cs="Arial"/>
          <w:lang w:val="mk-MK"/>
        </w:rPr>
        <w:t>due</w:t>
      </w:r>
      <w:proofErr w:type="spellEnd"/>
      <w:r w:rsidRPr="00EC0E92">
        <w:rPr>
          <w:rFonts w:ascii="Arial" w:hAnsi="Arial" w:cs="Arial"/>
          <w:lang w:val="mk-MK"/>
        </w:rPr>
        <w:t xml:space="preserve"> </w:t>
      </w:r>
      <w:proofErr w:type="spellStart"/>
      <w:r w:rsidRPr="00EC0E92">
        <w:rPr>
          <w:rFonts w:ascii="Arial" w:hAnsi="Arial" w:cs="Arial"/>
          <w:lang w:val="mk-MK"/>
        </w:rPr>
        <w:t>to</w:t>
      </w:r>
      <w:proofErr w:type="spellEnd"/>
      <w:r w:rsidRPr="00EC0E92">
        <w:rPr>
          <w:rFonts w:ascii="Arial" w:hAnsi="Arial" w:cs="Arial"/>
          <w:lang w:val="mk-MK"/>
        </w:rPr>
        <w:t xml:space="preserve"> </w:t>
      </w:r>
      <w:proofErr w:type="spellStart"/>
      <w:r w:rsidRPr="00EC0E92">
        <w:rPr>
          <w:rFonts w:ascii="Arial" w:hAnsi="Arial" w:cs="Arial"/>
          <w:lang w:val="mk-MK"/>
        </w:rPr>
        <w:t>recent</w:t>
      </w:r>
      <w:proofErr w:type="spellEnd"/>
      <w:r w:rsidRPr="00EC0E92">
        <w:rPr>
          <w:rFonts w:ascii="Arial" w:hAnsi="Arial" w:cs="Arial"/>
          <w:lang w:val="mk-MK"/>
        </w:rPr>
        <w:t xml:space="preserve"> </w:t>
      </w:r>
      <w:proofErr w:type="spellStart"/>
      <w:r w:rsidRPr="00EC0E92">
        <w:rPr>
          <w:rFonts w:ascii="Arial" w:hAnsi="Arial" w:cs="Arial"/>
          <w:lang w:val="mk-MK"/>
        </w:rPr>
        <w:t>developments</w:t>
      </w:r>
      <w:proofErr w:type="spellEnd"/>
      <w:r w:rsidRPr="00EC0E92">
        <w:rPr>
          <w:rFonts w:ascii="Arial" w:hAnsi="Arial" w:cs="Arial"/>
          <w:lang w:val="mk-MK"/>
        </w:rPr>
        <w:t xml:space="preserve"> </w:t>
      </w:r>
      <w:proofErr w:type="spellStart"/>
      <w:r w:rsidRPr="00EC0E92">
        <w:rPr>
          <w:rFonts w:ascii="Arial" w:hAnsi="Arial" w:cs="Arial"/>
          <w:lang w:val="mk-MK"/>
        </w:rPr>
        <w:t>on</w:t>
      </w:r>
      <w:proofErr w:type="spellEnd"/>
      <w:r w:rsidRPr="00EC0E92">
        <w:rPr>
          <w:rFonts w:ascii="Arial" w:hAnsi="Arial" w:cs="Arial"/>
          <w:lang w:val="mk-MK"/>
        </w:rPr>
        <w:t xml:space="preserve"> </w:t>
      </w:r>
      <w:proofErr w:type="spellStart"/>
      <w:r w:rsidRPr="00EC0E92">
        <w:rPr>
          <w:rFonts w:ascii="Arial" w:hAnsi="Arial" w:cs="Arial"/>
          <w:lang w:val="mk-MK"/>
        </w:rPr>
        <w:t>the</w:t>
      </w:r>
      <w:proofErr w:type="spellEnd"/>
      <w:r w:rsidRPr="00EC0E92">
        <w:rPr>
          <w:rFonts w:ascii="Arial" w:hAnsi="Arial" w:cs="Arial"/>
          <w:lang w:val="mk-MK"/>
        </w:rPr>
        <w:t xml:space="preserve"> </w:t>
      </w:r>
      <w:proofErr w:type="spellStart"/>
      <w:r w:rsidRPr="00EC0E92">
        <w:rPr>
          <w:rFonts w:ascii="Arial" w:hAnsi="Arial" w:cs="Arial"/>
          <w:lang w:val="mk-MK"/>
        </w:rPr>
        <w:t>world</w:t>
      </w:r>
      <w:proofErr w:type="spellEnd"/>
      <w:r w:rsidRPr="00EC0E92">
        <w:rPr>
          <w:rFonts w:ascii="Arial" w:hAnsi="Arial" w:cs="Arial"/>
          <w:lang w:val="mk-MK"/>
        </w:rPr>
        <w:t xml:space="preserve"> </w:t>
      </w:r>
      <w:proofErr w:type="spellStart"/>
      <w:r w:rsidRPr="00EC0E92">
        <w:rPr>
          <w:rFonts w:ascii="Arial" w:hAnsi="Arial" w:cs="Arial"/>
          <w:lang w:val="mk-MK"/>
        </w:rPr>
        <w:t>political</w:t>
      </w:r>
      <w:proofErr w:type="spellEnd"/>
      <w:r w:rsidRPr="00EC0E92">
        <w:rPr>
          <w:rFonts w:ascii="Arial" w:hAnsi="Arial" w:cs="Arial"/>
          <w:lang w:val="mk-MK"/>
        </w:rPr>
        <w:t xml:space="preserve"> </w:t>
      </w:r>
      <w:proofErr w:type="spellStart"/>
      <w:r w:rsidRPr="00EC0E92">
        <w:rPr>
          <w:rFonts w:ascii="Arial" w:hAnsi="Arial" w:cs="Arial"/>
          <w:lang w:val="mk-MK"/>
        </w:rPr>
        <w:t>scene</w:t>
      </w:r>
      <w:proofErr w:type="spellEnd"/>
      <w:r w:rsidRPr="00EC0E92">
        <w:rPr>
          <w:rFonts w:ascii="Arial" w:hAnsi="Arial" w:cs="Arial"/>
          <w:lang w:val="mk-MK"/>
        </w:rPr>
        <w:t xml:space="preserve"> </w:t>
      </w:r>
      <w:proofErr w:type="spellStart"/>
      <w:r w:rsidRPr="00EC0E92">
        <w:rPr>
          <w:rFonts w:ascii="Arial" w:hAnsi="Arial" w:cs="Arial"/>
          <w:lang w:val="mk-MK"/>
        </w:rPr>
        <w:t>with</w:t>
      </w:r>
      <w:proofErr w:type="spellEnd"/>
      <w:r w:rsidRPr="00EC0E92">
        <w:rPr>
          <w:rFonts w:ascii="Arial" w:hAnsi="Arial" w:cs="Arial"/>
          <w:lang w:val="mk-MK"/>
        </w:rPr>
        <w:t xml:space="preserve"> </w:t>
      </w:r>
      <w:proofErr w:type="spellStart"/>
      <w:r w:rsidRPr="00EC0E92">
        <w:rPr>
          <w:rFonts w:ascii="Arial" w:hAnsi="Arial" w:cs="Arial"/>
          <w:lang w:val="mk-MK"/>
        </w:rPr>
        <w:t>Russia's</w:t>
      </w:r>
      <w:proofErr w:type="spellEnd"/>
      <w:r w:rsidRPr="00EC0E92">
        <w:rPr>
          <w:rFonts w:ascii="Arial" w:hAnsi="Arial" w:cs="Arial"/>
          <w:lang w:val="mk-MK"/>
        </w:rPr>
        <w:t xml:space="preserve"> </w:t>
      </w:r>
      <w:proofErr w:type="spellStart"/>
      <w:r w:rsidRPr="00EC0E92">
        <w:rPr>
          <w:rFonts w:ascii="Arial" w:hAnsi="Arial" w:cs="Arial"/>
          <w:lang w:val="mk-MK"/>
        </w:rPr>
        <w:t>military</w:t>
      </w:r>
      <w:proofErr w:type="spellEnd"/>
      <w:r w:rsidRPr="00EC0E92">
        <w:rPr>
          <w:rFonts w:ascii="Arial" w:hAnsi="Arial" w:cs="Arial"/>
          <w:lang w:val="mk-MK"/>
        </w:rPr>
        <w:t xml:space="preserve"> </w:t>
      </w:r>
      <w:proofErr w:type="spellStart"/>
      <w:r w:rsidRPr="00EC0E92">
        <w:rPr>
          <w:rFonts w:ascii="Arial" w:hAnsi="Arial" w:cs="Arial"/>
          <w:lang w:val="mk-MK"/>
        </w:rPr>
        <w:t>invasion</w:t>
      </w:r>
      <w:proofErr w:type="spellEnd"/>
      <w:r w:rsidRPr="00EC0E92">
        <w:rPr>
          <w:rFonts w:ascii="Arial" w:hAnsi="Arial" w:cs="Arial"/>
          <w:lang w:val="mk-MK"/>
        </w:rPr>
        <w:t xml:space="preserve"> </w:t>
      </w:r>
      <w:proofErr w:type="spellStart"/>
      <w:r w:rsidRPr="00EC0E92">
        <w:rPr>
          <w:rFonts w:ascii="Arial" w:hAnsi="Arial" w:cs="Arial"/>
          <w:lang w:val="mk-MK"/>
        </w:rPr>
        <w:t>of</w:t>
      </w:r>
      <w:proofErr w:type="spellEnd"/>
      <w:r w:rsidRPr="00EC0E92">
        <w:rPr>
          <w:rFonts w:ascii="Arial" w:hAnsi="Arial" w:cs="Arial"/>
          <w:lang w:val="mk-MK"/>
        </w:rPr>
        <w:t xml:space="preserve"> </w:t>
      </w:r>
      <w:proofErr w:type="spellStart"/>
      <w:r w:rsidRPr="00EC0E92">
        <w:rPr>
          <w:rFonts w:ascii="Arial" w:hAnsi="Arial" w:cs="Arial"/>
          <w:lang w:val="mk-MK"/>
        </w:rPr>
        <w:t>Ukraine</w:t>
      </w:r>
      <w:proofErr w:type="spellEnd"/>
      <w:r w:rsidRPr="00EC0E92">
        <w:rPr>
          <w:rFonts w:ascii="Arial" w:hAnsi="Arial" w:cs="Arial"/>
          <w:lang w:val="mk-MK"/>
        </w:rPr>
        <w:t xml:space="preserve"> </w:t>
      </w:r>
      <w:proofErr w:type="spellStart"/>
      <w:r w:rsidRPr="00EC0E92">
        <w:rPr>
          <w:rFonts w:ascii="Arial" w:hAnsi="Arial" w:cs="Arial"/>
          <w:lang w:val="mk-MK"/>
        </w:rPr>
        <w:t>and</w:t>
      </w:r>
      <w:proofErr w:type="spellEnd"/>
      <w:r w:rsidRPr="00EC0E92">
        <w:rPr>
          <w:rFonts w:ascii="Arial" w:hAnsi="Arial" w:cs="Arial"/>
          <w:lang w:val="mk-MK"/>
        </w:rPr>
        <w:t xml:space="preserve"> </w:t>
      </w:r>
      <w:proofErr w:type="spellStart"/>
      <w:r w:rsidRPr="00EC0E92">
        <w:rPr>
          <w:rFonts w:ascii="Arial" w:hAnsi="Arial" w:cs="Arial"/>
          <w:lang w:val="mk-MK"/>
        </w:rPr>
        <w:t>the</w:t>
      </w:r>
      <w:proofErr w:type="spellEnd"/>
      <w:r w:rsidRPr="00EC0E92">
        <w:rPr>
          <w:rFonts w:ascii="Arial" w:hAnsi="Arial" w:cs="Arial"/>
          <w:lang w:val="mk-MK"/>
        </w:rPr>
        <w:t xml:space="preserve"> </w:t>
      </w:r>
      <w:proofErr w:type="spellStart"/>
      <w:r w:rsidRPr="00EC0E92">
        <w:rPr>
          <w:rFonts w:ascii="Arial" w:hAnsi="Arial" w:cs="Arial"/>
          <w:lang w:val="mk-MK"/>
        </w:rPr>
        <w:t>sanctions</w:t>
      </w:r>
      <w:proofErr w:type="spellEnd"/>
      <w:r w:rsidRPr="00EC0E92">
        <w:rPr>
          <w:rFonts w:ascii="Arial" w:hAnsi="Arial" w:cs="Arial"/>
          <w:lang w:val="mk-MK"/>
        </w:rPr>
        <w:t xml:space="preserve"> </w:t>
      </w:r>
      <w:proofErr w:type="spellStart"/>
      <w:r w:rsidRPr="00EC0E92">
        <w:rPr>
          <w:rFonts w:ascii="Arial" w:hAnsi="Arial" w:cs="Arial"/>
          <w:lang w:val="mk-MK"/>
        </w:rPr>
        <w:t>that</w:t>
      </w:r>
      <w:proofErr w:type="spellEnd"/>
      <w:r w:rsidRPr="00EC0E92">
        <w:rPr>
          <w:rFonts w:ascii="Arial" w:hAnsi="Arial" w:cs="Arial"/>
          <w:lang w:val="mk-MK"/>
        </w:rPr>
        <w:t xml:space="preserve"> </w:t>
      </w:r>
      <w:proofErr w:type="spellStart"/>
      <w:r w:rsidRPr="00EC0E92">
        <w:rPr>
          <w:rFonts w:ascii="Arial" w:hAnsi="Arial" w:cs="Arial"/>
          <w:lang w:val="mk-MK"/>
        </w:rPr>
        <w:t>world</w:t>
      </w:r>
      <w:proofErr w:type="spellEnd"/>
      <w:r w:rsidRPr="00EC0E92">
        <w:rPr>
          <w:rFonts w:ascii="Arial" w:hAnsi="Arial" w:cs="Arial"/>
          <w:lang w:val="mk-MK"/>
        </w:rPr>
        <w:t xml:space="preserve"> </w:t>
      </w:r>
      <w:proofErr w:type="spellStart"/>
      <w:r w:rsidRPr="00EC0E92">
        <w:rPr>
          <w:rFonts w:ascii="Arial" w:hAnsi="Arial" w:cs="Arial"/>
          <w:lang w:val="mk-MK"/>
        </w:rPr>
        <w:t>leaders</w:t>
      </w:r>
      <w:proofErr w:type="spellEnd"/>
      <w:r w:rsidRPr="00EC0E92">
        <w:rPr>
          <w:rFonts w:ascii="Arial" w:hAnsi="Arial" w:cs="Arial"/>
          <w:lang w:val="mk-MK"/>
        </w:rPr>
        <w:t xml:space="preserve"> </w:t>
      </w:r>
      <w:proofErr w:type="spellStart"/>
      <w:r w:rsidRPr="00EC0E92">
        <w:rPr>
          <w:rFonts w:ascii="Arial" w:hAnsi="Arial" w:cs="Arial"/>
          <w:lang w:val="mk-MK"/>
        </w:rPr>
        <w:t>impose</w:t>
      </w:r>
      <w:proofErr w:type="spellEnd"/>
      <w:r w:rsidRPr="00EC0E92">
        <w:rPr>
          <w:rFonts w:ascii="Arial" w:hAnsi="Arial" w:cs="Arial"/>
          <w:lang w:val="mk-MK"/>
        </w:rPr>
        <w:t xml:space="preserve"> </w:t>
      </w:r>
      <w:proofErr w:type="spellStart"/>
      <w:r w:rsidRPr="00EC0E92">
        <w:rPr>
          <w:rFonts w:ascii="Arial" w:hAnsi="Arial" w:cs="Arial"/>
          <w:lang w:val="mk-MK"/>
        </w:rPr>
        <w:t>on</w:t>
      </w:r>
      <w:proofErr w:type="spellEnd"/>
      <w:r w:rsidRPr="00EC0E92">
        <w:rPr>
          <w:rFonts w:ascii="Arial" w:hAnsi="Arial" w:cs="Arial"/>
          <w:lang w:val="mk-MK"/>
        </w:rPr>
        <w:t xml:space="preserve"> </w:t>
      </w:r>
      <w:proofErr w:type="spellStart"/>
      <w:r w:rsidRPr="00EC0E92">
        <w:rPr>
          <w:rFonts w:ascii="Arial" w:hAnsi="Arial" w:cs="Arial"/>
          <w:lang w:val="mk-MK"/>
        </w:rPr>
        <w:t>Russia</w:t>
      </w:r>
      <w:proofErr w:type="spellEnd"/>
      <w:r w:rsidRPr="00EC0E92">
        <w:rPr>
          <w:rFonts w:ascii="Arial" w:hAnsi="Arial" w:cs="Arial"/>
          <w:lang w:val="mk-MK"/>
        </w:rPr>
        <w:t>.</w:t>
      </w:r>
    </w:p>
    <w:p w14:paraId="55AD2673" w14:textId="42F9BEC0" w:rsidR="000B5277" w:rsidRDefault="000B5277" w:rsidP="008C0FD0">
      <w:pPr>
        <w:pStyle w:val="BodyText"/>
        <w:jc w:val="both"/>
        <w:rPr>
          <w:rFonts w:ascii="Arial" w:hAnsi="Arial" w:cs="Arial"/>
          <w:lang w:val="en-US"/>
        </w:rPr>
      </w:pPr>
      <w:proofErr w:type="spellStart"/>
      <w:r w:rsidRPr="000B5277">
        <w:rPr>
          <w:rFonts w:ascii="Arial" w:hAnsi="Arial" w:cs="Arial"/>
          <w:lang w:val="mk-MK"/>
        </w:rPr>
        <w:t>As</w:t>
      </w:r>
      <w:proofErr w:type="spellEnd"/>
      <w:r w:rsidRPr="000B5277">
        <w:rPr>
          <w:rFonts w:ascii="Arial" w:hAnsi="Arial" w:cs="Arial"/>
          <w:lang w:val="mk-MK"/>
        </w:rPr>
        <w:t xml:space="preserve"> </w:t>
      </w:r>
      <w:proofErr w:type="spellStart"/>
      <w:r w:rsidRPr="000B5277">
        <w:rPr>
          <w:rFonts w:ascii="Arial" w:hAnsi="Arial" w:cs="Arial"/>
          <w:lang w:val="mk-MK"/>
        </w:rPr>
        <w:t>part</w:t>
      </w:r>
      <w:proofErr w:type="spellEnd"/>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sanctions</w:t>
      </w:r>
      <w:proofErr w:type="spellEnd"/>
      <w:r w:rsidRPr="000B5277">
        <w:rPr>
          <w:rFonts w:ascii="Arial" w:hAnsi="Arial" w:cs="Arial"/>
          <w:lang w:val="mk-MK"/>
        </w:rPr>
        <w:t xml:space="preserve"> </w:t>
      </w:r>
      <w:proofErr w:type="spellStart"/>
      <w:r w:rsidRPr="000B5277">
        <w:rPr>
          <w:rFonts w:ascii="Arial" w:hAnsi="Arial" w:cs="Arial"/>
          <w:lang w:val="mk-MK"/>
        </w:rPr>
        <w:t>that</w:t>
      </w:r>
      <w:proofErr w:type="spellEnd"/>
      <w:r w:rsidRPr="000B5277">
        <w:rPr>
          <w:rFonts w:ascii="Arial" w:hAnsi="Arial" w:cs="Arial"/>
          <w:lang w:val="mk-MK"/>
        </w:rPr>
        <w:t xml:space="preserve"> </w:t>
      </w:r>
      <w:proofErr w:type="spellStart"/>
      <w:r w:rsidRPr="000B5277">
        <w:rPr>
          <w:rFonts w:ascii="Arial" w:hAnsi="Arial" w:cs="Arial"/>
          <w:lang w:val="mk-MK"/>
        </w:rPr>
        <w:t>are</w:t>
      </w:r>
      <w:proofErr w:type="spellEnd"/>
      <w:r w:rsidRPr="000B5277">
        <w:rPr>
          <w:rFonts w:ascii="Arial" w:hAnsi="Arial" w:cs="Arial"/>
          <w:lang w:val="mk-MK"/>
        </w:rPr>
        <w:t xml:space="preserve"> </w:t>
      </w:r>
      <w:proofErr w:type="spellStart"/>
      <w:r w:rsidRPr="000B5277">
        <w:rPr>
          <w:rFonts w:ascii="Arial" w:hAnsi="Arial" w:cs="Arial"/>
          <w:lang w:val="mk-MK"/>
        </w:rPr>
        <w:t>being</w:t>
      </w:r>
      <w:proofErr w:type="spellEnd"/>
      <w:r w:rsidRPr="000B5277">
        <w:rPr>
          <w:rFonts w:ascii="Arial" w:hAnsi="Arial" w:cs="Arial"/>
          <w:lang w:val="mk-MK"/>
        </w:rPr>
        <w:t xml:space="preserve"> </w:t>
      </w:r>
      <w:proofErr w:type="spellStart"/>
      <w:r w:rsidRPr="000B5277">
        <w:rPr>
          <w:rFonts w:ascii="Arial" w:hAnsi="Arial" w:cs="Arial"/>
          <w:lang w:val="mk-MK"/>
        </w:rPr>
        <w:t>introduced</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European</w:t>
      </w:r>
      <w:proofErr w:type="spellEnd"/>
      <w:r w:rsidRPr="000B5277">
        <w:rPr>
          <w:rFonts w:ascii="Arial" w:hAnsi="Arial" w:cs="Arial"/>
          <w:lang w:val="mk-MK"/>
        </w:rPr>
        <w:t xml:space="preserve"> </w:t>
      </w:r>
      <w:r w:rsidR="002B0778">
        <w:rPr>
          <w:rFonts w:ascii="Arial" w:hAnsi="Arial" w:cs="Arial"/>
          <w:lang w:val="en-US"/>
        </w:rPr>
        <w:t xml:space="preserve">forum of deposits insurers </w:t>
      </w:r>
      <w:r w:rsidRPr="000B5277">
        <w:rPr>
          <w:rFonts w:ascii="Arial" w:hAnsi="Arial" w:cs="Arial"/>
          <w:lang w:val="mk-MK"/>
        </w:rPr>
        <w:t xml:space="preserve">(EFDI) </w:t>
      </w:r>
      <w:proofErr w:type="spellStart"/>
      <w:r w:rsidRPr="000B5277">
        <w:rPr>
          <w:rFonts w:ascii="Arial" w:hAnsi="Arial" w:cs="Arial"/>
          <w:lang w:val="mk-MK"/>
        </w:rPr>
        <w:t>where</w:t>
      </w:r>
      <w:proofErr w:type="spellEnd"/>
      <w:r w:rsidRPr="000B5277">
        <w:rPr>
          <w:rFonts w:ascii="Arial" w:hAnsi="Arial" w:cs="Arial"/>
          <w:lang w:val="mk-MK"/>
        </w:rPr>
        <w:t xml:space="preserve"> </w:t>
      </w:r>
      <w:proofErr w:type="spellStart"/>
      <w:r w:rsidRPr="000B5277">
        <w:rPr>
          <w:rFonts w:ascii="Arial" w:hAnsi="Arial" w:cs="Arial"/>
          <w:lang w:val="mk-MK"/>
        </w:rPr>
        <w:t>our</w:t>
      </w:r>
      <w:proofErr w:type="spellEnd"/>
      <w:r w:rsidRPr="000B5277">
        <w:rPr>
          <w:rFonts w:ascii="Arial" w:hAnsi="Arial" w:cs="Arial"/>
          <w:lang w:val="mk-MK"/>
        </w:rPr>
        <w:t xml:space="preserve"> </w:t>
      </w:r>
      <w:proofErr w:type="spellStart"/>
      <w:r w:rsidRPr="000B5277">
        <w:rPr>
          <w:rFonts w:ascii="Arial" w:hAnsi="Arial" w:cs="Arial"/>
          <w:lang w:val="mk-MK"/>
        </w:rPr>
        <w:t>institution</w:t>
      </w:r>
      <w:proofErr w:type="spellEnd"/>
      <w:r w:rsidRPr="000B5277">
        <w:rPr>
          <w:rFonts w:ascii="Arial" w:hAnsi="Arial" w:cs="Arial"/>
          <w:lang w:val="mk-MK"/>
        </w:rPr>
        <w:t xml:space="preserve"> </w:t>
      </w:r>
      <w:proofErr w:type="spellStart"/>
      <w:r w:rsidRPr="000B5277">
        <w:rPr>
          <w:rFonts w:ascii="Arial" w:hAnsi="Arial" w:cs="Arial"/>
          <w:lang w:val="mk-MK"/>
        </w:rPr>
        <w:t>is</w:t>
      </w:r>
      <w:proofErr w:type="spellEnd"/>
      <w:r w:rsidRPr="000B5277">
        <w:rPr>
          <w:rFonts w:ascii="Arial" w:hAnsi="Arial" w:cs="Arial"/>
          <w:lang w:val="mk-MK"/>
        </w:rPr>
        <w:t xml:space="preserve"> a </w:t>
      </w:r>
      <w:proofErr w:type="spellStart"/>
      <w:r w:rsidRPr="000B5277">
        <w:rPr>
          <w:rFonts w:ascii="Arial" w:hAnsi="Arial" w:cs="Arial"/>
          <w:lang w:val="mk-MK"/>
        </w:rPr>
        <w:t>full</w:t>
      </w:r>
      <w:proofErr w:type="spellEnd"/>
      <w:r w:rsidRPr="000B5277">
        <w:rPr>
          <w:rFonts w:ascii="Arial" w:hAnsi="Arial" w:cs="Arial"/>
          <w:lang w:val="mk-MK"/>
        </w:rPr>
        <w:t xml:space="preserve"> </w:t>
      </w:r>
      <w:proofErr w:type="spellStart"/>
      <w:r w:rsidRPr="000B5277">
        <w:rPr>
          <w:rFonts w:ascii="Arial" w:hAnsi="Arial" w:cs="Arial"/>
          <w:lang w:val="mk-MK"/>
        </w:rPr>
        <w:t>member</w:t>
      </w:r>
      <w:proofErr w:type="spellEnd"/>
      <w:r>
        <w:rPr>
          <w:rFonts w:ascii="Arial" w:hAnsi="Arial" w:cs="Arial"/>
          <w:lang w:val="en-US"/>
        </w:rPr>
        <w:t>,</w:t>
      </w:r>
      <w:r w:rsidRPr="000B5277">
        <w:rPr>
          <w:rFonts w:ascii="Arial" w:hAnsi="Arial" w:cs="Arial"/>
          <w:lang w:val="mk-MK"/>
        </w:rPr>
        <w:t xml:space="preserve"> </w:t>
      </w:r>
      <w:proofErr w:type="spellStart"/>
      <w:r w:rsidRPr="000B5277">
        <w:rPr>
          <w:rFonts w:ascii="Arial" w:hAnsi="Arial" w:cs="Arial"/>
          <w:lang w:val="mk-MK"/>
        </w:rPr>
        <w:t>on</w:t>
      </w:r>
      <w:proofErr w:type="spellEnd"/>
      <w:r w:rsidRPr="000B5277">
        <w:rPr>
          <w:rFonts w:ascii="Arial" w:hAnsi="Arial" w:cs="Arial"/>
          <w:lang w:val="mk-MK"/>
        </w:rPr>
        <w:t xml:space="preserve"> </w:t>
      </w:r>
      <w:r w:rsidR="00B90724">
        <w:rPr>
          <w:rFonts w:ascii="Arial" w:hAnsi="Arial" w:cs="Arial"/>
          <w:lang w:val="en-US"/>
        </w:rPr>
        <w:t xml:space="preserve">17 </w:t>
      </w:r>
      <w:proofErr w:type="spellStart"/>
      <w:r w:rsidRPr="000B5277">
        <w:rPr>
          <w:rFonts w:ascii="Arial" w:hAnsi="Arial" w:cs="Arial"/>
          <w:lang w:val="mk-MK"/>
        </w:rPr>
        <w:t>March</w:t>
      </w:r>
      <w:proofErr w:type="spellEnd"/>
      <w:r w:rsidRPr="000B5277">
        <w:rPr>
          <w:rFonts w:ascii="Arial" w:hAnsi="Arial" w:cs="Arial"/>
          <w:lang w:val="mk-MK"/>
        </w:rPr>
        <w:t xml:space="preserve"> 17 2022 </w:t>
      </w:r>
      <w:proofErr w:type="spellStart"/>
      <w:r w:rsidRPr="000B5277">
        <w:rPr>
          <w:rFonts w:ascii="Arial" w:hAnsi="Arial" w:cs="Arial"/>
          <w:lang w:val="mk-MK"/>
        </w:rPr>
        <w:t>froze</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membership</w:t>
      </w:r>
      <w:proofErr w:type="spellEnd"/>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Russian</w:t>
      </w:r>
      <w:proofErr w:type="spellEnd"/>
      <w:r w:rsidRPr="000B5277">
        <w:rPr>
          <w:rFonts w:ascii="Arial" w:hAnsi="Arial" w:cs="Arial"/>
          <w:lang w:val="mk-MK"/>
        </w:rPr>
        <w:t xml:space="preserve"> </w:t>
      </w:r>
      <w:proofErr w:type="spellStart"/>
      <w:r w:rsidRPr="000B5277">
        <w:rPr>
          <w:rFonts w:ascii="Arial" w:hAnsi="Arial" w:cs="Arial"/>
          <w:lang w:val="mk-MK"/>
        </w:rPr>
        <w:t>Deposit</w:t>
      </w:r>
      <w:proofErr w:type="spellEnd"/>
      <w:r w:rsidRPr="000B5277">
        <w:rPr>
          <w:rFonts w:ascii="Arial" w:hAnsi="Arial" w:cs="Arial"/>
          <w:lang w:val="mk-MK"/>
        </w:rPr>
        <w:t xml:space="preserve"> </w:t>
      </w:r>
      <w:proofErr w:type="spellStart"/>
      <w:r w:rsidRPr="000B5277">
        <w:rPr>
          <w:rFonts w:ascii="Arial" w:hAnsi="Arial" w:cs="Arial"/>
          <w:lang w:val="mk-MK"/>
        </w:rPr>
        <w:t>Insurance</w:t>
      </w:r>
      <w:proofErr w:type="spellEnd"/>
      <w:r w:rsidRPr="000B5277">
        <w:rPr>
          <w:rFonts w:ascii="Arial" w:hAnsi="Arial" w:cs="Arial"/>
          <w:lang w:val="mk-MK"/>
        </w:rPr>
        <w:t xml:space="preserve"> </w:t>
      </w:r>
      <w:proofErr w:type="spellStart"/>
      <w:r w:rsidRPr="000B5277">
        <w:rPr>
          <w:rFonts w:ascii="Arial" w:hAnsi="Arial" w:cs="Arial"/>
          <w:lang w:val="mk-MK"/>
        </w:rPr>
        <w:t>Fund</w:t>
      </w:r>
      <w:proofErr w:type="spellEnd"/>
      <w:r w:rsidRPr="000B5277">
        <w:rPr>
          <w:rFonts w:ascii="Arial" w:hAnsi="Arial" w:cs="Arial"/>
          <w:lang w:val="mk-MK"/>
        </w:rPr>
        <w:t xml:space="preserve"> </w:t>
      </w:r>
      <w:proofErr w:type="spellStart"/>
      <w:r w:rsidRPr="000B5277">
        <w:rPr>
          <w:rFonts w:ascii="Arial" w:hAnsi="Arial" w:cs="Arial"/>
          <w:lang w:val="mk-MK"/>
        </w:rPr>
        <w:t>and</w:t>
      </w:r>
      <w:proofErr w:type="spellEnd"/>
      <w:r w:rsidRPr="000B5277">
        <w:rPr>
          <w:rFonts w:ascii="Arial" w:hAnsi="Arial" w:cs="Arial"/>
          <w:lang w:val="mk-MK"/>
        </w:rPr>
        <w:t xml:space="preserve"> </w:t>
      </w:r>
      <w:proofErr w:type="spellStart"/>
      <w:r w:rsidRPr="000B5277">
        <w:rPr>
          <w:rFonts w:ascii="Arial" w:hAnsi="Arial" w:cs="Arial"/>
          <w:lang w:val="mk-MK"/>
        </w:rPr>
        <w:t>expelled</w:t>
      </w:r>
      <w:proofErr w:type="spellEnd"/>
      <w:r w:rsidRPr="000B5277">
        <w:rPr>
          <w:rFonts w:ascii="Arial" w:hAnsi="Arial" w:cs="Arial"/>
          <w:lang w:val="mk-MK"/>
        </w:rPr>
        <w:t xml:space="preserve"> </w:t>
      </w:r>
      <w:proofErr w:type="spellStart"/>
      <w:r w:rsidRPr="000B5277">
        <w:rPr>
          <w:rFonts w:ascii="Arial" w:hAnsi="Arial" w:cs="Arial"/>
          <w:lang w:val="mk-MK"/>
        </w:rPr>
        <w:t>their</w:t>
      </w:r>
      <w:proofErr w:type="spellEnd"/>
      <w:r w:rsidRPr="000B5277">
        <w:rPr>
          <w:rFonts w:ascii="Arial" w:hAnsi="Arial" w:cs="Arial"/>
          <w:lang w:val="mk-MK"/>
        </w:rPr>
        <w:t xml:space="preserve"> </w:t>
      </w:r>
      <w:proofErr w:type="spellStart"/>
      <w:r w:rsidRPr="000B5277">
        <w:rPr>
          <w:rFonts w:ascii="Arial" w:hAnsi="Arial" w:cs="Arial"/>
          <w:lang w:val="mk-MK"/>
        </w:rPr>
        <w:t>representatives</w:t>
      </w:r>
      <w:proofErr w:type="spellEnd"/>
      <w:r w:rsidRPr="000B5277">
        <w:rPr>
          <w:rFonts w:ascii="Arial" w:hAnsi="Arial" w:cs="Arial"/>
          <w:lang w:val="mk-MK"/>
        </w:rPr>
        <w:t xml:space="preserve"> </w:t>
      </w:r>
      <w:proofErr w:type="spellStart"/>
      <w:r w:rsidRPr="000B5277">
        <w:rPr>
          <w:rFonts w:ascii="Arial" w:hAnsi="Arial" w:cs="Arial"/>
          <w:lang w:val="mk-MK"/>
        </w:rPr>
        <w:t>from</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board</w:t>
      </w:r>
      <w:proofErr w:type="spellEnd"/>
      <w:r w:rsidRPr="000B5277">
        <w:rPr>
          <w:rFonts w:ascii="Arial" w:hAnsi="Arial" w:cs="Arial"/>
          <w:lang w:val="mk-MK"/>
        </w:rPr>
        <w:t xml:space="preserve">, </w:t>
      </w:r>
      <w:proofErr w:type="spellStart"/>
      <w:r w:rsidRPr="000B5277">
        <w:rPr>
          <w:rFonts w:ascii="Arial" w:hAnsi="Arial" w:cs="Arial"/>
          <w:lang w:val="mk-MK"/>
        </w:rPr>
        <w:t>as</w:t>
      </w:r>
      <w:proofErr w:type="spellEnd"/>
      <w:r w:rsidRPr="000B5277">
        <w:rPr>
          <w:rFonts w:ascii="Arial" w:hAnsi="Arial" w:cs="Arial"/>
          <w:lang w:val="mk-MK"/>
        </w:rPr>
        <w:t xml:space="preserve"> </w:t>
      </w:r>
      <w:proofErr w:type="spellStart"/>
      <w:r w:rsidRPr="000B5277">
        <w:rPr>
          <w:rFonts w:ascii="Arial" w:hAnsi="Arial" w:cs="Arial"/>
          <w:lang w:val="mk-MK"/>
        </w:rPr>
        <w:t>well</w:t>
      </w:r>
      <w:proofErr w:type="spellEnd"/>
      <w:r w:rsidRPr="000B5277">
        <w:rPr>
          <w:rFonts w:ascii="Arial" w:hAnsi="Arial" w:cs="Arial"/>
          <w:lang w:val="mk-MK"/>
        </w:rPr>
        <w:t xml:space="preserve"> </w:t>
      </w:r>
      <w:proofErr w:type="spellStart"/>
      <w:r w:rsidRPr="000B5277">
        <w:rPr>
          <w:rFonts w:ascii="Arial" w:hAnsi="Arial" w:cs="Arial"/>
          <w:lang w:val="mk-MK"/>
        </w:rPr>
        <w:t>as</w:t>
      </w:r>
      <w:proofErr w:type="spellEnd"/>
      <w:r w:rsidRPr="000B5277">
        <w:rPr>
          <w:rFonts w:ascii="Arial" w:hAnsi="Arial" w:cs="Arial"/>
          <w:lang w:val="mk-MK"/>
        </w:rPr>
        <w:t xml:space="preserve"> </w:t>
      </w:r>
      <w:proofErr w:type="spellStart"/>
      <w:r w:rsidRPr="000B5277">
        <w:rPr>
          <w:rFonts w:ascii="Arial" w:hAnsi="Arial" w:cs="Arial"/>
          <w:lang w:val="mk-MK"/>
        </w:rPr>
        <w:t>from</w:t>
      </w:r>
      <w:proofErr w:type="spellEnd"/>
      <w:r w:rsidRPr="000B5277">
        <w:rPr>
          <w:rFonts w:ascii="Arial" w:hAnsi="Arial" w:cs="Arial"/>
          <w:lang w:val="mk-MK"/>
        </w:rPr>
        <w:t xml:space="preserve"> </w:t>
      </w:r>
      <w:r w:rsidR="002421D3">
        <w:rPr>
          <w:rFonts w:ascii="Arial" w:hAnsi="Arial" w:cs="Arial"/>
          <w:lang w:val="en-US"/>
        </w:rPr>
        <w:t xml:space="preserve">the </w:t>
      </w:r>
      <w:proofErr w:type="spellStart"/>
      <w:r w:rsidRPr="000B5277">
        <w:rPr>
          <w:rFonts w:ascii="Arial" w:hAnsi="Arial" w:cs="Arial"/>
          <w:lang w:val="mk-MK"/>
        </w:rPr>
        <w:t>working</w:t>
      </w:r>
      <w:proofErr w:type="spellEnd"/>
      <w:r w:rsidRPr="000B5277">
        <w:rPr>
          <w:rFonts w:ascii="Arial" w:hAnsi="Arial" w:cs="Arial"/>
          <w:lang w:val="mk-MK"/>
        </w:rPr>
        <w:t xml:space="preserve"> </w:t>
      </w:r>
      <w:proofErr w:type="spellStart"/>
      <w:r w:rsidRPr="000B5277">
        <w:rPr>
          <w:rFonts w:ascii="Arial" w:hAnsi="Arial" w:cs="Arial"/>
          <w:lang w:val="mk-MK"/>
        </w:rPr>
        <w:t>groups</w:t>
      </w:r>
      <w:proofErr w:type="spellEnd"/>
      <w:r>
        <w:rPr>
          <w:rFonts w:ascii="Arial" w:hAnsi="Arial" w:cs="Arial"/>
          <w:lang w:val="en-US"/>
        </w:rPr>
        <w:t>.</w:t>
      </w:r>
    </w:p>
    <w:p w14:paraId="7D74C35A" w14:textId="43ABBF3E" w:rsidR="000B5277" w:rsidRPr="000B5277" w:rsidRDefault="000B5277" w:rsidP="000B5277">
      <w:pPr>
        <w:pStyle w:val="BodyText"/>
        <w:jc w:val="both"/>
        <w:rPr>
          <w:rFonts w:ascii="Arial" w:hAnsi="Arial" w:cs="Arial"/>
          <w:lang w:val="mk-MK"/>
        </w:rPr>
      </w:pPr>
      <w:bookmarkStart w:id="13" w:name="_Hlk99620119"/>
      <w:proofErr w:type="spellStart"/>
      <w:r w:rsidRPr="000B5277">
        <w:rPr>
          <w:rFonts w:ascii="Arial" w:hAnsi="Arial" w:cs="Arial"/>
          <w:lang w:val="mk-MK"/>
        </w:rPr>
        <w:t>Measures</w:t>
      </w:r>
      <w:proofErr w:type="spellEnd"/>
      <w:r w:rsidRPr="000B5277">
        <w:rPr>
          <w:rFonts w:ascii="Arial" w:hAnsi="Arial" w:cs="Arial"/>
          <w:lang w:val="mk-MK"/>
        </w:rPr>
        <w:t xml:space="preserve"> </w:t>
      </w:r>
      <w:proofErr w:type="spellStart"/>
      <w:r w:rsidRPr="000B5277">
        <w:rPr>
          <w:rFonts w:ascii="Arial" w:hAnsi="Arial" w:cs="Arial"/>
          <w:lang w:val="mk-MK"/>
        </w:rPr>
        <w:t>being</w:t>
      </w:r>
      <w:proofErr w:type="spellEnd"/>
      <w:r w:rsidRPr="000B5277">
        <w:rPr>
          <w:rFonts w:ascii="Arial" w:hAnsi="Arial" w:cs="Arial"/>
          <w:lang w:val="mk-MK"/>
        </w:rPr>
        <w:t xml:space="preserve"> </w:t>
      </w:r>
      <w:proofErr w:type="spellStart"/>
      <w:r w:rsidRPr="000B5277">
        <w:rPr>
          <w:rFonts w:ascii="Arial" w:hAnsi="Arial" w:cs="Arial"/>
          <w:lang w:val="mk-MK"/>
        </w:rPr>
        <w:t>taken</w:t>
      </w:r>
      <w:proofErr w:type="spellEnd"/>
      <w:r w:rsidRPr="000B5277">
        <w:rPr>
          <w:rFonts w:ascii="Arial" w:hAnsi="Arial" w:cs="Arial"/>
          <w:lang w:val="mk-MK"/>
        </w:rPr>
        <w:t xml:space="preserve"> </w:t>
      </w:r>
      <w:proofErr w:type="spellStart"/>
      <w:r w:rsidRPr="000B5277">
        <w:rPr>
          <w:rFonts w:ascii="Arial" w:hAnsi="Arial" w:cs="Arial"/>
          <w:lang w:val="mk-MK"/>
        </w:rPr>
        <w:t>around</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world</w:t>
      </w:r>
      <w:proofErr w:type="spellEnd"/>
      <w:r w:rsidRPr="000B5277">
        <w:rPr>
          <w:rFonts w:ascii="Arial" w:hAnsi="Arial" w:cs="Arial"/>
          <w:lang w:val="mk-MK"/>
        </w:rPr>
        <w:t xml:space="preserve"> </w:t>
      </w:r>
      <w:proofErr w:type="spellStart"/>
      <w:r w:rsidRPr="000B5277">
        <w:rPr>
          <w:rFonts w:ascii="Arial" w:hAnsi="Arial" w:cs="Arial"/>
          <w:lang w:val="mk-MK"/>
        </w:rPr>
        <w:t>and</w:t>
      </w:r>
      <w:proofErr w:type="spellEnd"/>
      <w:r w:rsidRPr="000B5277">
        <w:rPr>
          <w:rFonts w:ascii="Arial" w:hAnsi="Arial" w:cs="Arial"/>
          <w:lang w:val="mk-MK"/>
        </w:rPr>
        <w:t xml:space="preserve"> </w:t>
      </w:r>
      <w:proofErr w:type="spellStart"/>
      <w:r w:rsidRPr="000B5277">
        <w:rPr>
          <w:rFonts w:ascii="Arial" w:hAnsi="Arial" w:cs="Arial"/>
          <w:lang w:val="mk-MK"/>
        </w:rPr>
        <w:t>in</w:t>
      </w:r>
      <w:proofErr w:type="spellEnd"/>
      <w:r w:rsidRPr="000B5277">
        <w:rPr>
          <w:rFonts w:ascii="Arial" w:hAnsi="Arial" w:cs="Arial"/>
          <w:lang w:val="mk-MK"/>
        </w:rPr>
        <w:t xml:space="preserve"> </w:t>
      </w:r>
      <w:proofErr w:type="spellStart"/>
      <w:r w:rsidRPr="000B5277">
        <w:rPr>
          <w:rFonts w:ascii="Arial" w:hAnsi="Arial" w:cs="Arial"/>
          <w:lang w:val="mk-MK"/>
        </w:rPr>
        <w:t>Europe</w:t>
      </w:r>
      <w:proofErr w:type="spellEnd"/>
      <w:r w:rsidRPr="000B5277">
        <w:rPr>
          <w:rFonts w:ascii="Arial" w:hAnsi="Arial" w:cs="Arial"/>
          <w:lang w:val="mk-MK"/>
        </w:rPr>
        <w:t xml:space="preserve">  </w:t>
      </w:r>
      <w:proofErr w:type="spellStart"/>
      <w:r w:rsidRPr="000B5277">
        <w:rPr>
          <w:rFonts w:ascii="Arial" w:hAnsi="Arial" w:cs="Arial"/>
          <w:lang w:val="mk-MK"/>
        </w:rPr>
        <w:t>restrict</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movement</w:t>
      </w:r>
      <w:proofErr w:type="spellEnd"/>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people</w:t>
      </w:r>
      <w:proofErr w:type="spellEnd"/>
      <w:r w:rsidRPr="000B5277">
        <w:rPr>
          <w:rFonts w:ascii="Arial" w:hAnsi="Arial" w:cs="Arial"/>
          <w:lang w:val="mk-MK"/>
        </w:rPr>
        <w:t xml:space="preserve"> </w:t>
      </w:r>
      <w:proofErr w:type="spellStart"/>
      <w:r w:rsidRPr="000B5277">
        <w:rPr>
          <w:rFonts w:ascii="Arial" w:hAnsi="Arial" w:cs="Arial"/>
          <w:lang w:val="mk-MK"/>
        </w:rPr>
        <w:t>and</w:t>
      </w:r>
      <w:proofErr w:type="spellEnd"/>
      <w:r w:rsidRPr="000B5277">
        <w:rPr>
          <w:rFonts w:ascii="Arial" w:hAnsi="Arial" w:cs="Arial"/>
          <w:lang w:val="mk-MK"/>
        </w:rPr>
        <w:t xml:space="preserve"> </w:t>
      </w:r>
      <w:proofErr w:type="spellStart"/>
      <w:r w:rsidRPr="000B5277">
        <w:rPr>
          <w:rFonts w:ascii="Arial" w:hAnsi="Arial" w:cs="Arial"/>
          <w:lang w:val="mk-MK"/>
        </w:rPr>
        <w:t>trade</w:t>
      </w:r>
      <w:proofErr w:type="spellEnd"/>
      <w:r w:rsidRPr="000B5277">
        <w:rPr>
          <w:rFonts w:ascii="Arial" w:hAnsi="Arial" w:cs="Arial"/>
          <w:lang w:val="mk-MK"/>
        </w:rPr>
        <w:t xml:space="preserve">. </w:t>
      </w:r>
      <w:proofErr w:type="spellStart"/>
      <w:r w:rsidRPr="000B5277">
        <w:rPr>
          <w:rFonts w:ascii="Arial" w:hAnsi="Arial" w:cs="Arial"/>
          <w:lang w:val="mk-MK"/>
        </w:rPr>
        <w:t>These</w:t>
      </w:r>
      <w:proofErr w:type="spellEnd"/>
      <w:r w:rsidRPr="000B5277">
        <w:rPr>
          <w:rFonts w:ascii="Arial" w:hAnsi="Arial" w:cs="Arial"/>
          <w:lang w:val="mk-MK"/>
        </w:rPr>
        <w:t xml:space="preserve"> </w:t>
      </w:r>
      <w:proofErr w:type="spellStart"/>
      <w:r w:rsidRPr="000B5277">
        <w:rPr>
          <w:rFonts w:ascii="Arial" w:hAnsi="Arial" w:cs="Arial"/>
          <w:lang w:val="mk-MK"/>
        </w:rPr>
        <w:t>restrictions</w:t>
      </w:r>
      <w:proofErr w:type="spellEnd"/>
      <w:r w:rsidRPr="000B5277">
        <w:rPr>
          <w:rFonts w:ascii="Arial" w:hAnsi="Arial" w:cs="Arial"/>
          <w:lang w:val="mk-MK"/>
        </w:rPr>
        <w:t xml:space="preserve"> </w:t>
      </w:r>
      <w:proofErr w:type="spellStart"/>
      <w:r w:rsidRPr="000B5277">
        <w:rPr>
          <w:rFonts w:ascii="Arial" w:hAnsi="Arial" w:cs="Arial"/>
          <w:lang w:val="mk-MK"/>
        </w:rPr>
        <w:t>are</w:t>
      </w:r>
      <w:proofErr w:type="spellEnd"/>
      <w:r w:rsidRPr="000B5277">
        <w:rPr>
          <w:rFonts w:ascii="Arial" w:hAnsi="Arial" w:cs="Arial"/>
          <w:lang w:val="mk-MK"/>
        </w:rPr>
        <w:t xml:space="preserve"> </w:t>
      </w:r>
      <w:proofErr w:type="spellStart"/>
      <w:r w:rsidRPr="000B5277">
        <w:rPr>
          <w:rFonts w:ascii="Arial" w:hAnsi="Arial" w:cs="Arial"/>
          <w:lang w:val="mk-MK"/>
        </w:rPr>
        <w:t>expected</w:t>
      </w:r>
      <w:proofErr w:type="spellEnd"/>
      <w:r w:rsidRPr="000B5277">
        <w:rPr>
          <w:rFonts w:ascii="Arial" w:hAnsi="Arial" w:cs="Arial"/>
          <w:lang w:val="mk-MK"/>
        </w:rPr>
        <w:t xml:space="preserve"> </w:t>
      </w:r>
      <w:proofErr w:type="spellStart"/>
      <w:r w:rsidRPr="000B5277">
        <w:rPr>
          <w:rFonts w:ascii="Arial" w:hAnsi="Arial" w:cs="Arial"/>
          <w:lang w:val="mk-MK"/>
        </w:rPr>
        <w:t>to</w:t>
      </w:r>
      <w:proofErr w:type="spellEnd"/>
      <w:r w:rsidRPr="000B5277">
        <w:rPr>
          <w:rFonts w:ascii="Arial" w:hAnsi="Arial" w:cs="Arial"/>
          <w:lang w:val="mk-MK"/>
        </w:rPr>
        <w:t xml:space="preserve"> </w:t>
      </w:r>
      <w:proofErr w:type="spellStart"/>
      <w:r w:rsidRPr="000B5277">
        <w:rPr>
          <w:rFonts w:ascii="Arial" w:hAnsi="Arial" w:cs="Arial"/>
          <w:lang w:val="mk-MK"/>
        </w:rPr>
        <w:t>have</w:t>
      </w:r>
      <w:proofErr w:type="spellEnd"/>
      <w:r w:rsidRPr="000B5277">
        <w:rPr>
          <w:rFonts w:ascii="Arial" w:hAnsi="Arial" w:cs="Arial"/>
          <w:lang w:val="mk-MK"/>
        </w:rPr>
        <w:t xml:space="preserve"> a </w:t>
      </w:r>
      <w:proofErr w:type="spellStart"/>
      <w:r w:rsidRPr="000B5277">
        <w:rPr>
          <w:rFonts w:ascii="Arial" w:hAnsi="Arial" w:cs="Arial"/>
          <w:lang w:val="mk-MK"/>
        </w:rPr>
        <w:t>significant</w:t>
      </w:r>
      <w:proofErr w:type="spellEnd"/>
      <w:r w:rsidRPr="000B5277">
        <w:rPr>
          <w:rFonts w:ascii="Arial" w:hAnsi="Arial" w:cs="Arial"/>
          <w:lang w:val="mk-MK"/>
        </w:rPr>
        <w:t xml:space="preserve"> </w:t>
      </w:r>
      <w:proofErr w:type="spellStart"/>
      <w:r w:rsidRPr="000B5277">
        <w:rPr>
          <w:rFonts w:ascii="Arial" w:hAnsi="Arial" w:cs="Arial"/>
          <w:lang w:val="mk-MK"/>
        </w:rPr>
        <w:t>impact</w:t>
      </w:r>
      <w:proofErr w:type="spellEnd"/>
      <w:r w:rsidRPr="000B5277">
        <w:rPr>
          <w:rFonts w:ascii="Arial" w:hAnsi="Arial" w:cs="Arial"/>
          <w:lang w:val="mk-MK"/>
        </w:rPr>
        <w:t xml:space="preserve"> </w:t>
      </w:r>
      <w:proofErr w:type="spellStart"/>
      <w:r w:rsidRPr="000B5277">
        <w:rPr>
          <w:rFonts w:ascii="Arial" w:hAnsi="Arial" w:cs="Arial"/>
          <w:lang w:val="mk-MK"/>
        </w:rPr>
        <w:t>on</w:t>
      </w:r>
      <w:proofErr w:type="spellEnd"/>
      <w:r w:rsidRPr="000B5277">
        <w:rPr>
          <w:rFonts w:ascii="Arial" w:hAnsi="Arial" w:cs="Arial"/>
          <w:lang w:val="mk-MK"/>
        </w:rPr>
        <w:t xml:space="preserve"> </w:t>
      </w:r>
      <w:proofErr w:type="spellStart"/>
      <w:r w:rsidRPr="000B5277">
        <w:rPr>
          <w:rFonts w:ascii="Arial" w:hAnsi="Arial" w:cs="Arial"/>
          <w:lang w:val="mk-MK"/>
        </w:rPr>
        <w:t>certain</w:t>
      </w:r>
      <w:proofErr w:type="spellEnd"/>
      <w:r w:rsidRPr="000B5277">
        <w:rPr>
          <w:rFonts w:ascii="Arial" w:hAnsi="Arial" w:cs="Arial"/>
          <w:lang w:val="mk-MK"/>
        </w:rPr>
        <w:t xml:space="preserve"> </w:t>
      </w:r>
      <w:proofErr w:type="spellStart"/>
      <w:r w:rsidRPr="000B5277">
        <w:rPr>
          <w:rFonts w:ascii="Arial" w:hAnsi="Arial" w:cs="Arial"/>
          <w:lang w:val="mk-MK"/>
        </w:rPr>
        <w:t>sectors</w:t>
      </w:r>
      <w:proofErr w:type="spellEnd"/>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economy</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Fund's</w:t>
      </w:r>
      <w:proofErr w:type="spellEnd"/>
      <w:r w:rsidRPr="000B5277">
        <w:rPr>
          <w:rFonts w:ascii="Arial" w:hAnsi="Arial" w:cs="Arial"/>
          <w:lang w:val="mk-MK"/>
        </w:rPr>
        <w:t xml:space="preserve"> </w:t>
      </w:r>
      <w:proofErr w:type="spellStart"/>
      <w:r w:rsidRPr="000B5277">
        <w:rPr>
          <w:rFonts w:ascii="Arial" w:hAnsi="Arial" w:cs="Arial"/>
          <w:lang w:val="mk-MK"/>
        </w:rPr>
        <w:t>management</w:t>
      </w:r>
      <w:proofErr w:type="spellEnd"/>
      <w:r w:rsidRPr="000B5277">
        <w:rPr>
          <w:rFonts w:ascii="Arial" w:hAnsi="Arial" w:cs="Arial"/>
          <w:lang w:val="mk-MK"/>
        </w:rPr>
        <w:t xml:space="preserve"> </w:t>
      </w:r>
      <w:proofErr w:type="spellStart"/>
      <w:r w:rsidRPr="000B5277">
        <w:rPr>
          <w:rFonts w:ascii="Arial" w:hAnsi="Arial" w:cs="Arial"/>
          <w:lang w:val="mk-MK"/>
        </w:rPr>
        <w:t>is</w:t>
      </w:r>
      <w:proofErr w:type="spellEnd"/>
      <w:r w:rsidRPr="000B5277">
        <w:rPr>
          <w:rFonts w:ascii="Arial" w:hAnsi="Arial" w:cs="Arial"/>
          <w:lang w:val="mk-MK"/>
        </w:rPr>
        <w:t xml:space="preserve"> </w:t>
      </w:r>
      <w:proofErr w:type="spellStart"/>
      <w:r w:rsidRPr="000B5277">
        <w:rPr>
          <w:rFonts w:ascii="Arial" w:hAnsi="Arial" w:cs="Arial"/>
          <w:lang w:val="mk-MK"/>
        </w:rPr>
        <w:t>still</w:t>
      </w:r>
      <w:proofErr w:type="spellEnd"/>
      <w:r w:rsidRPr="000B5277">
        <w:rPr>
          <w:rFonts w:ascii="Arial" w:hAnsi="Arial" w:cs="Arial"/>
          <w:lang w:val="mk-MK"/>
        </w:rPr>
        <w:t xml:space="preserve"> </w:t>
      </w:r>
      <w:proofErr w:type="spellStart"/>
      <w:r w:rsidRPr="000B5277">
        <w:rPr>
          <w:rFonts w:ascii="Arial" w:hAnsi="Arial" w:cs="Arial"/>
          <w:lang w:val="mk-MK"/>
        </w:rPr>
        <w:t>unable</w:t>
      </w:r>
      <w:proofErr w:type="spellEnd"/>
      <w:r w:rsidRPr="000B5277">
        <w:rPr>
          <w:rFonts w:ascii="Arial" w:hAnsi="Arial" w:cs="Arial"/>
          <w:lang w:val="mk-MK"/>
        </w:rPr>
        <w:t xml:space="preserve"> </w:t>
      </w:r>
      <w:proofErr w:type="spellStart"/>
      <w:r w:rsidRPr="000B5277">
        <w:rPr>
          <w:rFonts w:ascii="Arial" w:hAnsi="Arial" w:cs="Arial"/>
          <w:lang w:val="mk-MK"/>
        </w:rPr>
        <w:t>to</w:t>
      </w:r>
      <w:proofErr w:type="spellEnd"/>
      <w:r w:rsidRPr="000B5277">
        <w:rPr>
          <w:rFonts w:ascii="Arial" w:hAnsi="Arial" w:cs="Arial"/>
          <w:lang w:val="mk-MK"/>
        </w:rPr>
        <w:t xml:space="preserve"> </w:t>
      </w:r>
      <w:proofErr w:type="spellStart"/>
      <w:r w:rsidRPr="000B5277">
        <w:rPr>
          <w:rFonts w:ascii="Arial" w:hAnsi="Arial" w:cs="Arial"/>
          <w:lang w:val="mk-MK"/>
        </w:rPr>
        <w:t>quantitatively</w:t>
      </w:r>
      <w:proofErr w:type="spellEnd"/>
      <w:r w:rsidRPr="000B5277">
        <w:rPr>
          <w:rFonts w:ascii="Arial" w:hAnsi="Arial" w:cs="Arial"/>
          <w:lang w:val="mk-MK"/>
        </w:rPr>
        <w:t xml:space="preserve"> </w:t>
      </w:r>
      <w:proofErr w:type="spellStart"/>
      <w:r w:rsidRPr="000B5277">
        <w:rPr>
          <w:rFonts w:ascii="Arial" w:hAnsi="Arial" w:cs="Arial"/>
          <w:lang w:val="mk-MK"/>
        </w:rPr>
        <w:t>quantify</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impact</w:t>
      </w:r>
      <w:proofErr w:type="spellEnd"/>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crisis</w:t>
      </w:r>
      <w:proofErr w:type="spellEnd"/>
      <w:r w:rsidRPr="000B5277">
        <w:rPr>
          <w:rFonts w:ascii="Arial" w:hAnsi="Arial" w:cs="Arial"/>
          <w:lang w:val="mk-MK"/>
        </w:rPr>
        <w:t xml:space="preserve"> </w:t>
      </w:r>
      <w:proofErr w:type="spellStart"/>
      <w:r w:rsidRPr="000B5277">
        <w:rPr>
          <w:rFonts w:ascii="Arial" w:hAnsi="Arial" w:cs="Arial"/>
          <w:lang w:val="mk-MK"/>
        </w:rPr>
        <w:t>with</w:t>
      </w:r>
      <w:proofErr w:type="spellEnd"/>
      <w:r w:rsidRPr="000B5277">
        <w:rPr>
          <w:rFonts w:ascii="Arial" w:hAnsi="Arial" w:cs="Arial"/>
          <w:lang w:val="mk-MK"/>
        </w:rPr>
        <w:t xml:space="preserve"> </w:t>
      </w:r>
      <w:proofErr w:type="spellStart"/>
      <w:r w:rsidRPr="000B5277">
        <w:rPr>
          <w:rFonts w:ascii="Arial" w:hAnsi="Arial" w:cs="Arial"/>
          <w:lang w:val="mk-MK"/>
        </w:rPr>
        <w:t>reasonable</w:t>
      </w:r>
      <w:proofErr w:type="spellEnd"/>
      <w:r w:rsidRPr="000B5277">
        <w:rPr>
          <w:rFonts w:ascii="Arial" w:hAnsi="Arial" w:cs="Arial"/>
          <w:lang w:val="mk-MK"/>
        </w:rPr>
        <w:t xml:space="preserve"> </w:t>
      </w:r>
      <w:proofErr w:type="spellStart"/>
      <w:r w:rsidRPr="000B5277">
        <w:rPr>
          <w:rFonts w:ascii="Arial" w:hAnsi="Arial" w:cs="Arial"/>
          <w:lang w:val="mk-MK"/>
        </w:rPr>
        <w:t>certainty</w:t>
      </w:r>
      <w:proofErr w:type="spellEnd"/>
      <w:r w:rsidRPr="000B5277">
        <w:rPr>
          <w:rFonts w:ascii="Arial" w:hAnsi="Arial" w:cs="Arial"/>
          <w:lang w:val="mk-MK"/>
        </w:rPr>
        <w:t xml:space="preserve">. </w:t>
      </w:r>
      <w:proofErr w:type="spellStart"/>
      <w:r w:rsidRPr="000B5277">
        <w:rPr>
          <w:rFonts w:ascii="Arial" w:hAnsi="Arial" w:cs="Arial"/>
          <w:lang w:val="mk-MK"/>
        </w:rPr>
        <w:t>At</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date</w:t>
      </w:r>
      <w:proofErr w:type="spellEnd"/>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approval</w:t>
      </w:r>
      <w:proofErr w:type="spellEnd"/>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these</w:t>
      </w:r>
      <w:proofErr w:type="spellEnd"/>
      <w:r w:rsidRPr="000B5277">
        <w:rPr>
          <w:rFonts w:ascii="Arial" w:hAnsi="Arial" w:cs="Arial"/>
          <w:lang w:val="mk-MK"/>
        </w:rPr>
        <w:t xml:space="preserve"> </w:t>
      </w:r>
      <w:proofErr w:type="spellStart"/>
      <w:r w:rsidRPr="000B5277">
        <w:rPr>
          <w:rFonts w:ascii="Arial" w:hAnsi="Arial" w:cs="Arial"/>
          <w:lang w:val="mk-MK"/>
        </w:rPr>
        <w:t>financial</w:t>
      </w:r>
      <w:proofErr w:type="spellEnd"/>
      <w:r w:rsidRPr="000B5277">
        <w:rPr>
          <w:rFonts w:ascii="Arial" w:hAnsi="Arial" w:cs="Arial"/>
          <w:lang w:val="mk-MK"/>
        </w:rPr>
        <w:t xml:space="preserve"> </w:t>
      </w:r>
      <w:proofErr w:type="spellStart"/>
      <w:r w:rsidRPr="000B5277">
        <w:rPr>
          <w:rFonts w:ascii="Arial" w:hAnsi="Arial" w:cs="Arial"/>
          <w:lang w:val="mk-MK"/>
        </w:rPr>
        <w:t>statements</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Management</w:t>
      </w:r>
      <w:proofErr w:type="spellEnd"/>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Fund</w:t>
      </w:r>
      <w:proofErr w:type="spellEnd"/>
      <w:r w:rsidRPr="000B5277">
        <w:rPr>
          <w:rFonts w:ascii="Arial" w:hAnsi="Arial" w:cs="Arial"/>
          <w:lang w:val="mk-MK"/>
        </w:rPr>
        <w:t xml:space="preserve"> </w:t>
      </w:r>
      <w:proofErr w:type="spellStart"/>
      <w:r w:rsidRPr="000B5277">
        <w:rPr>
          <w:rFonts w:ascii="Arial" w:hAnsi="Arial" w:cs="Arial"/>
          <w:lang w:val="mk-MK"/>
        </w:rPr>
        <w:t>assesses</w:t>
      </w:r>
      <w:proofErr w:type="spellEnd"/>
      <w:r w:rsidRPr="000B5277">
        <w:rPr>
          <w:rFonts w:ascii="Arial" w:hAnsi="Arial" w:cs="Arial"/>
          <w:lang w:val="mk-MK"/>
        </w:rPr>
        <w:t xml:space="preserve"> </w:t>
      </w:r>
      <w:proofErr w:type="spellStart"/>
      <w:r w:rsidRPr="000B5277">
        <w:rPr>
          <w:rFonts w:ascii="Arial" w:hAnsi="Arial" w:cs="Arial"/>
          <w:lang w:val="mk-MK"/>
        </w:rPr>
        <w:t>that</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operation</w:t>
      </w:r>
      <w:proofErr w:type="spellEnd"/>
      <w:r w:rsidRPr="000B5277">
        <w:rPr>
          <w:rFonts w:ascii="Arial" w:hAnsi="Arial" w:cs="Arial"/>
          <w:lang w:val="mk-MK"/>
        </w:rPr>
        <w:t xml:space="preserve"> </w:t>
      </w:r>
      <w:proofErr w:type="spellStart"/>
      <w:r w:rsidRPr="000B5277">
        <w:rPr>
          <w:rFonts w:ascii="Arial" w:hAnsi="Arial" w:cs="Arial"/>
          <w:lang w:val="mk-MK"/>
        </w:rPr>
        <w:t>and</w:t>
      </w:r>
      <w:proofErr w:type="spellEnd"/>
      <w:r w:rsidRPr="000B5277">
        <w:rPr>
          <w:rFonts w:ascii="Arial" w:hAnsi="Arial" w:cs="Arial"/>
          <w:lang w:val="mk-MK"/>
        </w:rPr>
        <w:t xml:space="preserve"> </w:t>
      </w:r>
      <w:proofErr w:type="spellStart"/>
      <w:r w:rsidRPr="000B5277">
        <w:rPr>
          <w:rFonts w:ascii="Arial" w:hAnsi="Arial" w:cs="Arial"/>
          <w:lang w:val="mk-MK"/>
        </w:rPr>
        <w:t>financial</w:t>
      </w:r>
      <w:proofErr w:type="spellEnd"/>
      <w:r w:rsidRPr="000B5277">
        <w:rPr>
          <w:rFonts w:ascii="Arial" w:hAnsi="Arial" w:cs="Arial"/>
          <w:lang w:val="mk-MK"/>
        </w:rPr>
        <w:t xml:space="preserve"> </w:t>
      </w:r>
      <w:r w:rsidR="00B90724">
        <w:rPr>
          <w:rFonts w:ascii="Arial" w:hAnsi="Arial" w:cs="Arial"/>
          <w:lang w:val="en-US"/>
        </w:rPr>
        <w:t>position</w:t>
      </w:r>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Fund</w:t>
      </w:r>
      <w:proofErr w:type="spellEnd"/>
      <w:r w:rsidRPr="000B5277">
        <w:rPr>
          <w:rFonts w:ascii="Arial" w:hAnsi="Arial" w:cs="Arial"/>
          <w:lang w:val="mk-MK"/>
        </w:rPr>
        <w:t xml:space="preserve"> </w:t>
      </w:r>
      <w:proofErr w:type="spellStart"/>
      <w:r w:rsidRPr="000B5277">
        <w:rPr>
          <w:rFonts w:ascii="Arial" w:hAnsi="Arial" w:cs="Arial"/>
          <w:lang w:val="mk-MK"/>
        </w:rPr>
        <w:t>are</w:t>
      </w:r>
      <w:proofErr w:type="spellEnd"/>
      <w:r w:rsidRPr="000B5277">
        <w:rPr>
          <w:rFonts w:ascii="Arial" w:hAnsi="Arial" w:cs="Arial"/>
          <w:lang w:val="mk-MK"/>
        </w:rPr>
        <w:t xml:space="preserve"> </w:t>
      </w:r>
      <w:proofErr w:type="spellStart"/>
      <w:r w:rsidRPr="000B5277">
        <w:rPr>
          <w:rFonts w:ascii="Arial" w:hAnsi="Arial" w:cs="Arial"/>
          <w:lang w:val="mk-MK"/>
        </w:rPr>
        <w:t>materially</w:t>
      </w:r>
      <w:proofErr w:type="spellEnd"/>
      <w:r w:rsidRPr="000B5277">
        <w:rPr>
          <w:rFonts w:ascii="Arial" w:hAnsi="Arial" w:cs="Arial"/>
          <w:lang w:val="mk-MK"/>
        </w:rPr>
        <w:t xml:space="preserve"> </w:t>
      </w:r>
      <w:proofErr w:type="spellStart"/>
      <w:r w:rsidRPr="000B5277">
        <w:rPr>
          <w:rFonts w:ascii="Arial" w:hAnsi="Arial" w:cs="Arial"/>
          <w:lang w:val="mk-MK"/>
        </w:rPr>
        <w:t>unchanged</w:t>
      </w:r>
      <w:proofErr w:type="spellEnd"/>
      <w:r w:rsidRPr="000B5277">
        <w:rPr>
          <w:rFonts w:ascii="Arial" w:hAnsi="Arial" w:cs="Arial"/>
          <w:lang w:val="mk-MK"/>
        </w:rPr>
        <w:t xml:space="preserve"> </w:t>
      </w:r>
      <w:proofErr w:type="spellStart"/>
      <w:r w:rsidRPr="000B5277">
        <w:rPr>
          <w:rFonts w:ascii="Arial" w:hAnsi="Arial" w:cs="Arial"/>
          <w:lang w:val="mk-MK"/>
        </w:rPr>
        <w:t>as</w:t>
      </w:r>
      <w:proofErr w:type="spellEnd"/>
      <w:r w:rsidRPr="000B5277">
        <w:rPr>
          <w:rFonts w:ascii="Arial" w:hAnsi="Arial" w:cs="Arial"/>
          <w:lang w:val="mk-MK"/>
        </w:rPr>
        <w:t xml:space="preserve"> a </w:t>
      </w:r>
      <w:proofErr w:type="spellStart"/>
      <w:r w:rsidRPr="000B5277">
        <w:rPr>
          <w:rFonts w:ascii="Arial" w:hAnsi="Arial" w:cs="Arial"/>
          <w:lang w:val="mk-MK"/>
        </w:rPr>
        <w:t>result</w:t>
      </w:r>
      <w:proofErr w:type="spellEnd"/>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crisis</w:t>
      </w:r>
      <w:proofErr w:type="spellEnd"/>
      <w:r w:rsidRPr="000B5277">
        <w:rPr>
          <w:rFonts w:ascii="Arial" w:hAnsi="Arial" w:cs="Arial"/>
          <w:lang w:val="mk-MK"/>
        </w:rPr>
        <w:t xml:space="preserve">. </w:t>
      </w:r>
      <w:proofErr w:type="spellStart"/>
      <w:r w:rsidRPr="000B5277">
        <w:rPr>
          <w:rFonts w:ascii="Arial" w:hAnsi="Arial" w:cs="Arial"/>
          <w:lang w:val="mk-MK"/>
        </w:rPr>
        <w:t>At</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same</w:t>
      </w:r>
      <w:proofErr w:type="spellEnd"/>
      <w:r w:rsidRPr="000B5277">
        <w:rPr>
          <w:rFonts w:ascii="Arial" w:hAnsi="Arial" w:cs="Arial"/>
          <w:lang w:val="mk-MK"/>
        </w:rPr>
        <w:t xml:space="preserve"> </w:t>
      </w:r>
      <w:proofErr w:type="spellStart"/>
      <w:r w:rsidRPr="000B5277">
        <w:rPr>
          <w:rFonts w:ascii="Arial" w:hAnsi="Arial" w:cs="Arial"/>
          <w:lang w:val="mk-MK"/>
        </w:rPr>
        <w:t>time</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Fund</w:t>
      </w:r>
      <w:proofErr w:type="spellEnd"/>
      <w:r w:rsidRPr="000B5277">
        <w:rPr>
          <w:rFonts w:ascii="Arial" w:hAnsi="Arial" w:cs="Arial"/>
          <w:lang w:val="mk-MK"/>
        </w:rPr>
        <w:t xml:space="preserve"> </w:t>
      </w:r>
      <w:proofErr w:type="spellStart"/>
      <w:r w:rsidRPr="000B5277">
        <w:rPr>
          <w:rFonts w:ascii="Arial" w:hAnsi="Arial" w:cs="Arial"/>
          <w:lang w:val="mk-MK"/>
        </w:rPr>
        <w:t>is</w:t>
      </w:r>
      <w:proofErr w:type="spellEnd"/>
      <w:r w:rsidRPr="000B5277">
        <w:rPr>
          <w:rFonts w:ascii="Arial" w:hAnsi="Arial" w:cs="Arial"/>
          <w:lang w:val="mk-MK"/>
        </w:rPr>
        <w:t xml:space="preserve"> </w:t>
      </w:r>
      <w:proofErr w:type="spellStart"/>
      <w:r w:rsidRPr="000B5277">
        <w:rPr>
          <w:rFonts w:ascii="Arial" w:hAnsi="Arial" w:cs="Arial"/>
          <w:lang w:val="mk-MK"/>
        </w:rPr>
        <w:t>taking</w:t>
      </w:r>
      <w:proofErr w:type="spellEnd"/>
      <w:r w:rsidRPr="000B5277">
        <w:rPr>
          <w:rFonts w:ascii="Arial" w:hAnsi="Arial" w:cs="Arial"/>
          <w:lang w:val="mk-MK"/>
        </w:rPr>
        <w:t xml:space="preserve"> </w:t>
      </w:r>
      <w:proofErr w:type="spellStart"/>
      <w:r w:rsidRPr="000B5277">
        <w:rPr>
          <w:rFonts w:ascii="Arial" w:hAnsi="Arial" w:cs="Arial"/>
          <w:lang w:val="mk-MK"/>
        </w:rPr>
        <w:t>steps</w:t>
      </w:r>
      <w:proofErr w:type="spellEnd"/>
      <w:r w:rsidRPr="000B5277">
        <w:rPr>
          <w:rFonts w:ascii="Arial" w:hAnsi="Arial" w:cs="Arial"/>
          <w:lang w:val="mk-MK"/>
        </w:rPr>
        <w:t xml:space="preserve"> </w:t>
      </w:r>
      <w:proofErr w:type="spellStart"/>
      <w:r w:rsidRPr="000B5277">
        <w:rPr>
          <w:rFonts w:ascii="Arial" w:hAnsi="Arial" w:cs="Arial"/>
          <w:lang w:val="mk-MK"/>
        </w:rPr>
        <w:t>to</w:t>
      </w:r>
      <w:proofErr w:type="spellEnd"/>
      <w:r w:rsidRPr="000B5277">
        <w:rPr>
          <w:rFonts w:ascii="Arial" w:hAnsi="Arial" w:cs="Arial"/>
          <w:lang w:val="mk-MK"/>
        </w:rPr>
        <w:t xml:space="preserve"> </w:t>
      </w:r>
      <w:proofErr w:type="spellStart"/>
      <w:r w:rsidRPr="000B5277">
        <w:rPr>
          <w:rFonts w:ascii="Arial" w:hAnsi="Arial" w:cs="Arial"/>
          <w:lang w:val="mk-MK"/>
        </w:rPr>
        <w:t>amortize</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r w:rsidR="00B90724">
        <w:rPr>
          <w:rFonts w:ascii="Arial" w:hAnsi="Arial" w:cs="Arial"/>
          <w:lang w:val="en-US"/>
        </w:rPr>
        <w:t>forthcoming</w:t>
      </w:r>
      <w:r w:rsidR="00B90724" w:rsidRPr="000B5277">
        <w:rPr>
          <w:rFonts w:ascii="Arial" w:hAnsi="Arial" w:cs="Arial"/>
          <w:lang w:val="mk-MK"/>
        </w:rPr>
        <w:t xml:space="preserve"> </w:t>
      </w:r>
      <w:proofErr w:type="spellStart"/>
      <w:r w:rsidRPr="000B5277">
        <w:rPr>
          <w:rFonts w:ascii="Arial" w:hAnsi="Arial" w:cs="Arial"/>
          <w:lang w:val="mk-MK"/>
        </w:rPr>
        <w:t>effects</w:t>
      </w:r>
      <w:proofErr w:type="spellEnd"/>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war</w:t>
      </w:r>
      <w:proofErr w:type="spellEnd"/>
      <w:r w:rsidRPr="000B5277">
        <w:rPr>
          <w:rFonts w:ascii="Arial" w:hAnsi="Arial" w:cs="Arial"/>
          <w:lang w:val="mk-MK"/>
        </w:rPr>
        <w:t xml:space="preserve"> </w:t>
      </w:r>
      <w:proofErr w:type="spellStart"/>
      <w:r w:rsidRPr="000B5277">
        <w:rPr>
          <w:rFonts w:ascii="Arial" w:hAnsi="Arial" w:cs="Arial"/>
          <w:lang w:val="mk-MK"/>
        </w:rPr>
        <w:t>and</w:t>
      </w:r>
      <w:proofErr w:type="spellEnd"/>
      <w:r w:rsidRPr="000B5277">
        <w:rPr>
          <w:rFonts w:ascii="Arial" w:hAnsi="Arial" w:cs="Arial"/>
          <w:lang w:val="mk-MK"/>
        </w:rPr>
        <w:t xml:space="preserve"> </w:t>
      </w:r>
      <w:proofErr w:type="spellStart"/>
      <w:r w:rsidRPr="000B5277">
        <w:rPr>
          <w:rFonts w:ascii="Arial" w:hAnsi="Arial" w:cs="Arial"/>
          <w:lang w:val="mk-MK"/>
        </w:rPr>
        <w:t>to</w:t>
      </w:r>
      <w:proofErr w:type="spellEnd"/>
      <w:r w:rsidRPr="000B5277">
        <w:rPr>
          <w:rFonts w:ascii="Arial" w:hAnsi="Arial" w:cs="Arial"/>
          <w:lang w:val="mk-MK"/>
        </w:rPr>
        <w:t xml:space="preserve"> </w:t>
      </w:r>
      <w:proofErr w:type="spellStart"/>
      <w:r w:rsidRPr="000B5277">
        <w:rPr>
          <w:rFonts w:ascii="Arial" w:hAnsi="Arial" w:cs="Arial"/>
          <w:lang w:val="mk-MK"/>
        </w:rPr>
        <w:t>ensure</w:t>
      </w:r>
      <w:proofErr w:type="spellEnd"/>
      <w:r w:rsidRPr="000B5277">
        <w:rPr>
          <w:rFonts w:ascii="Arial" w:hAnsi="Arial" w:cs="Arial"/>
          <w:lang w:val="mk-MK"/>
        </w:rPr>
        <w:t xml:space="preserve"> </w:t>
      </w:r>
      <w:proofErr w:type="spellStart"/>
      <w:r w:rsidRPr="000B5277">
        <w:rPr>
          <w:rFonts w:ascii="Arial" w:hAnsi="Arial" w:cs="Arial"/>
          <w:lang w:val="mk-MK"/>
        </w:rPr>
        <w:t>smooth</w:t>
      </w:r>
      <w:proofErr w:type="spellEnd"/>
      <w:r w:rsidRPr="000B5277">
        <w:rPr>
          <w:rFonts w:ascii="Arial" w:hAnsi="Arial" w:cs="Arial"/>
          <w:lang w:val="mk-MK"/>
        </w:rPr>
        <w:t xml:space="preserve"> </w:t>
      </w:r>
      <w:proofErr w:type="spellStart"/>
      <w:r w:rsidRPr="000B5277">
        <w:rPr>
          <w:rFonts w:ascii="Arial" w:hAnsi="Arial" w:cs="Arial"/>
          <w:lang w:val="mk-MK"/>
        </w:rPr>
        <w:t>operation</w:t>
      </w:r>
      <w:proofErr w:type="spellEnd"/>
      <w:r w:rsidRPr="000B5277">
        <w:rPr>
          <w:rFonts w:ascii="Arial" w:hAnsi="Arial" w:cs="Arial"/>
          <w:lang w:val="mk-MK"/>
        </w:rPr>
        <w:t xml:space="preserve">, </w:t>
      </w:r>
      <w:proofErr w:type="spellStart"/>
      <w:r w:rsidRPr="000B5277">
        <w:rPr>
          <w:rFonts w:ascii="Arial" w:hAnsi="Arial" w:cs="Arial"/>
          <w:lang w:val="mk-MK"/>
        </w:rPr>
        <w:t>by</w:t>
      </w:r>
      <w:proofErr w:type="spellEnd"/>
      <w:r w:rsidRPr="000B5277">
        <w:rPr>
          <w:rFonts w:ascii="Arial" w:hAnsi="Arial" w:cs="Arial"/>
          <w:lang w:val="mk-MK"/>
        </w:rPr>
        <w:t xml:space="preserve"> </w:t>
      </w:r>
      <w:proofErr w:type="spellStart"/>
      <w:r w:rsidRPr="000B5277">
        <w:rPr>
          <w:rFonts w:ascii="Arial" w:hAnsi="Arial" w:cs="Arial"/>
          <w:lang w:val="mk-MK"/>
        </w:rPr>
        <w:t>carefully</w:t>
      </w:r>
      <w:proofErr w:type="spellEnd"/>
      <w:r w:rsidRPr="000B5277">
        <w:rPr>
          <w:rFonts w:ascii="Arial" w:hAnsi="Arial" w:cs="Arial"/>
          <w:lang w:val="mk-MK"/>
        </w:rPr>
        <w:t xml:space="preserve"> </w:t>
      </w:r>
      <w:proofErr w:type="spellStart"/>
      <w:r w:rsidRPr="000B5277">
        <w:rPr>
          <w:rFonts w:ascii="Arial" w:hAnsi="Arial" w:cs="Arial"/>
          <w:lang w:val="mk-MK"/>
        </w:rPr>
        <w:t>planning</w:t>
      </w:r>
      <w:proofErr w:type="spellEnd"/>
      <w:r w:rsidRPr="000B5277">
        <w:rPr>
          <w:rFonts w:ascii="Arial" w:hAnsi="Arial" w:cs="Arial"/>
          <w:lang w:val="mk-MK"/>
        </w:rPr>
        <w:t xml:space="preserve"> </w:t>
      </w:r>
      <w:proofErr w:type="spellStart"/>
      <w:r w:rsidRPr="000B5277">
        <w:rPr>
          <w:rFonts w:ascii="Arial" w:hAnsi="Arial" w:cs="Arial"/>
          <w:lang w:val="mk-MK"/>
        </w:rPr>
        <w:t>its</w:t>
      </w:r>
      <w:proofErr w:type="spellEnd"/>
      <w:r w:rsidRPr="000B5277">
        <w:rPr>
          <w:rFonts w:ascii="Arial" w:hAnsi="Arial" w:cs="Arial"/>
          <w:lang w:val="mk-MK"/>
        </w:rPr>
        <w:t xml:space="preserve"> </w:t>
      </w:r>
      <w:proofErr w:type="spellStart"/>
      <w:r w:rsidRPr="000B5277">
        <w:rPr>
          <w:rFonts w:ascii="Arial" w:hAnsi="Arial" w:cs="Arial"/>
          <w:lang w:val="mk-MK"/>
        </w:rPr>
        <w:t>liquidity</w:t>
      </w:r>
      <w:proofErr w:type="spellEnd"/>
      <w:r w:rsidRPr="000B5277">
        <w:rPr>
          <w:rFonts w:ascii="Arial" w:hAnsi="Arial" w:cs="Arial"/>
          <w:lang w:val="mk-MK"/>
        </w:rPr>
        <w:t xml:space="preserve"> </w:t>
      </w:r>
      <w:proofErr w:type="spellStart"/>
      <w:r w:rsidRPr="000B5277">
        <w:rPr>
          <w:rFonts w:ascii="Arial" w:hAnsi="Arial" w:cs="Arial"/>
          <w:lang w:val="mk-MK"/>
        </w:rPr>
        <w:t>and</w:t>
      </w:r>
      <w:proofErr w:type="spellEnd"/>
      <w:r w:rsidRPr="000B5277">
        <w:rPr>
          <w:rFonts w:ascii="Arial" w:hAnsi="Arial" w:cs="Arial"/>
          <w:lang w:val="mk-MK"/>
        </w:rPr>
        <w:t xml:space="preserve"> </w:t>
      </w:r>
      <w:proofErr w:type="spellStart"/>
      <w:r w:rsidRPr="000B5277">
        <w:rPr>
          <w:rFonts w:ascii="Arial" w:hAnsi="Arial" w:cs="Arial"/>
          <w:lang w:val="mk-MK"/>
        </w:rPr>
        <w:t>adapting</w:t>
      </w:r>
      <w:proofErr w:type="spellEnd"/>
      <w:r w:rsidRPr="000B5277">
        <w:rPr>
          <w:rFonts w:ascii="Arial" w:hAnsi="Arial" w:cs="Arial"/>
          <w:lang w:val="mk-MK"/>
        </w:rPr>
        <w:t xml:space="preserve"> </w:t>
      </w:r>
      <w:proofErr w:type="spellStart"/>
      <w:r w:rsidRPr="000B5277">
        <w:rPr>
          <w:rFonts w:ascii="Arial" w:hAnsi="Arial" w:cs="Arial"/>
          <w:lang w:val="mk-MK"/>
        </w:rPr>
        <w:t>to</w:t>
      </w:r>
      <w:proofErr w:type="spellEnd"/>
      <w:r w:rsidRPr="000B5277">
        <w:rPr>
          <w:rFonts w:ascii="Arial" w:hAnsi="Arial" w:cs="Arial"/>
          <w:lang w:val="mk-MK"/>
        </w:rPr>
        <w:t xml:space="preserve"> </w:t>
      </w:r>
      <w:proofErr w:type="spellStart"/>
      <w:r w:rsidRPr="000B5277">
        <w:rPr>
          <w:rFonts w:ascii="Arial" w:hAnsi="Arial" w:cs="Arial"/>
          <w:lang w:val="mk-MK"/>
        </w:rPr>
        <w:t>emerging</w:t>
      </w:r>
      <w:proofErr w:type="spellEnd"/>
      <w:r w:rsidRPr="000B5277">
        <w:rPr>
          <w:rFonts w:ascii="Arial" w:hAnsi="Arial" w:cs="Arial"/>
          <w:lang w:val="mk-MK"/>
        </w:rPr>
        <w:t xml:space="preserve"> </w:t>
      </w:r>
      <w:proofErr w:type="spellStart"/>
      <w:r w:rsidRPr="000B5277">
        <w:rPr>
          <w:rFonts w:ascii="Arial" w:hAnsi="Arial" w:cs="Arial"/>
          <w:lang w:val="mk-MK"/>
        </w:rPr>
        <w:t>conditions</w:t>
      </w:r>
      <w:proofErr w:type="spellEnd"/>
      <w:r w:rsidRPr="000B5277">
        <w:rPr>
          <w:rFonts w:ascii="Arial" w:hAnsi="Arial" w:cs="Arial"/>
          <w:lang w:val="mk-MK"/>
        </w:rPr>
        <w:t xml:space="preserve"> </w:t>
      </w:r>
      <w:proofErr w:type="spellStart"/>
      <w:r w:rsidRPr="000B5277">
        <w:rPr>
          <w:rFonts w:ascii="Arial" w:hAnsi="Arial" w:cs="Arial"/>
          <w:lang w:val="mk-MK"/>
        </w:rPr>
        <w:t>in</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domestic</w:t>
      </w:r>
      <w:proofErr w:type="spellEnd"/>
      <w:r w:rsidRPr="000B5277">
        <w:rPr>
          <w:rFonts w:ascii="Arial" w:hAnsi="Arial" w:cs="Arial"/>
          <w:lang w:val="mk-MK"/>
        </w:rPr>
        <w:t xml:space="preserve"> </w:t>
      </w:r>
      <w:proofErr w:type="spellStart"/>
      <w:r w:rsidRPr="000B5277">
        <w:rPr>
          <w:rFonts w:ascii="Arial" w:hAnsi="Arial" w:cs="Arial"/>
          <w:lang w:val="mk-MK"/>
        </w:rPr>
        <w:t>and</w:t>
      </w:r>
      <w:proofErr w:type="spellEnd"/>
      <w:r w:rsidRPr="000B5277">
        <w:rPr>
          <w:rFonts w:ascii="Arial" w:hAnsi="Arial" w:cs="Arial"/>
          <w:lang w:val="mk-MK"/>
        </w:rPr>
        <w:t xml:space="preserve"> </w:t>
      </w:r>
      <w:proofErr w:type="spellStart"/>
      <w:r w:rsidRPr="000B5277">
        <w:rPr>
          <w:rFonts w:ascii="Arial" w:hAnsi="Arial" w:cs="Arial"/>
          <w:lang w:val="mk-MK"/>
        </w:rPr>
        <w:t>global</w:t>
      </w:r>
      <w:proofErr w:type="spellEnd"/>
      <w:r w:rsidRPr="000B5277">
        <w:rPr>
          <w:rFonts w:ascii="Arial" w:hAnsi="Arial" w:cs="Arial"/>
          <w:lang w:val="mk-MK"/>
        </w:rPr>
        <w:t xml:space="preserve"> </w:t>
      </w:r>
      <w:proofErr w:type="spellStart"/>
      <w:r w:rsidRPr="000B5277">
        <w:rPr>
          <w:rFonts w:ascii="Arial" w:hAnsi="Arial" w:cs="Arial"/>
          <w:lang w:val="mk-MK"/>
        </w:rPr>
        <w:t>economies</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management</w:t>
      </w:r>
      <w:proofErr w:type="spellEnd"/>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Fund</w:t>
      </w:r>
      <w:proofErr w:type="spellEnd"/>
      <w:r w:rsidRPr="000B5277">
        <w:rPr>
          <w:rFonts w:ascii="Arial" w:hAnsi="Arial" w:cs="Arial"/>
          <w:lang w:val="mk-MK"/>
        </w:rPr>
        <w:t xml:space="preserve"> </w:t>
      </w:r>
      <w:proofErr w:type="spellStart"/>
      <w:r w:rsidRPr="000B5277">
        <w:rPr>
          <w:rFonts w:ascii="Arial" w:hAnsi="Arial" w:cs="Arial"/>
          <w:lang w:val="mk-MK"/>
        </w:rPr>
        <w:t>considers</w:t>
      </w:r>
      <w:proofErr w:type="spellEnd"/>
      <w:r w:rsidRPr="000B5277">
        <w:rPr>
          <w:rFonts w:ascii="Arial" w:hAnsi="Arial" w:cs="Arial"/>
          <w:lang w:val="mk-MK"/>
        </w:rPr>
        <w:t xml:space="preserve"> </w:t>
      </w:r>
      <w:proofErr w:type="spellStart"/>
      <w:r w:rsidRPr="000B5277">
        <w:rPr>
          <w:rFonts w:ascii="Arial" w:hAnsi="Arial" w:cs="Arial"/>
          <w:lang w:val="mk-MK"/>
        </w:rPr>
        <w:t>that</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military</w:t>
      </w:r>
      <w:proofErr w:type="spellEnd"/>
      <w:r w:rsidRPr="000B5277">
        <w:rPr>
          <w:rFonts w:ascii="Arial" w:hAnsi="Arial" w:cs="Arial"/>
          <w:lang w:val="mk-MK"/>
        </w:rPr>
        <w:t xml:space="preserve"> </w:t>
      </w:r>
      <w:proofErr w:type="spellStart"/>
      <w:r w:rsidRPr="000B5277">
        <w:rPr>
          <w:rFonts w:ascii="Arial" w:hAnsi="Arial" w:cs="Arial"/>
          <w:lang w:val="mk-MK"/>
        </w:rPr>
        <w:t>situation</w:t>
      </w:r>
      <w:proofErr w:type="spellEnd"/>
      <w:r w:rsidRPr="000B5277">
        <w:rPr>
          <w:rFonts w:ascii="Arial" w:hAnsi="Arial" w:cs="Arial"/>
          <w:lang w:val="mk-MK"/>
        </w:rPr>
        <w:t xml:space="preserve"> </w:t>
      </w:r>
      <w:proofErr w:type="spellStart"/>
      <w:r w:rsidRPr="000B5277">
        <w:rPr>
          <w:rFonts w:ascii="Arial" w:hAnsi="Arial" w:cs="Arial"/>
          <w:lang w:val="mk-MK"/>
        </w:rPr>
        <w:t>is</w:t>
      </w:r>
      <w:proofErr w:type="spellEnd"/>
      <w:r w:rsidRPr="000B5277">
        <w:rPr>
          <w:rFonts w:ascii="Arial" w:hAnsi="Arial" w:cs="Arial"/>
          <w:lang w:val="mk-MK"/>
        </w:rPr>
        <w:t xml:space="preserve"> </w:t>
      </w:r>
      <w:r w:rsidR="00B90724">
        <w:rPr>
          <w:rFonts w:ascii="Arial" w:hAnsi="Arial" w:cs="Arial"/>
          <w:lang w:val="en-US"/>
        </w:rPr>
        <w:t xml:space="preserve">non-adjusting </w:t>
      </w:r>
      <w:r w:rsidRPr="000B5277">
        <w:rPr>
          <w:rFonts w:ascii="Arial" w:hAnsi="Arial" w:cs="Arial"/>
          <w:lang w:val="mk-MK"/>
        </w:rPr>
        <w:t xml:space="preserve"> </w:t>
      </w:r>
      <w:proofErr w:type="spellStart"/>
      <w:r w:rsidRPr="000B5277">
        <w:rPr>
          <w:rFonts w:ascii="Arial" w:hAnsi="Arial" w:cs="Arial"/>
          <w:lang w:val="mk-MK"/>
        </w:rPr>
        <w:t>event</w:t>
      </w:r>
      <w:proofErr w:type="spellEnd"/>
      <w:r w:rsidRPr="000B5277">
        <w:rPr>
          <w:rFonts w:ascii="Arial" w:hAnsi="Arial" w:cs="Arial"/>
          <w:lang w:val="mk-MK"/>
        </w:rPr>
        <w:t xml:space="preserve"> </w:t>
      </w:r>
      <w:proofErr w:type="spellStart"/>
      <w:r w:rsidRPr="000B5277">
        <w:rPr>
          <w:rFonts w:ascii="Arial" w:hAnsi="Arial" w:cs="Arial"/>
          <w:lang w:val="mk-MK"/>
        </w:rPr>
        <w:t>after</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reporting</w:t>
      </w:r>
      <w:proofErr w:type="spellEnd"/>
      <w:r w:rsidRPr="000B5277">
        <w:rPr>
          <w:rFonts w:ascii="Arial" w:hAnsi="Arial" w:cs="Arial"/>
          <w:lang w:val="mk-MK"/>
        </w:rPr>
        <w:t xml:space="preserve"> </w:t>
      </w:r>
      <w:proofErr w:type="spellStart"/>
      <w:r w:rsidRPr="000B5277">
        <w:rPr>
          <w:rFonts w:ascii="Arial" w:hAnsi="Arial" w:cs="Arial"/>
          <w:lang w:val="mk-MK"/>
        </w:rPr>
        <w:t>period</w:t>
      </w:r>
      <w:proofErr w:type="spellEnd"/>
      <w:r w:rsidRPr="000B5277">
        <w:rPr>
          <w:rFonts w:ascii="Arial" w:hAnsi="Arial" w:cs="Arial"/>
          <w:lang w:val="mk-MK"/>
        </w:rPr>
        <w:t>.</w:t>
      </w:r>
    </w:p>
    <w:p w14:paraId="7FE6DD68" w14:textId="135BF5FF" w:rsidR="00A12CF7" w:rsidRPr="00CE3053" w:rsidRDefault="000B5277" w:rsidP="000B5277">
      <w:pPr>
        <w:pStyle w:val="BodyText"/>
        <w:jc w:val="both"/>
        <w:rPr>
          <w:rFonts w:ascii="Arial" w:hAnsi="Arial" w:cs="Arial"/>
          <w:lang w:val="mk-MK"/>
        </w:rPr>
      </w:pPr>
      <w:proofErr w:type="spellStart"/>
      <w:r w:rsidRPr="000B5277">
        <w:rPr>
          <w:rFonts w:ascii="Arial" w:hAnsi="Arial" w:cs="Arial"/>
          <w:lang w:val="mk-MK"/>
        </w:rPr>
        <w:t>Apart</w:t>
      </w:r>
      <w:proofErr w:type="spellEnd"/>
      <w:r w:rsidRPr="000B5277">
        <w:rPr>
          <w:rFonts w:ascii="Arial" w:hAnsi="Arial" w:cs="Arial"/>
          <w:lang w:val="mk-MK"/>
        </w:rPr>
        <w:t xml:space="preserve"> </w:t>
      </w:r>
      <w:proofErr w:type="spellStart"/>
      <w:r w:rsidRPr="000B5277">
        <w:rPr>
          <w:rFonts w:ascii="Arial" w:hAnsi="Arial" w:cs="Arial"/>
          <w:lang w:val="mk-MK"/>
        </w:rPr>
        <w:t>from</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events</w:t>
      </w:r>
      <w:proofErr w:type="spellEnd"/>
      <w:r w:rsidRPr="000B5277">
        <w:rPr>
          <w:rFonts w:ascii="Arial" w:hAnsi="Arial" w:cs="Arial"/>
          <w:lang w:val="mk-MK"/>
        </w:rPr>
        <w:t xml:space="preserve"> </w:t>
      </w:r>
      <w:proofErr w:type="spellStart"/>
      <w:r w:rsidRPr="000B5277">
        <w:rPr>
          <w:rFonts w:ascii="Arial" w:hAnsi="Arial" w:cs="Arial"/>
          <w:lang w:val="mk-MK"/>
        </w:rPr>
        <w:t>presented</w:t>
      </w:r>
      <w:proofErr w:type="spellEnd"/>
      <w:r w:rsidRPr="000B5277">
        <w:rPr>
          <w:rFonts w:ascii="Arial" w:hAnsi="Arial" w:cs="Arial"/>
          <w:lang w:val="mk-MK"/>
        </w:rPr>
        <w:t xml:space="preserve"> </w:t>
      </w:r>
      <w:proofErr w:type="spellStart"/>
      <w:r w:rsidRPr="000B5277">
        <w:rPr>
          <w:rFonts w:ascii="Arial" w:hAnsi="Arial" w:cs="Arial"/>
          <w:lang w:val="mk-MK"/>
        </w:rPr>
        <w:t>above</w:t>
      </w:r>
      <w:proofErr w:type="spellEnd"/>
      <w:r w:rsidRPr="000B5277">
        <w:rPr>
          <w:rFonts w:ascii="Arial" w:hAnsi="Arial" w:cs="Arial"/>
          <w:lang w:val="mk-MK"/>
        </w:rPr>
        <w:t xml:space="preserve">, </w:t>
      </w:r>
      <w:proofErr w:type="spellStart"/>
      <w:r w:rsidRPr="000B5277">
        <w:rPr>
          <w:rFonts w:ascii="Arial" w:hAnsi="Arial" w:cs="Arial"/>
          <w:lang w:val="mk-MK"/>
        </w:rPr>
        <w:t>after</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day</w:t>
      </w:r>
      <w:proofErr w:type="spellEnd"/>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preparation</w:t>
      </w:r>
      <w:proofErr w:type="spellEnd"/>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these</w:t>
      </w:r>
      <w:proofErr w:type="spellEnd"/>
      <w:r w:rsidRPr="000B5277">
        <w:rPr>
          <w:rFonts w:ascii="Arial" w:hAnsi="Arial" w:cs="Arial"/>
          <w:lang w:val="mk-MK"/>
        </w:rPr>
        <w:t xml:space="preserve"> </w:t>
      </w:r>
      <w:proofErr w:type="spellStart"/>
      <w:r w:rsidRPr="000B5277">
        <w:rPr>
          <w:rFonts w:ascii="Arial" w:hAnsi="Arial" w:cs="Arial"/>
          <w:lang w:val="mk-MK"/>
        </w:rPr>
        <w:t>financial</w:t>
      </w:r>
      <w:proofErr w:type="spellEnd"/>
      <w:r w:rsidRPr="000B5277">
        <w:rPr>
          <w:rFonts w:ascii="Arial" w:hAnsi="Arial" w:cs="Arial"/>
          <w:lang w:val="mk-MK"/>
        </w:rPr>
        <w:t xml:space="preserve"> </w:t>
      </w:r>
      <w:proofErr w:type="spellStart"/>
      <w:r w:rsidRPr="000B5277">
        <w:rPr>
          <w:rFonts w:ascii="Arial" w:hAnsi="Arial" w:cs="Arial"/>
          <w:lang w:val="mk-MK"/>
        </w:rPr>
        <w:t>statements</w:t>
      </w:r>
      <w:proofErr w:type="spellEnd"/>
      <w:r w:rsidRPr="000B5277">
        <w:rPr>
          <w:rFonts w:ascii="Arial" w:hAnsi="Arial" w:cs="Arial"/>
          <w:lang w:val="mk-MK"/>
        </w:rPr>
        <w:t xml:space="preserve"> </w:t>
      </w:r>
      <w:proofErr w:type="spellStart"/>
      <w:r w:rsidRPr="000B5277">
        <w:rPr>
          <w:rFonts w:ascii="Arial" w:hAnsi="Arial" w:cs="Arial"/>
          <w:lang w:val="mk-MK"/>
        </w:rPr>
        <w:t>of</w:t>
      </w:r>
      <w:proofErr w:type="spellEnd"/>
      <w:r w:rsidRPr="000B5277">
        <w:rPr>
          <w:rFonts w:ascii="Arial" w:hAnsi="Arial" w:cs="Arial"/>
          <w:lang w:val="mk-MK"/>
        </w:rPr>
        <w:t xml:space="preserve"> </w:t>
      </w:r>
      <w:proofErr w:type="spellStart"/>
      <w:r w:rsidRPr="000B5277">
        <w:rPr>
          <w:rFonts w:ascii="Arial" w:hAnsi="Arial" w:cs="Arial"/>
          <w:lang w:val="mk-MK"/>
        </w:rPr>
        <w:t>the</w:t>
      </w:r>
      <w:proofErr w:type="spellEnd"/>
      <w:r w:rsidRPr="000B5277">
        <w:rPr>
          <w:rFonts w:ascii="Arial" w:hAnsi="Arial" w:cs="Arial"/>
          <w:lang w:val="mk-MK"/>
        </w:rPr>
        <w:t xml:space="preserve"> </w:t>
      </w:r>
      <w:proofErr w:type="spellStart"/>
      <w:r w:rsidRPr="000B5277">
        <w:rPr>
          <w:rFonts w:ascii="Arial" w:hAnsi="Arial" w:cs="Arial"/>
          <w:lang w:val="mk-MK"/>
        </w:rPr>
        <w:t>Fund</w:t>
      </w:r>
      <w:proofErr w:type="spellEnd"/>
      <w:r w:rsidRPr="000B5277">
        <w:rPr>
          <w:rFonts w:ascii="Arial" w:hAnsi="Arial" w:cs="Arial"/>
          <w:lang w:val="mk-MK"/>
        </w:rPr>
        <w:t xml:space="preserve">, </w:t>
      </w:r>
      <w:proofErr w:type="spellStart"/>
      <w:r w:rsidRPr="000B5277">
        <w:rPr>
          <w:rFonts w:ascii="Arial" w:hAnsi="Arial" w:cs="Arial"/>
          <w:lang w:val="mk-MK"/>
        </w:rPr>
        <w:t>no</w:t>
      </w:r>
      <w:proofErr w:type="spellEnd"/>
      <w:r w:rsidRPr="000B5277">
        <w:rPr>
          <w:rFonts w:ascii="Arial" w:hAnsi="Arial" w:cs="Arial"/>
          <w:lang w:val="mk-MK"/>
        </w:rPr>
        <w:t xml:space="preserve"> </w:t>
      </w:r>
      <w:proofErr w:type="spellStart"/>
      <w:r w:rsidRPr="000B5277">
        <w:rPr>
          <w:rFonts w:ascii="Arial" w:hAnsi="Arial" w:cs="Arial"/>
          <w:lang w:val="mk-MK"/>
        </w:rPr>
        <w:t>other</w:t>
      </w:r>
      <w:proofErr w:type="spellEnd"/>
      <w:r w:rsidRPr="000B5277">
        <w:rPr>
          <w:rFonts w:ascii="Arial" w:hAnsi="Arial" w:cs="Arial"/>
          <w:lang w:val="mk-MK"/>
        </w:rPr>
        <w:t xml:space="preserve"> </w:t>
      </w:r>
      <w:proofErr w:type="spellStart"/>
      <w:r w:rsidRPr="000B5277">
        <w:rPr>
          <w:rFonts w:ascii="Arial" w:hAnsi="Arial" w:cs="Arial"/>
          <w:lang w:val="mk-MK"/>
        </w:rPr>
        <w:t>significant</w:t>
      </w:r>
      <w:proofErr w:type="spellEnd"/>
      <w:r w:rsidRPr="000B5277">
        <w:rPr>
          <w:rFonts w:ascii="Arial" w:hAnsi="Arial" w:cs="Arial"/>
          <w:lang w:val="mk-MK"/>
        </w:rPr>
        <w:t xml:space="preserve"> </w:t>
      </w:r>
      <w:proofErr w:type="spellStart"/>
      <w:r w:rsidRPr="000B5277">
        <w:rPr>
          <w:rFonts w:ascii="Arial" w:hAnsi="Arial" w:cs="Arial"/>
          <w:lang w:val="mk-MK"/>
        </w:rPr>
        <w:t>events</w:t>
      </w:r>
      <w:proofErr w:type="spellEnd"/>
      <w:r w:rsidRPr="000B5277">
        <w:rPr>
          <w:rFonts w:ascii="Arial" w:hAnsi="Arial" w:cs="Arial"/>
          <w:lang w:val="mk-MK"/>
        </w:rPr>
        <w:t xml:space="preserve"> </w:t>
      </w:r>
      <w:proofErr w:type="spellStart"/>
      <w:r w:rsidRPr="000B5277">
        <w:rPr>
          <w:rFonts w:ascii="Arial" w:hAnsi="Arial" w:cs="Arial"/>
          <w:lang w:val="mk-MK"/>
        </w:rPr>
        <w:t>occurred</w:t>
      </w:r>
      <w:proofErr w:type="spellEnd"/>
      <w:r w:rsidRPr="000B5277">
        <w:rPr>
          <w:rFonts w:ascii="Arial" w:hAnsi="Arial" w:cs="Arial"/>
          <w:lang w:val="mk-MK"/>
        </w:rPr>
        <w:t xml:space="preserve"> </w:t>
      </w:r>
      <w:proofErr w:type="spellStart"/>
      <w:r w:rsidRPr="000B5277">
        <w:rPr>
          <w:rFonts w:ascii="Arial" w:hAnsi="Arial" w:cs="Arial"/>
          <w:lang w:val="mk-MK"/>
        </w:rPr>
        <w:t>that</w:t>
      </w:r>
      <w:proofErr w:type="spellEnd"/>
      <w:r w:rsidRPr="000B5277">
        <w:rPr>
          <w:rFonts w:ascii="Arial" w:hAnsi="Arial" w:cs="Arial"/>
          <w:lang w:val="mk-MK"/>
        </w:rPr>
        <w:t xml:space="preserve"> </w:t>
      </w:r>
      <w:proofErr w:type="spellStart"/>
      <w:r w:rsidRPr="000B5277">
        <w:rPr>
          <w:rFonts w:ascii="Arial" w:hAnsi="Arial" w:cs="Arial"/>
          <w:lang w:val="mk-MK"/>
        </w:rPr>
        <w:t>need</w:t>
      </w:r>
      <w:proofErr w:type="spellEnd"/>
      <w:r w:rsidRPr="000B5277">
        <w:rPr>
          <w:rFonts w:ascii="Arial" w:hAnsi="Arial" w:cs="Arial"/>
          <w:lang w:val="mk-MK"/>
        </w:rPr>
        <w:t xml:space="preserve"> </w:t>
      </w:r>
      <w:proofErr w:type="spellStart"/>
      <w:r w:rsidRPr="000B5277">
        <w:rPr>
          <w:rFonts w:ascii="Arial" w:hAnsi="Arial" w:cs="Arial"/>
          <w:lang w:val="mk-MK"/>
        </w:rPr>
        <w:t>to</w:t>
      </w:r>
      <w:proofErr w:type="spellEnd"/>
      <w:r w:rsidRPr="000B5277">
        <w:rPr>
          <w:rFonts w:ascii="Arial" w:hAnsi="Arial" w:cs="Arial"/>
          <w:lang w:val="mk-MK"/>
        </w:rPr>
        <w:t xml:space="preserve"> </w:t>
      </w:r>
      <w:proofErr w:type="spellStart"/>
      <w:r w:rsidRPr="000B5277">
        <w:rPr>
          <w:rFonts w:ascii="Arial" w:hAnsi="Arial" w:cs="Arial"/>
          <w:lang w:val="mk-MK"/>
        </w:rPr>
        <w:t>be</w:t>
      </w:r>
      <w:proofErr w:type="spellEnd"/>
      <w:r w:rsidRPr="000B5277">
        <w:rPr>
          <w:rFonts w:ascii="Arial" w:hAnsi="Arial" w:cs="Arial"/>
          <w:lang w:val="mk-MK"/>
        </w:rPr>
        <w:t xml:space="preserve"> </w:t>
      </w:r>
      <w:proofErr w:type="spellStart"/>
      <w:r w:rsidRPr="000B5277">
        <w:rPr>
          <w:rFonts w:ascii="Arial" w:hAnsi="Arial" w:cs="Arial"/>
          <w:lang w:val="mk-MK"/>
        </w:rPr>
        <w:t>disclosed</w:t>
      </w:r>
      <w:proofErr w:type="spellEnd"/>
      <w:r w:rsidR="00A12CF7" w:rsidRPr="00CE3053">
        <w:rPr>
          <w:rFonts w:ascii="Arial" w:hAnsi="Arial" w:cs="Arial"/>
          <w:lang w:val="mk-MK"/>
        </w:rPr>
        <w:t>.</w:t>
      </w:r>
    </w:p>
    <w:bookmarkEnd w:id="13"/>
    <w:p w14:paraId="7419501D" w14:textId="3BDB8885" w:rsidR="00A12CF7" w:rsidRPr="00CE3053" w:rsidRDefault="00A12CF7" w:rsidP="00A12CF7">
      <w:pPr>
        <w:pStyle w:val="BodyText"/>
        <w:jc w:val="both"/>
        <w:rPr>
          <w:rFonts w:ascii="Arial" w:hAnsi="Arial" w:cs="Arial"/>
          <w:lang w:val="mk-MK"/>
        </w:rPr>
      </w:pPr>
    </w:p>
    <w:p w14:paraId="0A2368F7" w14:textId="77777777" w:rsidR="00A12CF7" w:rsidRPr="00CE3053" w:rsidRDefault="00A12CF7" w:rsidP="00A12CF7">
      <w:pPr>
        <w:tabs>
          <w:tab w:val="left" w:pos="7680"/>
        </w:tabs>
        <w:rPr>
          <w:lang w:val="mk-MK"/>
        </w:rPr>
      </w:pPr>
    </w:p>
    <w:p w14:paraId="73A70901" w14:textId="0B7E8C19" w:rsidR="00834F05" w:rsidRPr="00CE3053" w:rsidRDefault="00834F05">
      <w:pPr>
        <w:spacing w:after="0" w:line="240" w:lineRule="auto"/>
        <w:rPr>
          <w:rFonts w:ascii="Arial" w:hAnsi="Arial" w:cs="Arial"/>
          <w:b/>
          <w:color w:val="4F2D7F"/>
          <w:lang w:val="mk-MK"/>
        </w:rPr>
      </w:pPr>
    </w:p>
    <w:bookmarkEnd w:id="3"/>
    <w:bookmarkEnd w:id="4"/>
    <w:p w14:paraId="506B66A1" w14:textId="0B8350C0" w:rsidR="00E30934" w:rsidRPr="00CE3053" w:rsidRDefault="00E30934" w:rsidP="00EB6102">
      <w:pPr>
        <w:tabs>
          <w:tab w:val="left" w:pos="7680"/>
        </w:tabs>
        <w:rPr>
          <w:lang w:val="mk-MK"/>
        </w:rPr>
      </w:pPr>
    </w:p>
    <w:sectPr w:rsidR="00E30934" w:rsidRPr="00CE3053" w:rsidSect="00EF02F1">
      <w:headerReference w:type="even" r:id="rId36"/>
      <w:headerReference w:type="default" r:id="rId37"/>
      <w:footerReference w:type="default" r:id="rId38"/>
      <w:pgSz w:w="11907" w:h="16840" w:code="9"/>
      <w:pgMar w:top="1499" w:right="734" w:bottom="1138" w:left="2606"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A32E" w14:textId="77777777" w:rsidR="00FE7ED8" w:rsidRDefault="00FE7ED8">
      <w:r>
        <w:separator/>
      </w:r>
    </w:p>
  </w:endnote>
  <w:endnote w:type="continuationSeparator" w:id="0">
    <w:p w14:paraId="10E007BE" w14:textId="77777777" w:rsidR="00FE7ED8" w:rsidRDefault="00FE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AC C Times">
    <w:charset w:val="00"/>
    <w:family w:val="roman"/>
    <w:pitch w:val="variable"/>
    <w:sig w:usb0="00000087" w:usb1="00000000" w:usb2="00000000" w:usb3="00000000" w:csb0="0000001B" w:csb1="00000000"/>
  </w:font>
  <w:font w:name="Pulstajms7">
    <w:charset w:val="00"/>
    <w:family w:val="roman"/>
    <w:pitch w:val="variable"/>
    <w:sig w:usb0="00000003" w:usb1="00000000" w:usb2="00000000" w:usb3="00000000" w:csb0="00000001" w:csb1="00000000"/>
  </w:font>
  <w:font w:name="M_Garamond">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C C Swiss">
    <w:altName w:val="Calibri"/>
    <w:panose1 w:val="020B72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M_Swiss">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F9EE" w14:textId="77777777" w:rsidR="00A94FA0" w:rsidRDefault="00A94FA0" w:rsidP="00262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80FB79" w14:textId="77777777" w:rsidR="00A94FA0" w:rsidRDefault="00A94FA0" w:rsidP="00262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3A1F" w14:textId="77777777" w:rsidR="00A94FA0" w:rsidRDefault="00A94FA0" w:rsidP="002D1B7D">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818E" w14:textId="748A3570" w:rsidR="00A94FA0" w:rsidRPr="00025576" w:rsidRDefault="00A94FA0" w:rsidP="00574BCD">
    <w:pPr>
      <w:pStyle w:val="Footer"/>
      <w:tabs>
        <w:tab w:val="clear" w:pos="8222"/>
      </w:tabs>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9159" w14:textId="2A37FD0A" w:rsidR="00A94FA0" w:rsidRPr="006B0FDF" w:rsidRDefault="006B0FDF" w:rsidP="00815E65">
    <w:pPr>
      <w:pStyle w:val="Footer"/>
      <w:rPr>
        <w:rFonts w:ascii="M_Swiss" w:hAnsi="M_Swiss"/>
        <w:sz w:val="16"/>
        <w:lang w:val="en-US"/>
      </w:rPr>
    </w:pPr>
    <w:r>
      <w:rPr>
        <w:rFonts w:ascii="Calibri" w:hAnsi="Calibri"/>
        <w:sz w:val="16"/>
        <w:lang w:val="en-US"/>
      </w:rPr>
      <w:t>Accompa</w:t>
    </w:r>
    <w:r w:rsidR="00F03246">
      <w:rPr>
        <w:rFonts w:ascii="Calibri" w:hAnsi="Calibri"/>
        <w:sz w:val="16"/>
        <w:lang w:val="en-US"/>
      </w:rPr>
      <w:t>nying notes are integral part of these financial statements</w:t>
    </w:r>
  </w:p>
  <w:p w14:paraId="5ED9EB1B" w14:textId="77777777" w:rsidR="00A94FA0" w:rsidRPr="00CA276A" w:rsidRDefault="00A94FA0" w:rsidP="00815E65">
    <w:pPr>
      <w:pStyle w:val="Footer"/>
      <w:rPr>
        <w:rFonts w:ascii="M_Swiss" w:hAnsi="M_Swiss"/>
        <w:sz w:val="16"/>
        <w:lang w:val="de-D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E3BA" w14:textId="0DE2ED1F" w:rsidR="00A94FA0" w:rsidRPr="004539D5" w:rsidRDefault="004539D5" w:rsidP="00BF38DF">
    <w:pPr>
      <w:pStyle w:val="Footer"/>
      <w:ind w:right="360"/>
      <w:rPr>
        <w:sz w:val="16"/>
        <w:lang w:val="en-US"/>
      </w:rPr>
    </w:pPr>
    <w:r>
      <w:rPr>
        <w:sz w:val="16"/>
        <w:lang w:val="en-US"/>
      </w:rPr>
      <w:t>Accompanying notes are integral part of these financial statements</w:t>
    </w:r>
  </w:p>
  <w:p w14:paraId="3187034E" w14:textId="77777777" w:rsidR="00A94FA0" w:rsidRPr="004539D5" w:rsidRDefault="00A94FA0" w:rsidP="00BF38DF">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FE3A" w14:textId="77777777" w:rsidR="00A94FA0" w:rsidRPr="00285DE8" w:rsidRDefault="00A94FA0" w:rsidP="00BF38DF">
    <w:pPr>
      <w:pStyle w:val="Footer"/>
      <w:rPr>
        <w:lang w:val="nb-NO"/>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CDA6" w14:textId="77777777" w:rsidR="00A94FA0" w:rsidRPr="00FF4BF1" w:rsidRDefault="00A94FA0" w:rsidP="00815E6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8418" w14:textId="77777777" w:rsidR="00A94FA0" w:rsidRPr="00DC68E7" w:rsidRDefault="00A94FA0" w:rsidP="00DC6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E5B1" w14:textId="77777777" w:rsidR="00FE7ED8" w:rsidRDefault="00FE7ED8">
      <w:r>
        <w:separator/>
      </w:r>
    </w:p>
  </w:footnote>
  <w:footnote w:type="continuationSeparator" w:id="0">
    <w:p w14:paraId="0B48156A" w14:textId="77777777" w:rsidR="00FE7ED8" w:rsidRDefault="00FE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2229" w14:textId="77777777" w:rsidR="00A94FA0" w:rsidRPr="00C13906" w:rsidRDefault="00A94FA0" w:rsidP="00B03481">
    <w:pPr>
      <w:pStyle w:val="Header"/>
      <w:tabs>
        <w:tab w:val="clear" w:pos="8562"/>
        <w:tab w:val="left" w:pos="4410"/>
      </w:tabs>
      <w:spacing w:after="1418"/>
    </w:pPr>
    <w:r w:rsidRPr="00312F1E">
      <w:rPr>
        <w:noProof/>
        <w:lang w:val="mk-MK" w:eastAsia="mk-MK"/>
      </w:rPr>
      <w:drawing>
        <wp:anchor distT="0" distB="0" distL="114300" distR="114300" simplePos="0" relativeHeight="251654656" behindDoc="0" locked="0" layoutInCell="1" allowOverlap="1" wp14:anchorId="4B9BF4B1" wp14:editId="39070B8F">
          <wp:simplePos x="0" y="0"/>
          <wp:positionH relativeFrom="margin">
            <wp:posOffset>-2540</wp:posOffset>
          </wp:positionH>
          <wp:positionV relativeFrom="paragraph">
            <wp:posOffset>109220</wp:posOffset>
          </wp:positionV>
          <wp:extent cx="1990800" cy="381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90800" cy="381600"/>
                  </a:xfrm>
                  <a:prstGeom prst="rect">
                    <a:avLst/>
                  </a:prstGeom>
                </pic:spPr>
              </pic:pic>
            </a:graphicData>
          </a:graphic>
        </wp:anchor>
      </w:drawing>
    </w:r>
    <w:r>
      <w:rPr>
        <w:noProof/>
        <w:lang w:val="mk-MK" w:eastAsia="mk-MK"/>
      </w:rPr>
      <mc:AlternateContent>
        <mc:Choice Requires="wps">
          <w:drawing>
            <wp:anchor distT="0" distB="0" distL="114300" distR="114300" simplePos="0" relativeHeight="251655680" behindDoc="1" locked="0" layoutInCell="1" allowOverlap="1" wp14:anchorId="5E533DF2" wp14:editId="3A7C5451">
              <wp:simplePos x="0" y="0"/>
              <wp:positionH relativeFrom="page">
                <wp:posOffset>5464810</wp:posOffset>
              </wp:positionH>
              <wp:positionV relativeFrom="page">
                <wp:posOffset>1724025</wp:posOffset>
              </wp:positionV>
              <wp:extent cx="1517650" cy="120015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04EEC" w14:textId="77777777" w:rsidR="00A94FA0" w:rsidRPr="00961E44" w:rsidRDefault="00A94FA0" w:rsidP="007413FA">
                          <w:pPr>
                            <w:pStyle w:val="Letteraddress"/>
                            <w:spacing w:after="0"/>
                            <w:rPr>
                              <w:rStyle w:val="Highlightbold"/>
                              <w:spacing w:val="-4"/>
                            </w:rPr>
                          </w:pPr>
                          <w:r w:rsidRPr="00961E44">
                            <w:rPr>
                              <w:rStyle w:val="Highlightbold"/>
                              <w:spacing w:val="-4"/>
                            </w:rPr>
                            <w:t>Grant Thornton DOO</w:t>
                          </w:r>
                        </w:p>
                        <w:p w14:paraId="61F0AAB8" w14:textId="77777777" w:rsidR="00A94FA0" w:rsidRPr="00BF42A9" w:rsidRDefault="00A94FA0" w:rsidP="007413FA">
                          <w:pPr>
                            <w:pStyle w:val="Letteraddress"/>
                            <w:spacing w:line="240" w:lineRule="auto"/>
                          </w:pPr>
                          <w:r>
                            <w:t xml:space="preserve">Sv.Kiril i Metodij 52b-1/20 </w:t>
                          </w:r>
                          <w:r>
                            <w:br/>
                            <w:t>1000 Skopje</w:t>
                          </w:r>
                          <w:r>
                            <w:br/>
                            <w:t>North Macedonia</w:t>
                          </w:r>
                        </w:p>
                        <w:p w14:paraId="68D23FC4" w14:textId="77777777" w:rsidR="00A94FA0" w:rsidRPr="00C15B49" w:rsidRDefault="00A94FA0" w:rsidP="007413FA">
                          <w:pPr>
                            <w:spacing w:after="60" w:line="240" w:lineRule="auto"/>
                            <w:ind w:right="-57"/>
                            <w:rPr>
                              <w:rFonts w:ascii="Arial" w:hAnsi="Arial"/>
                              <w:color w:val="000000"/>
                              <w:sz w:val="16"/>
                              <w:szCs w:val="16"/>
                              <w:lang w:eastAsia="en-GB"/>
                            </w:rPr>
                          </w:pPr>
                          <w:r w:rsidRPr="00C15B49">
                            <w:rPr>
                              <w:rFonts w:ascii="Arial" w:hAnsi="Arial"/>
                              <w:b/>
                              <w:iCs/>
                              <w:color w:val="000000"/>
                              <w:sz w:val="16"/>
                              <w:szCs w:val="16"/>
                              <w:lang w:eastAsia="en-GB"/>
                            </w:rPr>
                            <w:t>T</w:t>
                          </w:r>
                          <w:r w:rsidRPr="00C15B49">
                            <w:rPr>
                              <w:rFonts w:ascii="Arial" w:hAnsi="Arial"/>
                              <w:color w:val="000000"/>
                              <w:sz w:val="16"/>
                              <w:szCs w:val="16"/>
                              <w:lang w:eastAsia="en-GB"/>
                            </w:rPr>
                            <w:t xml:space="preserve"> +389 (0)2 3214 700</w:t>
                          </w:r>
                          <w:r w:rsidRPr="00C15B49">
                            <w:rPr>
                              <w:rFonts w:ascii="Arial" w:hAnsi="Arial"/>
                              <w:color w:val="000000"/>
                              <w:sz w:val="16"/>
                              <w:szCs w:val="16"/>
                              <w:lang w:eastAsia="en-GB"/>
                            </w:rPr>
                            <w:br/>
                          </w:r>
                          <w:r w:rsidRPr="00C15B49">
                            <w:rPr>
                              <w:rFonts w:ascii="Arial" w:hAnsi="Arial"/>
                              <w:b/>
                              <w:iCs/>
                              <w:color w:val="000000"/>
                              <w:sz w:val="16"/>
                              <w:szCs w:val="16"/>
                              <w:lang w:eastAsia="en-GB"/>
                            </w:rPr>
                            <w:t xml:space="preserve">F </w:t>
                          </w:r>
                          <w:r w:rsidRPr="00C15B49">
                            <w:rPr>
                              <w:rFonts w:ascii="Arial" w:hAnsi="Arial"/>
                              <w:color w:val="000000"/>
                              <w:sz w:val="16"/>
                              <w:szCs w:val="16"/>
                              <w:lang w:eastAsia="en-GB"/>
                            </w:rPr>
                            <w:t xml:space="preserve">+389 (0)2 3214 710                        </w:t>
                          </w:r>
                          <w:r w:rsidRPr="00C15B49">
                            <w:rPr>
                              <w:rFonts w:ascii="Arial" w:hAnsi="Arial"/>
                              <w:b/>
                              <w:color w:val="000000"/>
                              <w:sz w:val="16"/>
                              <w:szCs w:val="16"/>
                              <w:lang w:eastAsia="en-GB"/>
                            </w:rPr>
                            <w:t>E</w:t>
                          </w:r>
                          <w:r w:rsidRPr="00C15B49">
                            <w:rPr>
                              <w:rFonts w:ascii="Arial" w:hAnsi="Arial"/>
                              <w:color w:val="000000"/>
                              <w:sz w:val="16"/>
                              <w:szCs w:val="16"/>
                              <w:lang w:eastAsia="en-GB"/>
                            </w:rPr>
                            <w:t xml:space="preserve"> Contact@mk.gt.com                          VAT No. 4030003475973</w:t>
                          </w:r>
                        </w:p>
                        <w:p w14:paraId="64E523C2" w14:textId="77777777" w:rsidR="00A94FA0" w:rsidRDefault="00A94FA0" w:rsidP="007413FA"/>
                        <w:p w14:paraId="4599B659" w14:textId="77777777" w:rsidR="00A94FA0" w:rsidRDefault="00A94FA0" w:rsidP="007413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33DF2" id="_x0000_t202" coordsize="21600,21600" o:spt="202" path="m,l,21600r21600,l21600,xe">
              <v:stroke joinstyle="miter"/>
              <v:path gradientshapeok="t" o:connecttype="rect"/>
            </v:shapetype>
            <v:shape id="Text Box 11" o:spid="_x0000_s1026" type="#_x0000_t202" style="position:absolute;margin-left:430.3pt;margin-top:135.75pt;width:119.5pt;height: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" filled="f" stroked="f">
              <v:textbox inset="0,0,0,0">
                <w:txbxContent>
                  <w:p w14:paraId="56504EEC" w14:textId="77777777" w:rsidR="00A94FA0" w:rsidRPr="00961E44" w:rsidRDefault="00A94FA0" w:rsidP="007413FA">
                    <w:pPr>
                      <w:pStyle w:val="Letteraddress"/>
                      <w:spacing w:after="0"/>
                      <w:rPr>
                        <w:rStyle w:val="Highlightbold"/>
                        <w:spacing w:val="-4"/>
                      </w:rPr>
                    </w:pPr>
                    <w:r w:rsidRPr="00961E44">
                      <w:rPr>
                        <w:rStyle w:val="Highlightbold"/>
                        <w:spacing w:val="-4"/>
                      </w:rPr>
                      <w:t>Grant Thornton DOO</w:t>
                    </w:r>
                  </w:p>
                  <w:p w14:paraId="61F0AAB8" w14:textId="77777777" w:rsidR="00A94FA0" w:rsidRPr="00BF42A9" w:rsidRDefault="00A94FA0" w:rsidP="007413FA">
                    <w:pPr>
                      <w:pStyle w:val="Letteraddress"/>
                      <w:spacing w:line="240" w:lineRule="auto"/>
                    </w:pPr>
                    <w:r>
                      <w:t xml:space="preserve">Sv.Kiril i Metodij 52b-1/20 </w:t>
                    </w:r>
                    <w:r>
                      <w:br/>
                      <w:t>1000 Skopje</w:t>
                    </w:r>
                    <w:r>
                      <w:br/>
                      <w:t>North Macedonia</w:t>
                    </w:r>
                  </w:p>
                  <w:p w14:paraId="68D23FC4" w14:textId="77777777" w:rsidR="00A94FA0" w:rsidRPr="00C15B49" w:rsidRDefault="00A94FA0" w:rsidP="007413FA">
                    <w:pPr>
                      <w:spacing w:after="60" w:line="240" w:lineRule="auto"/>
                      <w:ind w:right="-57"/>
                      <w:rPr>
                        <w:rFonts w:ascii="Arial" w:hAnsi="Arial"/>
                        <w:color w:val="000000"/>
                        <w:sz w:val="16"/>
                        <w:szCs w:val="16"/>
                        <w:lang w:eastAsia="en-GB"/>
                      </w:rPr>
                    </w:pPr>
                    <w:r w:rsidRPr="00C15B49">
                      <w:rPr>
                        <w:rFonts w:ascii="Arial" w:hAnsi="Arial"/>
                        <w:b/>
                        <w:iCs/>
                        <w:color w:val="000000"/>
                        <w:sz w:val="16"/>
                        <w:szCs w:val="16"/>
                        <w:lang w:eastAsia="en-GB"/>
                      </w:rPr>
                      <w:t>T</w:t>
                    </w:r>
                    <w:r w:rsidRPr="00C15B49">
                      <w:rPr>
                        <w:rFonts w:ascii="Arial" w:hAnsi="Arial"/>
                        <w:color w:val="000000"/>
                        <w:sz w:val="16"/>
                        <w:szCs w:val="16"/>
                        <w:lang w:eastAsia="en-GB"/>
                      </w:rPr>
                      <w:t xml:space="preserve"> +389 (0)2 3214 700</w:t>
                    </w:r>
                    <w:r w:rsidRPr="00C15B49">
                      <w:rPr>
                        <w:rFonts w:ascii="Arial" w:hAnsi="Arial"/>
                        <w:color w:val="000000"/>
                        <w:sz w:val="16"/>
                        <w:szCs w:val="16"/>
                        <w:lang w:eastAsia="en-GB"/>
                      </w:rPr>
                      <w:br/>
                    </w:r>
                    <w:r w:rsidRPr="00C15B49">
                      <w:rPr>
                        <w:rFonts w:ascii="Arial" w:hAnsi="Arial"/>
                        <w:b/>
                        <w:iCs/>
                        <w:color w:val="000000"/>
                        <w:sz w:val="16"/>
                        <w:szCs w:val="16"/>
                        <w:lang w:eastAsia="en-GB"/>
                      </w:rPr>
                      <w:t xml:space="preserve">F </w:t>
                    </w:r>
                    <w:r w:rsidRPr="00C15B49">
                      <w:rPr>
                        <w:rFonts w:ascii="Arial" w:hAnsi="Arial"/>
                        <w:color w:val="000000"/>
                        <w:sz w:val="16"/>
                        <w:szCs w:val="16"/>
                        <w:lang w:eastAsia="en-GB"/>
                      </w:rPr>
                      <w:t xml:space="preserve">+389 (0)2 3214 710                        </w:t>
                    </w:r>
                    <w:r w:rsidRPr="00C15B49">
                      <w:rPr>
                        <w:rFonts w:ascii="Arial" w:hAnsi="Arial"/>
                        <w:b/>
                        <w:color w:val="000000"/>
                        <w:sz w:val="16"/>
                        <w:szCs w:val="16"/>
                        <w:lang w:eastAsia="en-GB"/>
                      </w:rPr>
                      <w:t>E</w:t>
                    </w:r>
                    <w:r w:rsidRPr="00C15B49">
                      <w:rPr>
                        <w:rFonts w:ascii="Arial" w:hAnsi="Arial"/>
                        <w:color w:val="000000"/>
                        <w:sz w:val="16"/>
                        <w:szCs w:val="16"/>
                        <w:lang w:eastAsia="en-GB"/>
                      </w:rPr>
                      <w:t xml:space="preserve"> Contact@mk.gt.com                          VAT No. 4030003475973</w:t>
                    </w:r>
                  </w:p>
                  <w:p w14:paraId="64E523C2" w14:textId="77777777" w:rsidR="00A94FA0" w:rsidRDefault="00A94FA0" w:rsidP="007413FA"/>
                  <w:p w14:paraId="4599B659" w14:textId="77777777" w:rsidR="00A94FA0" w:rsidRDefault="00A94FA0" w:rsidP="007413FA"/>
                </w:txbxContent>
              </v:textbox>
              <w10:wrap anchorx="page" anchory="page"/>
            </v:shape>
          </w:pict>
        </mc:Fallback>
      </mc:AlternateContent>
    </w:r>
    <w:r>
      <w:rPr>
        <w:noProof/>
        <w:lang w:val="mk-MK" w:eastAsia="mk-MK"/>
      </w:rPr>
      <mc:AlternateContent>
        <mc:Choice Requires="wps">
          <w:drawing>
            <wp:anchor distT="4294967295" distB="4294967295" distL="114300" distR="114300" simplePos="0" relativeHeight="251658752" behindDoc="0" locked="0" layoutInCell="1" allowOverlap="1" wp14:anchorId="4EBB7460" wp14:editId="086C759F">
              <wp:simplePos x="0" y="0"/>
              <wp:positionH relativeFrom="margin">
                <wp:posOffset>4887595</wp:posOffset>
              </wp:positionH>
              <wp:positionV relativeFrom="paragraph">
                <wp:posOffset>1247139</wp:posOffset>
              </wp:positionV>
              <wp:extent cx="1515110" cy="0"/>
              <wp:effectExtent l="0" t="0" r="8890" b="0"/>
              <wp:wrapNone/>
              <wp:docPr id="2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1511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CFC14"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84.85pt,98.2pt" to="504.1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" strokecolor="#4f2d7f [3204]" strokeweight="1.5pt">
              <o:lock v:ext="edit" shapetype="f"/>
              <w10:wrap anchorx="margin"/>
            </v:line>
          </w:pict>
        </mc:Fallback>
      </mc:AlternateContent>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5A22" w14:textId="77777777" w:rsidR="008430FA" w:rsidRDefault="00CE1BE5">
    <w:pPr>
      <w:pStyle w:val="Header"/>
      <w:rPr>
        <w:rFonts w:cstheme="minorHAnsi"/>
        <w:lang w:val="mk-MK"/>
      </w:rPr>
    </w:pPr>
    <w:proofErr w:type="spellStart"/>
    <w:r w:rsidRPr="00CE1BE5">
      <w:rPr>
        <w:rFonts w:cstheme="minorHAnsi"/>
        <w:lang w:val="mk-MK"/>
      </w:rPr>
      <w:t>Deposit</w:t>
    </w:r>
    <w:proofErr w:type="spellEnd"/>
    <w:r w:rsidRPr="00CE1BE5">
      <w:rPr>
        <w:rFonts w:cstheme="minorHAnsi"/>
        <w:lang w:val="mk-MK"/>
      </w:rPr>
      <w:t xml:space="preserve"> </w:t>
    </w:r>
    <w:proofErr w:type="spellStart"/>
    <w:r w:rsidRPr="00CE1BE5">
      <w:rPr>
        <w:rFonts w:cstheme="minorHAnsi"/>
        <w:lang w:val="mk-MK"/>
      </w:rPr>
      <w:t>Insurance</w:t>
    </w:r>
    <w:proofErr w:type="spellEnd"/>
    <w:r w:rsidRPr="00CE1BE5">
      <w:rPr>
        <w:rFonts w:cstheme="minorHAnsi"/>
        <w:lang w:val="mk-MK"/>
      </w:rPr>
      <w:t xml:space="preserve"> </w:t>
    </w:r>
    <w:proofErr w:type="spellStart"/>
    <w:r w:rsidRPr="00CE1BE5">
      <w:rPr>
        <w:rFonts w:cstheme="minorHAnsi"/>
        <w:lang w:val="mk-MK"/>
      </w:rPr>
      <w:t>Fund</w:t>
    </w:r>
    <w:proofErr w:type="spellEnd"/>
  </w:p>
  <w:p w14:paraId="34DC2F82" w14:textId="77777777" w:rsidR="008430FA" w:rsidRDefault="008430FA">
    <w:pPr>
      <w:pStyle w:val="Header"/>
      <w:rPr>
        <w:rFonts w:cstheme="minorHAnsi"/>
        <w:lang w:val="mk-MK"/>
      </w:rPr>
    </w:pPr>
  </w:p>
  <w:p w14:paraId="5CE76F2A" w14:textId="77777777" w:rsidR="008430FA" w:rsidRDefault="008430FA">
    <w:pPr>
      <w:pStyle w:val="Header"/>
      <w:rPr>
        <w:rFonts w:cstheme="minorHAnsi"/>
        <w:lang w:val="en-US"/>
      </w:rPr>
    </w:pPr>
    <w:r>
      <w:rPr>
        <w:rFonts w:cstheme="minorHAnsi"/>
        <w:lang w:val="en-US"/>
      </w:rPr>
      <w:t>Notes to the financial statements</w:t>
    </w:r>
  </w:p>
  <w:p w14:paraId="57882642" w14:textId="7F1436AE" w:rsidR="00A94FA0" w:rsidRPr="00815E65" w:rsidRDefault="008430FA">
    <w:pPr>
      <w:pStyle w:val="Header"/>
      <w:rPr>
        <w:rStyle w:val="PageNumber"/>
        <w:rFonts w:cstheme="minorHAnsi"/>
        <w:lang w:val="de-DE"/>
      </w:rPr>
    </w:pPr>
    <w:r>
      <w:rPr>
        <w:rFonts w:cstheme="minorHAnsi"/>
        <w:lang w:val="en-US"/>
      </w:rPr>
      <w:t>Accounting policies</w:t>
    </w:r>
    <w:r w:rsidR="00A94FA0" w:rsidRPr="00815E65">
      <w:rPr>
        <w:rFonts w:cstheme="minorHAnsi"/>
        <w:lang w:val="de-DE"/>
      </w:rPr>
      <w:tab/>
    </w:r>
    <w:r w:rsidR="00A94FA0" w:rsidRPr="00815E65">
      <w:rPr>
        <w:rStyle w:val="PageNumber"/>
        <w:rFonts w:cstheme="minorHAnsi"/>
      </w:rPr>
      <w:fldChar w:fldCharType="begin"/>
    </w:r>
    <w:r w:rsidR="00A94FA0" w:rsidRPr="00815E65">
      <w:rPr>
        <w:rStyle w:val="PageNumber"/>
        <w:rFonts w:cstheme="minorHAnsi"/>
        <w:lang w:val="de-DE"/>
      </w:rPr>
      <w:instrText xml:space="preserve"> PAGE </w:instrText>
    </w:r>
    <w:r w:rsidR="00A94FA0" w:rsidRPr="00815E65">
      <w:rPr>
        <w:rStyle w:val="PageNumber"/>
        <w:rFonts w:cstheme="minorHAnsi"/>
      </w:rPr>
      <w:fldChar w:fldCharType="separate"/>
    </w:r>
    <w:r w:rsidR="005B25CF">
      <w:rPr>
        <w:rStyle w:val="PageNumber"/>
        <w:rFonts w:cstheme="minorHAnsi"/>
        <w:noProof/>
        <w:lang w:val="de-DE"/>
      </w:rPr>
      <w:t>7</w:t>
    </w:r>
    <w:r w:rsidR="00A94FA0" w:rsidRPr="00815E65">
      <w:rPr>
        <w:rStyle w:val="PageNumber"/>
        <w:rFonts w:cstheme="minorHAnsi"/>
      </w:rPr>
      <w:fldChar w:fldCharType="end"/>
    </w:r>
  </w:p>
  <w:p w14:paraId="1D30A153" w14:textId="77777777" w:rsidR="00A94FA0" w:rsidRPr="00815E65" w:rsidRDefault="00A94FA0">
    <w:pPr>
      <w:pStyle w:val="Header"/>
      <w:rPr>
        <w:rStyle w:val="PageNumber"/>
        <w:rFonts w:cstheme="minorHAnsi"/>
        <w:lang w:val="de-DE"/>
      </w:rPr>
    </w:pPr>
  </w:p>
  <w:p w14:paraId="1F0B5798" w14:textId="77777777" w:rsidR="00A94FA0" w:rsidRDefault="00A94FA0">
    <w:pPr>
      <w:pStyle w:val="Header"/>
      <w:rPr>
        <w:rStyle w:val="PageNumber"/>
        <w:rFonts w:ascii="M_Swiss" w:hAnsi="M_Swis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EBFD" w14:textId="77777777" w:rsidR="00A94FA0" w:rsidRDefault="00A94F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AAD7" w14:textId="01F23001" w:rsidR="00A94FA0" w:rsidRPr="006E26B2" w:rsidRDefault="00A90A23">
    <w:pPr>
      <w:pStyle w:val="Header"/>
      <w:rPr>
        <w:rFonts w:cstheme="minorHAnsi"/>
        <w:lang w:val="mk-MK"/>
      </w:rPr>
    </w:pPr>
    <w:proofErr w:type="spellStart"/>
    <w:r w:rsidRPr="00A90A23">
      <w:rPr>
        <w:rFonts w:cstheme="minorHAnsi"/>
        <w:lang w:val="mk-MK"/>
      </w:rPr>
      <w:t>Deposit</w:t>
    </w:r>
    <w:proofErr w:type="spellEnd"/>
    <w:r w:rsidRPr="00A90A23">
      <w:rPr>
        <w:rFonts w:cstheme="minorHAnsi"/>
        <w:lang w:val="mk-MK"/>
      </w:rPr>
      <w:t xml:space="preserve"> </w:t>
    </w:r>
    <w:proofErr w:type="spellStart"/>
    <w:r w:rsidRPr="00A90A23">
      <w:rPr>
        <w:rFonts w:cstheme="minorHAnsi"/>
        <w:lang w:val="mk-MK"/>
      </w:rPr>
      <w:t>Insurance</w:t>
    </w:r>
    <w:proofErr w:type="spellEnd"/>
    <w:r w:rsidRPr="00A90A23">
      <w:rPr>
        <w:rFonts w:cstheme="minorHAnsi"/>
        <w:lang w:val="mk-MK"/>
      </w:rPr>
      <w:t xml:space="preserve"> </w:t>
    </w:r>
    <w:proofErr w:type="spellStart"/>
    <w:r w:rsidRPr="00A90A23">
      <w:rPr>
        <w:rFonts w:cstheme="minorHAnsi"/>
        <w:lang w:val="mk-MK"/>
      </w:rPr>
      <w:t>Fund</w:t>
    </w:r>
    <w:proofErr w:type="spellEnd"/>
    <w:r w:rsidR="00A94FA0" w:rsidRPr="006E26B2">
      <w:rPr>
        <w:rFonts w:cstheme="minorHAnsi"/>
        <w:lang w:val="mk-MK"/>
      </w:rPr>
      <w:tab/>
    </w:r>
    <w:r w:rsidR="00A94FA0" w:rsidRPr="006E26B2">
      <w:rPr>
        <w:rFonts w:cstheme="minorHAnsi"/>
        <w:lang w:val="mk-MK"/>
      </w:rPr>
      <w:fldChar w:fldCharType="begin"/>
    </w:r>
    <w:r w:rsidR="00A94FA0" w:rsidRPr="006E26B2">
      <w:rPr>
        <w:rFonts w:cstheme="minorHAnsi"/>
        <w:lang w:val="mk-MK"/>
      </w:rPr>
      <w:instrText xml:space="preserve"> PAGE </w:instrText>
    </w:r>
    <w:r w:rsidR="00A94FA0" w:rsidRPr="006E26B2">
      <w:rPr>
        <w:rFonts w:cstheme="minorHAnsi"/>
        <w:lang w:val="mk-MK"/>
      </w:rPr>
      <w:fldChar w:fldCharType="separate"/>
    </w:r>
    <w:r w:rsidR="005B25CF" w:rsidRPr="006E26B2">
      <w:rPr>
        <w:rFonts w:cstheme="minorHAnsi"/>
        <w:lang w:val="mk-MK"/>
      </w:rPr>
      <w:t>10</w:t>
    </w:r>
    <w:r w:rsidR="00A94FA0" w:rsidRPr="006E26B2">
      <w:rPr>
        <w:rFonts w:cstheme="minorHAnsi"/>
        <w:lang w:val="mk-MK"/>
      </w:rPr>
      <w:fldChar w:fldCharType="end"/>
    </w:r>
  </w:p>
  <w:p w14:paraId="5CFBEE2B" w14:textId="77777777" w:rsidR="00A94FA0" w:rsidRPr="006E26B2" w:rsidRDefault="00A94FA0">
    <w:pPr>
      <w:pStyle w:val="Header"/>
      <w:rPr>
        <w:rFonts w:cstheme="minorHAnsi"/>
        <w:lang w:val="mk-MK"/>
      </w:rPr>
    </w:pPr>
  </w:p>
  <w:p w14:paraId="167D7FD8" w14:textId="77777777" w:rsidR="00A90A23" w:rsidRPr="00A90A23" w:rsidRDefault="00A90A23" w:rsidP="00A90A23">
    <w:pPr>
      <w:pStyle w:val="Header"/>
      <w:rPr>
        <w:rFonts w:cstheme="minorHAnsi"/>
      </w:rPr>
    </w:pPr>
    <w:r w:rsidRPr="00A90A23">
      <w:rPr>
        <w:rFonts w:cstheme="minorHAnsi"/>
      </w:rPr>
      <w:t>Notes to the financial statements (continued)</w:t>
    </w:r>
  </w:p>
  <w:p w14:paraId="5DBF802F" w14:textId="679E38FD" w:rsidR="00A94FA0" w:rsidRDefault="00A90A23" w:rsidP="00A90A23">
    <w:pPr>
      <w:pStyle w:val="Header"/>
      <w:rPr>
        <w:rStyle w:val="PageNumber"/>
        <w:rFonts w:ascii="M_Swiss" w:hAnsi="M_Swiss"/>
      </w:rPr>
    </w:pPr>
    <w:r w:rsidRPr="00A90A23">
      <w:rPr>
        <w:rFonts w:cstheme="minorHAnsi"/>
      </w:rPr>
      <w:t>Accounting policies (continued)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485" w14:textId="77777777" w:rsidR="00A94FA0" w:rsidRDefault="00A94FA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54FF" w14:textId="5D4868EA" w:rsidR="00A94FA0" w:rsidRPr="00F93B95" w:rsidRDefault="005A61D0" w:rsidP="00815E65">
    <w:pPr>
      <w:pStyle w:val="Header"/>
      <w:rPr>
        <w:rStyle w:val="PageNumber"/>
        <w:rFonts w:cstheme="minorHAnsi"/>
        <w:lang w:val="de-DE"/>
      </w:rPr>
    </w:pPr>
    <w:proofErr w:type="spellStart"/>
    <w:r w:rsidRPr="005A61D0">
      <w:rPr>
        <w:rFonts w:cstheme="minorHAnsi"/>
        <w:lang w:val="mk-MK"/>
      </w:rPr>
      <w:t>Deposit</w:t>
    </w:r>
    <w:proofErr w:type="spellEnd"/>
    <w:r w:rsidRPr="005A61D0">
      <w:rPr>
        <w:rFonts w:cstheme="minorHAnsi"/>
        <w:lang w:val="mk-MK"/>
      </w:rPr>
      <w:t xml:space="preserve"> </w:t>
    </w:r>
    <w:proofErr w:type="spellStart"/>
    <w:r w:rsidRPr="005A61D0">
      <w:rPr>
        <w:rFonts w:cstheme="minorHAnsi"/>
        <w:lang w:val="mk-MK"/>
      </w:rPr>
      <w:t>Insurance</w:t>
    </w:r>
    <w:proofErr w:type="spellEnd"/>
    <w:r w:rsidRPr="005A61D0">
      <w:rPr>
        <w:rFonts w:cstheme="minorHAnsi"/>
        <w:lang w:val="mk-MK"/>
      </w:rPr>
      <w:t xml:space="preserve"> </w:t>
    </w:r>
    <w:proofErr w:type="spellStart"/>
    <w:r w:rsidRPr="005A61D0">
      <w:rPr>
        <w:rFonts w:cstheme="minorHAnsi"/>
        <w:lang w:val="mk-MK"/>
      </w:rPr>
      <w:t>Fund</w:t>
    </w:r>
    <w:proofErr w:type="spellEnd"/>
    <w:r w:rsidR="00A94FA0" w:rsidRPr="00F93B95">
      <w:rPr>
        <w:rFonts w:cstheme="minorHAnsi"/>
        <w:lang w:val="de-DE"/>
      </w:rPr>
      <w:tab/>
    </w:r>
    <w:r w:rsidR="00A94FA0" w:rsidRPr="00F93B95">
      <w:rPr>
        <w:rStyle w:val="PageNumber"/>
        <w:rFonts w:cstheme="minorHAnsi"/>
      </w:rPr>
      <w:fldChar w:fldCharType="begin"/>
    </w:r>
    <w:r w:rsidR="00A94FA0" w:rsidRPr="00F93B95">
      <w:rPr>
        <w:rStyle w:val="PageNumber"/>
        <w:rFonts w:cstheme="minorHAnsi"/>
        <w:lang w:val="de-DE"/>
      </w:rPr>
      <w:instrText xml:space="preserve"> PAGE </w:instrText>
    </w:r>
    <w:r w:rsidR="00A94FA0" w:rsidRPr="00F93B95">
      <w:rPr>
        <w:rStyle w:val="PageNumber"/>
        <w:rFonts w:cstheme="minorHAnsi"/>
      </w:rPr>
      <w:fldChar w:fldCharType="separate"/>
    </w:r>
    <w:r w:rsidR="005B25CF">
      <w:rPr>
        <w:rStyle w:val="PageNumber"/>
        <w:rFonts w:cstheme="minorHAnsi"/>
        <w:noProof/>
        <w:lang w:val="de-DE"/>
      </w:rPr>
      <w:t>19</w:t>
    </w:r>
    <w:r w:rsidR="00A94FA0" w:rsidRPr="00F93B95">
      <w:rPr>
        <w:rStyle w:val="PageNumber"/>
        <w:rFonts w:cstheme="minorHAnsi"/>
      </w:rPr>
      <w:fldChar w:fldCharType="end"/>
    </w:r>
  </w:p>
  <w:p w14:paraId="27959FB8" w14:textId="77777777" w:rsidR="00A94FA0" w:rsidRPr="00F93B95" w:rsidRDefault="00A94FA0" w:rsidP="00815E65">
    <w:pPr>
      <w:pStyle w:val="Header"/>
      <w:rPr>
        <w:rStyle w:val="PageNumber"/>
        <w:rFonts w:cstheme="minorHAnsi"/>
        <w:lang w:val="de-DE"/>
      </w:rPr>
    </w:pPr>
  </w:p>
  <w:p w14:paraId="27AD3827" w14:textId="77777777" w:rsidR="005A61D0" w:rsidRPr="005A61D0" w:rsidRDefault="005A61D0" w:rsidP="005A61D0">
    <w:pPr>
      <w:pStyle w:val="Header"/>
      <w:rPr>
        <w:rStyle w:val="PageNumber"/>
        <w:rFonts w:cstheme="minorHAnsi"/>
        <w:lang w:val="mk-MK"/>
      </w:rPr>
    </w:pPr>
    <w:proofErr w:type="spellStart"/>
    <w:r w:rsidRPr="005A61D0">
      <w:rPr>
        <w:rStyle w:val="PageNumber"/>
        <w:rFonts w:cstheme="minorHAnsi"/>
        <w:lang w:val="mk-MK"/>
      </w:rPr>
      <w:t>Notes</w:t>
    </w:r>
    <w:proofErr w:type="spellEnd"/>
    <w:r w:rsidRPr="005A61D0">
      <w:rPr>
        <w:rStyle w:val="PageNumber"/>
        <w:rFonts w:cstheme="minorHAnsi"/>
        <w:lang w:val="mk-MK"/>
      </w:rPr>
      <w:t xml:space="preserve"> </w:t>
    </w:r>
    <w:proofErr w:type="spellStart"/>
    <w:r w:rsidRPr="005A61D0">
      <w:rPr>
        <w:rStyle w:val="PageNumber"/>
        <w:rFonts w:cstheme="minorHAnsi"/>
        <w:lang w:val="mk-MK"/>
      </w:rPr>
      <w:t>to</w:t>
    </w:r>
    <w:proofErr w:type="spellEnd"/>
    <w:r w:rsidRPr="005A61D0">
      <w:rPr>
        <w:rStyle w:val="PageNumber"/>
        <w:rFonts w:cstheme="minorHAnsi"/>
        <w:lang w:val="mk-MK"/>
      </w:rPr>
      <w:t xml:space="preserve"> </w:t>
    </w:r>
    <w:proofErr w:type="spellStart"/>
    <w:r w:rsidRPr="005A61D0">
      <w:rPr>
        <w:rStyle w:val="PageNumber"/>
        <w:rFonts w:cstheme="minorHAnsi"/>
        <w:lang w:val="mk-MK"/>
      </w:rPr>
      <w:t>the</w:t>
    </w:r>
    <w:proofErr w:type="spellEnd"/>
    <w:r w:rsidRPr="005A61D0">
      <w:rPr>
        <w:rStyle w:val="PageNumber"/>
        <w:rFonts w:cstheme="minorHAnsi"/>
        <w:lang w:val="mk-MK"/>
      </w:rPr>
      <w:t xml:space="preserve"> </w:t>
    </w:r>
    <w:proofErr w:type="spellStart"/>
    <w:r w:rsidRPr="005A61D0">
      <w:rPr>
        <w:rStyle w:val="PageNumber"/>
        <w:rFonts w:cstheme="minorHAnsi"/>
        <w:lang w:val="mk-MK"/>
      </w:rPr>
      <w:t>financial</w:t>
    </w:r>
    <w:proofErr w:type="spellEnd"/>
    <w:r w:rsidRPr="005A61D0">
      <w:rPr>
        <w:rStyle w:val="PageNumber"/>
        <w:rFonts w:cstheme="minorHAnsi"/>
        <w:lang w:val="mk-MK"/>
      </w:rPr>
      <w:t xml:space="preserve"> </w:t>
    </w:r>
    <w:proofErr w:type="spellStart"/>
    <w:r w:rsidRPr="005A61D0">
      <w:rPr>
        <w:rStyle w:val="PageNumber"/>
        <w:rFonts w:cstheme="minorHAnsi"/>
        <w:lang w:val="mk-MK"/>
      </w:rPr>
      <w:t>statements</w:t>
    </w:r>
    <w:proofErr w:type="spellEnd"/>
    <w:r w:rsidRPr="005A61D0">
      <w:rPr>
        <w:rStyle w:val="PageNumber"/>
        <w:rFonts w:cstheme="minorHAnsi"/>
        <w:lang w:val="mk-MK"/>
      </w:rPr>
      <w:t xml:space="preserve"> (</w:t>
    </w:r>
    <w:proofErr w:type="spellStart"/>
    <w:r w:rsidRPr="005A61D0">
      <w:rPr>
        <w:rStyle w:val="PageNumber"/>
        <w:rFonts w:cstheme="minorHAnsi"/>
        <w:lang w:val="mk-MK"/>
      </w:rPr>
      <w:t>continued</w:t>
    </w:r>
    <w:proofErr w:type="spellEnd"/>
    <w:r w:rsidRPr="005A61D0">
      <w:rPr>
        <w:rStyle w:val="PageNumber"/>
        <w:rFonts w:cstheme="minorHAnsi"/>
        <w:lang w:val="mk-MK"/>
      </w:rPr>
      <w:t>)</w:t>
    </w:r>
  </w:p>
  <w:p w14:paraId="1F2C3E44" w14:textId="3B500A28" w:rsidR="00A94FA0" w:rsidRPr="00F93B95" w:rsidRDefault="005A61D0" w:rsidP="005A61D0">
    <w:pPr>
      <w:pStyle w:val="Header"/>
      <w:rPr>
        <w:rStyle w:val="PageNumber"/>
        <w:rFonts w:cstheme="minorHAnsi"/>
        <w:lang w:val="mk-MK"/>
      </w:rPr>
    </w:pPr>
    <w:proofErr w:type="spellStart"/>
    <w:r w:rsidRPr="005A61D0">
      <w:rPr>
        <w:rStyle w:val="PageNumber"/>
        <w:rFonts w:cstheme="minorHAnsi"/>
        <w:lang w:val="mk-MK"/>
      </w:rPr>
      <w:t>Financial</w:t>
    </w:r>
    <w:proofErr w:type="spellEnd"/>
    <w:r w:rsidRPr="005A61D0">
      <w:rPr>
        <w:rStyle w:val="PageNumber"/>
        <w:rFonts w:cstheme="minorHAnsi"/>
        <w:lang w:val="mk-MK"/>
      </w:rPr>
      <w:t xml:space="preserve"> </w:t>
    </w:r>
    <w:proofErr w:type="spellStart"/>
    <w:r w:rsidRPr="005A61D0">
      <w:rPr>
        <w:rStyle w:val="PageNumber"/>
        <w:rFonts w:cstheme="minorHAnsi"/>
        <w:lang w:val="mk-MK"/>
      </w:rPr>
      <w:t>risk</w:t>
    </w:r>
    <w:proofErr w:type="spellEnd"/>
    <w:r w:rsidRPr="005A61D0">
      <w:rPr>
        <w:rStyle w:val="PageNumber"/>
        <w:rFonts w:cstheme="minorHAnsi"/>
        <w:lang w:val="mk-MK"/>
      </w:rPr>
      <w:t xml:space="preserve"> </w:t>
    </w:r>
    <w:proofErr w:type="spellStart"/>
    <w:r w:rsidRPr="005A61D0">
      <w:rPr>
        <w:rStyle w:val="PageNumber"/>
        <w:rFonts w:cstheme="minorHAnsi"/>
        <w:lang w:val="mk-MK"/>
      </w:rPr>
      <w:t>management</w:t>
    </w:r>
    <w:proofErr w:type="spellEnd"/>
    <w:r w:rsidRPr="005A61D0">
      <w:rPr>
        <w:rStyle w:val="PageNumber"/>
        <w:rFonts w:cstheme="minorHAnsi"/>
        <w:lang w:val="mk-MK"/>
      </w:rPr>
      <w:t xml:space="preserve"> (</w:t>
    </w:r>
    <w:proofErr w:type="spellStart"/>
    <w:r w:rsidRPr="005A61D0">
      <w:rPr>
        <w:rStyle w:val="PageNumber"/>
        <w:rFonts w:cstheme="minorHAnsi"/>
        <w:lang w:val="mk-MK"/>
      </w:rPr>
      <w:t>continued</w:t>
    </w:r>
    <w:proofErr w:type="spellEnd"/>
    <w:r w:rsidRPr="005A61D0">
      <w:rPr>
        <w:rStyle w:val="PageNumber"/>
        <w:rFonts w:cstheme="minorHAnsi"/>
        <w:lang w:val="mk-MK"/>
      </w:rPr>
      <w:t>)</w:t>
    </w:r>
  </w:p>
  <w:p w14:paraId="77F312A8" w14:textId="77777777" w:rsidR="00310BE4" w:rsidRDefault="00310BE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1F34" w14:textId="77777777" w:rsidR="00A94FA0" w:rsidRDefault="00A94FA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0B07" w14:textId="77777777" w:rsidR="00A94FA0" w:rsidRDefault="00A94FA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2872" w14:textId="77777777" w:rsidR="00A94FA0" w:rsidRDefault="00A94FA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15ED" w14:textId="77777777" w:rsidR="00A94FA0" w:rsidRDefault="00A94FA0" w:rsidP="00BF38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5CF">
      <w:rPr>
        <w:rStyle w:val="PageNumber"/>
        <w:noProof/>
      </w:rPr>
      <w:t>20</w:t>
    </w:r>
    <w:r>
      <w:rPr>
        <w:rStyle w:val="PageNumber"/>
      </w:rPr>
      <w:fldChar w:fldCharType="end"/>
    </w:r>
  </w:p>
  <w:p w14:paraId="0E51F1C1" w14:textId="278BEFE8" w:rsidR="00A94FA0" w:rsidRPr="00DD738F" w:rsidRDefault="00DD738F" w:rsidP="00BF38DF">
    <w:pPr>
      <w:pStyle w:val="Header"/>
      <w:ind w:right="360"/>
      <w:rPr>
        <w:rFonts w:ascii="M_Swiss" w:hAnsi="M_Swiss"/>
        <w:bCs/>
        <w:color w:val="808080"/>
        <w:szCs w:val="16"/>
      </w:rPr>
    </w:pPr>
    <w:proofErr w:type="spellStart"/>
    <w:r w:rsidRPr="00DD738F">
      <w:rPr>
        <w:rFonts w:cstheme="minorHAnsi"/>
        <w:lang w:val="mk-MK"/>
      </w:rPr>
      <w:t>Deposit</w:t>
    </w:r>
    <w:proofErr w:type="spellEnd"/>
    <w:r w:rsidRPr="00DD738F">
      <w:rPr>
        <w:rFonts w:cstheme="minorHAnsi"/>
        <w:lang w:val="mk-MK"/>
      </w:rPr>
      <w:t xml:space="preserve"> </w:t>
    </w:r>
    <w:proofErr w:type="spellStart"/>
    <w:r w:rsidRPr="00DD738F">
      <w:rPr>
        <w:rFonts w:cstheme="minorHAnsi"/>
        <w:lang w:val="mk-MK"/>
      </w:rPr>
      <w:t>Insurance</w:t>
    </w:r>
    <w:proofErr w:type="spellEnd"/>
    <w:r w:rsidRPr="00DD738F">
      <w:rPr>
        <w:rFonts w:cstheme="minorHAnsi"/>
        <w:lang w:val="mk-MK"/>
      </w:rPr>
      <w:t xml:space="preserve"> </w:t>
    </w:r>
    <w:proofErr w:type="spellStart"/>
    <w:r w:rsidRPr="00DD738F">
      <w:rPr>
        <w:rFonts w:cstheme="minorHAnsi"/>
        <w:lang w:val="mk-MK"/>
      </w:rPr>
      <w:t>Fund</w:t>
    </w:r>
    <w:proofErr w:type="spellEnd"/>
    <w:r w:rsidR="00A94FA0" w:rsidRPr="00DD738F">
      <w:rPr>
        <w:rFonts w:ascii="M_Swiss" w:hAnsi="M_Swiss"/>
        <w:bCs/>
        <w:color w:val="808080"/>
        <w:szCs w:val="16"/>
      </w:rPr>
      <w:tab/>
    </w:r>
  </w:p>
  <w:p w14:paraId="78B4259E" w14:textId="77777777" w:rsidR="00A94FA0" w:rsidRPr="00DD738F" w:rsidRDefault="00A94FA0">
    <w:pPr>
      <w:pStyle w:val="Header"/>
      <w:rPr>
        <w:rFonts w:ascii="M_Swiss" w:hAnsi="M_Swiss"/>
        <w:bCs/>
        <w:color w:val="808080"/>
        <w:szCs w:val="16"/>
        <w:lang w:val="mk-MK"/>
      </w:rPr>
    </w:pPr>
  </w:p>
  <w:p w14:paraId="54BAF9FF" w14:textId="77777777" w:rsidR="00DD738F" w:rsidRPr="00DD738F" w:rsidRDefault="00DD738F" w:rsidP="00DD738F">
    <w:pPr>
      <w:pStyle w:val="Header"/>
      <w:rPr>
        <w:rFonts w:cstheme="minorHAnsi"/>
      </w:rPr>
    </w:pPr>
    <w:r w:rsidRPr="00DD738F">
      <w:rPr>
        <w:rFonts w:cstheme="minorHAnsi"/>
      </w:rPr>
      <w:t>Notes to the financial statements (continued)</w:t>
    </w:r>
  </w:p>
  <w:p w14:paraId="241588C6" w14:textId="77777777" w:rsidR="00DD738F" w:rsidRDefault="00DD738F" w:rsidP="00DD738F">
    <w:pPr>
      <w:pStyle w:val="Header"/>
      <w:rPr>
        <w:rStyle w:val="PageNumber"/>
        <w:rFonts w:ascii="M_Swiss" w:hAnsi="M_Swiss"/>
      </w:rPr>
    </w:pPr>
    <w:r w:rsidRPr="00DD738F">
      <w:rPr>
        <w:rFonts w:cstheme="minorHAnsi"/>
      </w:rPr>
      <w:t>Accounting policies (continued)</w:t>
    </w:r>
  </w:p>
  <w:p w14:paraId="32141A8E" w14:textId="44A04D1C" w:rsidR="00A94FA0" w:rsidRDefault="00A94FA0" w:rsidP="00DD738F">
    <w:pPr>
      <w:pStyle w:val="Header"/>
      <w:rPr>
        <w:rStyle w:val="PageNumber"/>
        <w:rFonts w:ascii="M_Swiss" w:hAnsi="M_Swiss"/>
        <w:szCs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CF91" w14:textId="77777777" w:rsidR="00A94FA0" w:rsidRDefault="00A94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4F6E" w14:textId="77777777" w:rsidR="00A94FA0" w:rsidRDefault="00A94FA0" w:rsidP="0039001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3307" w14:textId="3D4FFDE2" w:rsidR="00EF02F1" w:rsidRDefault="00EB3E26" w:rsidP="00EF02F1">
    <w:pPr>
      <w:pStyle w:val="Header"/>
      <w:rPr>
        <w:rStyle w:val="PageNumber"/>
      </w:rPr>
    </w:pPr>
    <w:bookmarkStart w:id="6" w:name="_Hlk95463325"/>
    <w:bookmarkStart w:id="7" w:name="_Hlk95463326"/>
    <w:proofErr w:type="spellStart"/>
    <w:r w:rsidRPr="00EB3E26">
      <w:rPr>
        <w:rFonts w:cstheme="minorHAnsi"/>
        <w:lang w:val="mk-MK"/>
      </w:rPr>
      <w:t>Deposit</w:t>
    </w:r>
    <w:proofErr w:type="spellEnd"/>
    <w:r w:rsidRPr="00EB3E26">
      <w:rPr>
        <w:rFonts w:cstheme="minorHAnsi"/>
        <w:lang w:val="mk-MK"/>
      </w:rPr>
      <w:t xml:space="preserve"> </w:t>
    </w:r>
    <w:proofErr w:type="spellStart"/>
    <w:r w:rsidRPr="00EB3E26">
      <w:rPr>
        <w:rFonts w:cstheme="minorHAnsi"/>
        <w:lang w:val="mk-MK"/>
      </w:rPr>
      <w:t>Insurance</w:t>
    </w:r>
    <w:proofErr w:type="spellEnd"/>
    <w:r w:rsidRPr="00EB3E26">
      <w:rPr>
        <w:rFonts w:cstheme="minorHAnsi"/>
        <w:lang w:val="mk-MK"/>
      </w:rPr>
      <w:t xml:space="preserve"> </w:t>
    </w:r>
    <w:proofErr w:type="spellStart"/>
    <w:r w:rsidRPr="00EB3E26">
      <w:rPr>
        <w:rFonts w:cstheme="minorHAnsi"/>
        <w:lang w:val="mk-MK"/>
      </w:rPr>
      <w:t>Fund</w:t>
    </w:r>
    <w:proofErr w:type="spellEnd"/>
    <w:r w:rsidR="00A94FA0" w:rsidRPr="00F93B95">
      <w:rPr>
        <w:rFonts w:cstheme="minorHAnsi"/>
        <w:lang w:val="de-DE"/>
      </w:rPr>
      <w:tab/>
    </w:r>
    <w:r w:rsidR="00EF02F1">
      <w:rPr>
        <w:rStyle w:val="PageNumber"/>
      </w:rPr>
      <w:fldChar w:fldCharType="begin"/>
    </w:r>
    <w:r w:rsidR="00EF02F1">
      <w:rPr>
        <w:rStyle w:val="PageNumber"/>
      </w:rPr>
      <w:instrText xml:space="preserve">PAGE  </w:instrText>
    </w:r>
    <w:r w:rsidR="00EF02F1">
      <w:rPr>
        <w:rStyle w:val="PageNumber"/>
      </w:rPr>
      <w:fldChar w:fldCharType="separate"/>
    </w:r>
    <w:r w:rsidR="00EF02F1">
      <w:rPr>
        <w:rStyle w:val="PageNumber"/>
      </w:rPr>
      <w:t>21</w:t>
    </w:r>
    <w:r w:rsidR="00EF02F1">
      <w:rPr>
        <w:rStyle w:val="PageNumber"/>
      </w:rPr>
      <w:fldChar w:fldCharType="end"/>
    </w:r>
  </w:p>
  <w:p w14:paraId="28301BFF" w14:textId="77777777" w:rsidR="00A94FA0" w:rsidRPr="00F93B95" w:rsidRDefault="00A94FA0">
    <w:pPr>
      <w:pStyle w:val="Header"/>
      <w:rPr>
        <w:rStyle w:val="PageNumber"/>
        <w:rFonts w:cstheme="minorHAnsi"/>
        <w:lang w:val="de-DE"/>
      </w:rPr>
    </w:pPr>
  </w:p>
  <w:p w14:paraId="62B769A9" w14:textId="77777777" w:rsidR="00EB3E26" w:rsidRDefault="00EB3E26" w:rsidP="0025712C">
    <w:pPr>
      <w:pStyle w:val="Header"/>
      <w:rPr>
        <w:rStyle w:val="PageNumber"/>
        <w:rFonts w:cstheme="minorHAnsi"/>
        <w:lang w:val="mk-MK"/>
      </w:rPr>
    </w:pPr>
    <w:proofErr w:type="spellStart"/>
    <w:r w:rsidRPr="00EB3E26">
      <w:rPr>
        <w:rStyle w:val="PageNumber"/>
        <w:rFonts w:cstheme="minorHAnsi"/>
        <w:lang w:val="mk-MK"/>
      </w:rPr>
      <w:t>Notes</w:t>
    </w:r>
    <w:proofErr w:type="spellEnd"/>
    <w:r w:rsidRPr="00EB3E26">
      <w:rPr>
        <w:rStyle w:val="PageNumber"/>
        <w:rFonts w:cstheme="minorHAnsi"/>
        <w:lang w:val="mk-MK"/>
      </w:rPr>
      <w:t xml:space="preserve"> </w:t>
    </w:r>
    <w:proofErr w:type="spellStart"/>
    <w:r w:rsidRPr="00EB3E26">
      <w:rPr>
        <w:rStyle w:val="PageNumber"/>
        <w:rFonts w:cstheme="minorHAnsi"/>
        <w:lang w:val="mk-MK"/>
      </w:rPr>
      <w:t>to</w:t>
    </w:r>
    <w:proofErr w:type="spellEnd"/>
    <w:r w:rsidRPr="00EB3E26">
      <w:rPr>
        <w:rStyle w:val="PageNumber"/>
        <w:rFonts w:cstheme="minorHAnsi"/>
        <w:lang w:val="mk-MK"/>
      </w:rPr>
      <w:t xml:space="preserve"> </w:t>
    </w:r>
    <w:proofErr w:type="spellStart"/>
    <w:r w:rsidRPr="00EB3E26">
      <w:rPr>
        <w:rStyle w:val="PageNumber"/>
        <w:rFonts w:cstheme="minorHAnsi"/>
        <w:lang w:val="mk-MK"/>
      </w:rPr>
      <w:t>the</w:t>
    </w:r>
    <w:proofErr w:type="spellEnd"/>
    <w:r w:rsidRPr="00EB3E26">
      <w:rPr>
        <w:rStyle w:val="PageNumber"/>
        <w:rFonts w:cstheme="minorHAnsi"/>
        <w:lang w:val="mk-MK"/>
      </w:rPr>
      <w:t xml:space="preserve"> </w:t>
    </w:r>
    <w:proofErr w:type="spellStart"/>
    <w:r w:rsidRPr="00EB3E26">
      <w:rPr>
        <w:rStyle w:val="PageNumber"/>
        <w:rFonts w:cstheme="minorHAnsi"/>
        <w:lang w:val="mk-MK"/>
      </w:rPr>
      <w:t>financial</w:t>
    </w:r>
    <w:proofErr w:type="spellEnd"/>
    <w:r w:rsidRPr="00EB3E26">
      <w:rPr>
        <w:rStyle w:val="PageNumber"/>
        <w:rFonts w:cstheme="minorHAnsi"/>
        <w:lang w:val="mk-MK"/>
      </w:rPr>
      <w:t xml:space="preserve"> </w:t>
    </w:r>
    <w:proofErr w:type="spellStart"/>
    <w:r w:rsidRPr="00EB3E26">
      <w:rPr>
        <w:rStyle w:val="PageNumber"/>
        <w:rFonts w:cstheme="minorHAnsi"/>
        <w:lang w:val="mk-MK"/>
      </w:rPr>
      <w:t>statements</w:t>
    </w:r>
    <w:proofErr w:type="spellEnd"/>
    <w:r w:rsidRPr="00EB3E26">
      <w:rPr>
        <w:rStyle w:val="PageNumber"/>
        <w:rFonts w:cstheme="minorHAnsi"/>
        <w:lang w:val="mk-MK"/>
      </w:rPr>
      <w:t xml:space="preserve"> (</w:t>
    </w:r>
    <w:proofErr w:type="spellStart"/>
    <w:r w:rsidRPr="00EB3E26">
      <w:rPr>
        <w:rStyle w:val="PageNumber"/>
        <w:rFonts w:cstheme="minorHAnsi"/>
        <w:lang w:val="mk-MK"/>
      </w:rPr>
      <w:t>continued</w:t>
    </w:r>
    <w:proofErr w:type="spellEnd"/>
    <w:r w:rsidRPr="00EB3E26">
      <w:rPr>
        <w:rStyle w:val="PageNumber"/>
        <w:rFonts w:cstheme="minorHAnsi"/>
        <w:lang w:val="mk-MK"/>
      </w:rPr>
      <w:t>)</w:t>
    </w:r>
  </w:p>
  <w:p w14:paraId="44AD99A1" w14:textId="41789744" w:rsidR="00EB3E26" w:rsidRDefault="00EB3E26" w:rsidP="0025712C">
    <w:pPr>
      <w:pStyle w:val="Header"/>
      <w:rPr>
        <w:rStyle w:val="PageNumber"/>
        <w:rFonts w:cstheme="minorHAnsi"/>
        <w:lang w:val="mk-MK"/>
      </w:rPr>
    </w:pPr>
    <w:proofErr w:type="spellStart"/>
    <w:r w:rsidRPr="00EB3E26">
      <w:rPr>
        <w:rStyle w:val="PageNumber"/>
        <w:rFonts w:cstheme="minorHAnsi"/>
        <w:lang w:val="mk-MK"/>
      </w:rPr>
      <w:t>As</w:t>
    </w:r>
    <w:proofErr w:type="spellEnd"/>
    <w:r w:rsidRPr="00EB3E26">
      <w:rPr>
        <w:rStyle w:val="PageNumber"/>
        <w:rFonts w:cstheme="minorHAnsi"/>
        <w:lang w:val="mk-MK"/>
      </w:rPr>
      <w:t xml:space="preserve"> </w:t>
    </w:r>
    <w:proofErr w:type="spellStart"/>
    <w:r w:rsidRPr="00EB3E26">
      <w:rPr>
        <w:rStyle w:val="PageNumber"/>
        <w:rFonts w:cstheme="minorHAnsi"/>
        <w:lang w:val="mk-MK"/>
      </w:rPr>
      <w:t>of</w:t>
    </w:r>
    <w:proofErr w:type="spellEnd"/>
    <w:r w:rsidRPr="00EB3E26">
      <w:rPr>
        <w:rStyle w:val="PageNumber"/>
        <w:rFonts w:cstheme="minorHAnsi"/>
        <w:lang w:val="mk-MK"/>
      </w:rPr>
      <w:t xml:space="preserve"> </w:t>
    </w:r>
    <w:proofErr w:type="spellStart"/>
    <w:r w:rsidRPr="00EB3E26">
      <w:rPr>
        <w:rStyle w:val="PageNumber"/>
        <w:rFonts w:cstheme="minorHAnsi"/>
        <w:lang w:val="mk-MK"/>
      </w:rPr>
      <w:t>and</w:t>
    </w:r>
    <w:proofErr w:type="spellEnd"/>
    <w:r w:rsidRPr="00EB3E26">
      <w:rPr>
        <w:rStyle w:val="PageNumber"/>
        <w:rFonts w:cstheme="minorHAnsi"/>
        <w:lang w:val="mk-MK"/>
      </w:rPr>
      <w:t xml:space="preserve"> </w:t>
    </w:r>
    <w:proofErr w:type="spellStart"/>
    <w:r w:rsidRPr="00EB3E26">
      <w:rPr>
        <w:rStyle w:val="PageNumber"/>
        <w:rFonts w:cstheme="minorHAnsi"/>
        <w:lang w:val="mk-MK"/>
      </w:rPr>
      <w:t>for</w:t>
    </w:r>
    <w:proofErr w:type="spellEnd"/>
    <w:r w:rsidRPr="00EB3E26">
      <w:rPr>
        <w:rStyle w:val="PageNumber"/>
        <w:rFonts w:cstheme="minorHAnsi"/>
        <w:lang w:val="mk-MK"/>
      </w:rPr>
      <w:t xml:space="preserve"> </w:t>
    </w:r>
    <w:proofErr w:type="spellStart"/>
    <w:r w:rsidRPr="00EB3E26">
      <w:rPr>
        <w:rStyle w:val="PageNumber"/>
        <w:rFonts w:cstheme="minorHAnsi"/>
        <w:lang w:val="mk-MK"/>
      </w:rPr>
      <w:t>the</w:t>
    </w:r>
    <w:proofErr w:type="spellEnd"/>
    <w:r w:rsidRPr="00EB3E26">
      <w:rPr>
        <w:rStyle w:val="PageNumber"/>
        <w:rFonts w:cstheme="minorHAnsi"/>
        <w:lang w:val="mk-MK"/>
      </w:rPr>
      <w:t xml:space="preserve"> </w:t>
    </w:r>
    <w:proofErr w:type="spellStart"/>
    <w:r w:rsidRPr="00EB3E26">
      <w:rPr>
        <w:rStyle w:val="PageNumber"/>
        <w:rFonts w:cstheme="minorHAnsi"/>
        <w:lang w:val="mk-MK"/>
      </w:rPr>
      <w:t>year</w:t>
    </w:r>
    <w:proofErr w:type="spellEnd"/>
    <w:r w:rsidRPr="00EB3E26">
      <w:rPr>
        <w:rStyle w:val="PageNumber"/>
        <w:rFonts w:cstheme="minorHAnsi"/>
        <w:lang w:val="mk-MK"/>
      </w:rPr>
      <w:t xml:space="preserve"> </w:t>
    </w:r>
    <w:proofErr w:type="spellStart"/>
    <w:r w:rsidRPr="00EB3E26">
      <w:rPr>
        <w:rStyle w:val="PageNumber"/>
        <w:rFonts w:cstheme="minorHAnsi"/>
        <w:lang w:val="mk-MK"/>
      </w:rPr>
      <w:t>ended</w:t>
    </w:r>
    <w:proofErr w:type="spellEnd"/>
    <w:r w:rsidRPr="00EB3E26">
      <w:rPr>
        <w:rStyle w:val="PageNumber"/>
        <w:rFonts w:cstheme="minorHAnsi"/>
        <w:lang w:val="mk-MK"/>
      </w:rPr>
      <w:t xml:space="preserve"> 31 </w:t>
    </w:r>
    <w:proofErr w:type="spellStart"/>
    <w:r w:rsidRPr="00EB3E26">
      <w:rPr>
        <w:rStyle w:val="PageNumber"/>
        <w:rFonts w:cstheme="minorHAnsi"/>
        <w:lang w:val="mk-MK"/>
      </w:rPr>
      <w:t>December</w:t>
    </w:r>
    <w:proofErr w:type="spellEnd"/>
    <w:r w:rsidRPr="00EB3E26">
      <w:rPr>
        <w:rStyle w:val="PageNumber"/>
        <w:rFonts w:cstheme="minorHAnsi"/>
        <w:lang w:val="mk-MK"/>
      </w:rPr>
      <w:t xml:space="preserve"> 202</w:t>
    </w:r>
    <w:r w:rsidR="00BD0CFC">
      <w:rPr>
        <w:rStyle w:val="PageNumber"/>
        <w:rFonts w:cstheme="minorHAnsi"/>
        <w:lang w:val="en-US"/>
      </w:rPr>
      <w:t>1</w:t>
    </w:r>
    <w:r w:rsidRPr="00EB3E26">
      <w:rPr>
        <w:rStyle w:val="PageNumber"/>
        <w:rFonts w:cstheme="minorHAnsi"/>
        <w:lang w:val="mk-MK"/>
      </w:rPr>
      <w:t xml:space="preserve"> </w:t>
    </w:r>
  </w:p>
  <w:p w14:paraId="2A3A7A00" w14:textId="7E3DD5CC" w:rsidR="00A94FA0" w:rsidRPr="00BC06B7" w:rsidRDefault="00EB3E26">
    <w:pPr>
      <w:pStyle w:val="Header"/>
      <w:rPr>
        <w:rStyle w:val="PageNumber"/>
        <w:rFonts w:ascii="M_Swiss" w:hAnsi="M_Swiss"/>
        <w:lang w:val="de-DE"/>
      </w:rPr>
    </w:pPr>
    <w:r w:rsidRPr="00EB3E26">
      <w:rPr>
        <w:rStyle w:val="PageNumber"/>
        <w:rFonts w:cstheme="minorHAnsi"/>
      </w:rPr>
      <w:t>(All amounts expressed in Denar thousand unless otherwise stated)</w:t>
    </w:r>
  </w:p>
  <w:bookmarkEnd w:id="6"/>
  <w:bookmarkEnd w:id="7"/>
  <w:p w14:paraId="20670C26" w14:textId="77777777" w:rsidR="00A94FA0" w:rsidRPr="00BC06B7" w:rsidRDefault="00A94FA0">
    <w:pPr>
      <w:pStyle w:val="Header"/>
      <w:rPr>
        <w:rStyle w:val="PageNumber"/>
        <w:rFonts w:ascii="M_Swiss" w:hAnsi="M_Swiss"/>
        <w:lang w:val="de-DE"/>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BBEF" w14:textId="77777777" w:rsidR="00A94FA0" w:rsidRDefault="00A94FA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6AAA" w14:textId="77777777" w:rsidR="00A94FA0" w:rsidRDefault="00A94FA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3AC0" w14:textId="1834843A" w:rsidR="00596A1E" w:rsidRPr="00F93B95" w:rsidRDefault="009C221C" w:rsidP="00596A1E">
    <w:pPr>
      <w:pStyle w:val="Header"/>
      <w:rPr>
        <w:rStyle w:val="PageNumber"/>
        <w:rFonts w:cstheme="minorHAnsi"/>
        <w:lang w:val="de-DE"/>
      </w:rPr>
    </w:pPr>
    <w:proofErr w:type="spellStart"/>
    <w:r w:rsidRPr="009C221C">
      <w:rPr>
        <w:rFonts w:cstheme="minorHAnsi"/>
        <w:lang w:val="mk-MK"/>
      </w:rPr>
      <w:t>Deposit</w:t>
    </w:r>
    <w:proofErr w:type="spellEnd"/>
    <w:r w:rsidRPr="009C221C">
      <w:rPr>
        <w:rFonts w:cstheme="minorHAnsi"/>
        <w:lang w:val="mk-MK"/>
      </w:rPr>
      <w:t xml:space="preserve"> </w:t>
    </w:r>
    <w:proofErr w:type="spellStart"/>
    <w:r w:rsidRPr="009C221C">
      <w:rPr>
        <w:rFonts w:cstheme="minorHAnsi"/>
        <w:lang w:val="mk-MK"/>
      </w:rPr>
      <w:t>Insurance</w:t>
    </w:r>
    <w:proofErr w:type="spellEnd"/>
    <w:r w:rsidRPr="009C221C">
      <w:rPr>
        <w:rFonts w:cstheme="minorHAnsi"/>
        <w:lang w:val="mk-MK"/>
      </w:rPr>
      <w:t xml:space="preserve"> </w:t>
    </w:r>
    <w:proofErr w:type="spellStart"/>
    <w:r w:rsidRPr="009C221C">
      <w:rPr>
        <w:rFonts w:cstheme="minorHAnsi"/>
        <w:lang w:val="mk-MK"/>
      </w:rPr>
      <w:t>Fund</w:t>
    </w:r>
    <w:proofErr w:type="spellEnd"/>
    <w:r w:rsidR="00596A1E" w:rsidRPr="00F93B95">
      <w:rPr>
        <w:rFonts w:cstheme="minorHAnsi"/>
        <w:lang w:val="de-DE"/>
      </w:rPr>
      <w:tab/>
    </w:r>
    <w:r w:rsidR="00596A1E" w:rsidRPr="00F93B95">
      <w:rPr>
        <w:rStyle w:val="PageNumber"/>
        <w:rFonts w:cstheme="minorHAnsi"/>
      </w:rPr>
      <w:fldChar w:fldCharType="begin"/>
    </w:r>
    <w:r w:rsidR="00596A1E" w:rsidRPr="00F93B95">
      <w:rPr>
        <w:rStyle w:val="PageNumber"/>
        <w:rFonts w:cstheme="minorHAnsi"/>
        <w:lang w:val="de-DE"/>
      </w:rPr>
      <w:instrText xml:space="preserve"> PAGE </w:instrText>
    </w:r>
    <w:r w:rsidR="00596A1E" w:rsidRPr="00F93B95">
      <w:rPr>
        <w:rStyle w:val="PageNumber"/>
        <w:rFonts w:cstheme="minorHAnsi"/>
      </w:rPr>
      <w:fldChar w:fldCharType="separate"/>
    </w:r>
    <w:r w:rsidR="00596A1E">
      <w:rPr>
        <w:rStyle w:val="PageNumber"/>
        <w:rFonts w:cstheme="minorHAnsi"/>
      </w:rPr>
      <w:t>21</w:t>
    </w:r>
    <w:r w:rsidR="00596A1E" w:rsidRPr="00F93B95">
      <w:rPr>
        <w:rStyle w:val="PageNumber"/>
        <w:rFonts w:cstheme="minorHAnsi"/>
      </w:rPr>
      <w:fldChar w:fldCharType="end"/>
    </w:r>
  </w:p>
  <w:p w14:paraId="4CCAB6FC" w14:textId="77777777" w:rsidR="00596A1E" w:rsidRPr="00F93B95" w:rsidRDefault="00596A1E" w:rsidP="00596A1E">
    <w:pPr>
      <w:pStyle w:val="Header"/>
      <w:rPr>
        <w:rStyle w:val="PageNumber"/>
        <w:rFonts w:cstheme="minorHAnsi"/>
        <w:lang w:val="de-DE"/>
      </w:rPr>
    </w:pPr>
  </w:p>
  <w:p w14:paraId="4407C432" w14:textId="77777777" w:rsidR="009C221C" w:rsidRPr="009C221C" w:rsidRDefault="009C221C" w:rsidP="009C221C">
    <w:pPr>
      <w:pStyle w:val="Header"/>
      <w:rPr>
        <w:rStyle w:val="PageNumber"/>
        <w:rFonts w:cstheme="minorHAnsi"/>
        <w:lang w:val="mk-MK"/>
      </w:rPr>
    </w:pPr>
    <w:proofErr w:type="spellStart"/>
    <w:r w:rsidRPr="009C221C">
      <w:rPr>
        <w:rStyle w:val="PageNumber"/>
        <w:rFonts w:cstheme="minorHAnsi"/>
        <w:lang w:val="mk-MK"/>
      </w:rPr>
      <w:t>Notes</w:t>
    </w:r>
    <w:proofErr w:type="spellEnd"/>
    <w:r w:rsidRPr="009C221C">
      <w:rPr>
        <w:rStyle w:val="PageNumber"/>
        <w:rFonts w:cstheme="minorHAnsi"/>
        <w:lang w:val="mk-MK"/>
      </w:rPr>
      <w:t xml:space="preserve"> </w:t>
    </w:r>
    <w:proofErr w:type="spellStart"/>
    <w:r w:rsidRPr="009C221C">
      <w:rPr>
        <w:rStyle w:val="PageNumber"/>
        <w:rFonts w:cstheme="minorHAnsi"/>
        <w:lang w:val="mk-MK"/>
      </w:rPr>
      <w:t>to</w:t>
    </w:r>
    <w:proofErr w:type="spellEnd"/>
    <w:r w:rsidRPr="009C221C">
      <w:rPr>
        <w:rStyle w:val="PageNumber"/>
        <w:rFonts w:cstheme="minorHAnsi"/>
        <w:lang w:val="mk-MK"/>
      </w:rPr>
      <w:t xml:space="preserve"> </w:t>
    </w:r>
    <w:proofErr w:type="spellStart"/>
    <w:r w:rsidRPr="009C221C">
      <w:rPr>
        <w:rStyle w:val="PageNumber"/>
        <w:rFonts w:cstheme="minorHAnsi"/>
        <w:lang w:val="mk-MK"/>
      </w:rPr>
      <w:t>the</w:t>
    </w:r>
    <w:proofErr w:type="spellEnd"/>
    <w:r w:rsidRPr="009C221C">
      <w:rPr>
        <w:rStyle w:val="PageNumber"/>
        <w:rFonts w:cstheme="minorHAnsi"/>
        <w:lang w:val="mk-MK"/>
      </w:rPr>
      <w:t xml:space="preserve"> </w:t>
    </w:r>
    <w:proofErr w:type="spellStart"/>
    <w:r w:rsidRPr="009C221C">
      <w:rPr>
        <w:rStyle w:val="PageNumber"/>
        <w:rFonts w:cstheme="minorHAnsi"/>
        <w:lang w:val="mk-MK"/>
      </w:rPr>
      <w:t>financial</w:t>
    </w:r>
    <w:proofErr w:type="spellEnd"/>
    <w:r w:rsidRPr="009C221C">
      <w:rPr>
        <w:rStyle w:val="PageNumber"/>
        <w:rFonts w:cstheme="minorHAnsi"/>
        <w:lang w:val="mk-MK"/>
      </w:rPr>
      <w:t xml:space="preserve"> </w:t>
    </w:r>
    <w:proofErr w:type="spellStart"/>
    <w:r w:rsidRPr="009C221C">
      <w:rPr>
        <w:rStyle w:val="PageNumber"/>
        <w:rFonts w:cstheme="minorHAnsi"/>
        <w:lang w:val="mk-MK"/>
      </w:rPr>
      <w:t>statements</w:t>
    </w:r>
    <w:proofErr w:type="spellEnd"/>
    <w:r w:rsidRPr="009C221C">
      <w:rPr>
        <w:rStyle w:val="PageNumber"/>
        <w:rFonts w:cstheme="minorHAnsi"/>
        <w:lang w:val="mk-MK"/>
      </w:rPr>
      <w:t xml:space="preserve"> (</w:t>
    </w:r>
    <w:proofErr w:type="spellStart"/>
    <w:r w:rsidRPr="009C221C">
      <w:rPr>
        <w:rStyle w:val="PageNumber"/>
        <w:rFonts w:cstheme="minorHAnsi"/>
        <w:lang w:val="mk-MK"/>
      </w:rPr>
      <w:t>continued</w:t>
    </w:r>
    <w:proofErr w:type="spellEnd"/>
    <w:r w:rsidRPr="009C221C">
      <w:rPr>
        <w:rStyle w:val="PageNumber"/>
        <w:rFonts w:cstheme="minorHAnsi"/>
        <w:lang w:val="mk-MK"/>
      </w:rPr>
      <w:t>)</w:t>
    </w:r>
  </w:p>
  <w:p w14:paraId="78FE9464" w14:textId="45EC0F6C" w:rsidR="009C221C" w:rsidRPr="00BD0CFC" w:rsidRDefault="009C221C" w:rsidP="009C221C">
    <w:pPr>
      <w:pStyle w:val="Header"/>
      <w:rPr>
        <w:rStyle w:val="PageNumber"/>
        <w:rFonts w:cstheme="minorHAnsi"/>
        <w:lang w:val="en-US"/>
      </w:rPr>
    </w:pPr>
    <w:proofErr w:type="spellStart"/>
    <w:r w:rsidRPr="009C221C">
      <w:rPr>
        <w:rStyle w:val="PageNumber"/>
        <w:rFonts w:cstheme="minorHAnsi"/>
        <w:lang w:val="mk-MK"/>
      </w:rPr>
      <w:t>As</w:t>
    </w:r>
    <w:proofErr w:type="spellEnd"/>
    <w:r w:rsidRPr="009C221C">
      <w:rPr>
        <w:rStyle w:val="PageNumber"/>
        <w:rFonts w:cstheme="minorHAnsi"/>
        <w:lang w:val="mk-MK"/>
      </w:rPr>
      <w:t xml:space="preserve"> </w:t>
    </w:r>
    <w:proofErr w:type="spellStart"/>
    <w:r w:rsidRPr="009C221C">
      <w:rPr>
        <w:rStyle w:val="PageNumber"/>
        <w:rFonts w:cstheme="minorHAnsi"/>
        <w:lang w:val="mk-MK"/>
      </w:rPr>
      <w:t>of</w:t>
    </w:r>
    <w:proofErr w:type="spellEnd"/>
    <w:r w:rsidRPr="009C221C">
      <w:rPr>
        <w:rStyle w:val="PageNumber"/>
        <w:rFonts w:cstheme="minorHAnsi"/>
        <w:lang w:val="mk-MK"/>
      </w:rPr>
      <w:t xml:space="preserve"> </w:t>
    </w:r>
    <w:proofErr w:type="spellStart"/>
    <w:r w:rsidRPr="009C221C">
      <w:rPr>
        <w:rStyle w:val="PageNumber"/>
        <w:rFonts w:cstheme="minorHAnsi"/>
        <w:lang w:val="mk-MK"/>
      </w:rPr>
      <w:t>and</w:t>
    </w:r>
    <w:proofErr w:type="spellEnd"/>
    <w:r w:rsidRPr="009C221C">
      <w:rPr>
        <w:rStyle w:val="PageNumber"/>
        <w:rFonts w:cstheme="minorHAnsi"/>
        <w:lang w:val="mk-MK"/>
      </w:rPr>
      <w:t xml:space="preserve"> </w:t>
    </w:r>
    <w:proofErr w:type="spellStart"/>
    <w:r w:rsidRPr="009C221C">
      <w:rPr>
        <w:rStyle w:val="PageNumber"/>
        <w:rFonts w:cstheme="minorHAnsi"/>
        <w:lang w:val="mk-MK"/>
      </w:rPr>
      <w:t>for</w:t>
    </w:r>
    <w:proofErr w:type="spellEnd"/>
    <w:r w:rsidRPr="009C221C">
      <w:rPr>
        <w:rStyle w:val="PageNumber"/>
        <w:rFonts w:cstheme="minorHAnsi"/>
        <w:lang w:val="mk-MK"/>
      </w:rPr>
      <w:t xml:space="preserve"> </w:t>
    </w:r>
    <w:proofErr w:type="spellStart"/>
    <w:r w:rsidRPr="009C221C">
      <w:rPr>
        <w:rStyle w:val="PageNumber"/>
        <w:rFonts w:cstheme="minorHAnsi"/>
        <w:lang w:val="mk-MK"/>
      </w:rPr>
      <w:t>the</w:t>
    </w:r>
    <w:proofErr w:type="spellEnd"/>
    <w:r w:rsidRPr="009C221C">
      <w:rPr>
        <w:rStyle w:val="PageNumber"/>
        <w:rFonts w:cstheme="minorHAnsi"/>
        <w:lang w:val="mk-MK"/>
      </w:rPr>
      <w:t xml:space="preserve"> </w:t>
    </w:r>
    <w:proofErr w:type="spellStart"/>
    <w:r w:rsidRPr="009C221C">
      <w:rPr>
        <w:rStyle w:val="PageNumber"/>
        <w:rFonts w:cstheme="minorHAnsi"/>
        <w:lang w:val="mk-MK"/>
      </w:rPr>
      <w:t>year</w:t>
    </w:r>
    <w:proofErr w:type="spellEnd"/>
    <w:r w:rsidRPr="009C221C">
      <w:rPr>
        <w:rStyle w:val="PageNumber"/>
        <w:rFonts w:cstheme="minorHAnsi"/>
        <w:lang w:val="mk-MK"/>
      </w:rPr>
      <w:t xml:space="preserve"> </w:t>
    </w:r>
    <w:proofErr w:type="spellStart"/>
    <w:r w:rsidRPr="009C221C">
      <w:rPr>
        <w:rStyle w:val="PageNumber"/>
        <w:rFonts w:cstheme="minorHAnsi"/>
        <w:lang w:val="mk-MK"/>
      </w:rPr>
      <w:t>ended</w:t>
    </w:r>
    <w:proofErr w:type="spellEnd"/>
    <w:r w:rsidRPr="009C221C">
      <w:rPr>
        <w:rStyle w:val="PageNumber"/>
        <w:rFonts w:cstheme="minorHAnsi"/>
        <w:lang w:val="mk-MK"/>
      </w:rPr>
      <w:t xml:space="preserve"> 31 </w:t>
    </w:r>
    <w:proofErr w:type="spellStart"/>
    <w:r w:rsidRPr="009C221C">
      <w:rPr>
        <w:rStyle w:val="PageNumber"/>
        <w:rFonts w:cstheme="minorHAnsi"/>
        <w:lang w:val="mk-MK"/>
      </w:rPr>
      <w:t>December</w:t>
    </w:r>
    <w:proofErr w:type="spellEnd"/>
    <w:r w:rsidRPr="009C221C">
      <w:rPr>
        <w:rStyle w:val="PageNumber"/>
        <w:rFonts w:cstheme="minorHAnsi"/>
        <w:lang w:val="mk-MK"/>
      </w:rPr>
      <w:t xml:space="preserve"> 202</w:t>
    </w:r>
    <w:r w:rsidR="00BD0CFC">
      <w:rPr>
        <w:rStyle w:val="PageNumber"/>
        <w:rFonts w:cstheme="minorHAnsi"/>
        <w:lang w:val="en-US"/>
      </w:rPr>
      <w:t>1</w:t>
    </w:r>
  </w:p>
  <w:p w14:paraId="301474F6" w14:textId="598FC58D" w:rsidR="00F67189" w:rsidRDefault="009C221C" w:rsidP="009C221C">
    <w:pPr>
      <w:pStyle w:val="Header"/>
      <w:rPr>
        <w:rFonts w:cstheme="minorHAnsi"/>
        <w:b w:val="0"/>
        <w:color w:val="auto"/>
        <w:sz w:val="18"/>
        <w:lang w:val="mk-MK"/>
      </w:rPr>
    </w:pPr>
    <w:r w:rsidRPr="009C221C">
      <w:rPr>
        <w:rStyle w:val="PageNumber"/>
        <w:rFonts w:cstheme="minorHAnsi"/>
        <w:lang w:val="mk-MK"/>
      </w:rPr>
      <w:t>(</w:t>
    </w:r>
    <w:proofErr w:type="spellStart"/>
    <w:r w:rsidRPr="009C221C">
      <w:rPr>
        <w:rStyle w:val="PageNumber"/>
        <w:rFonts w:cstheme="minorHAnsi"/>
        <w:lang w:val="mk-MK"/>
      </w:rPr>
      <w:t>All</w:t>
    </w:r>
    <w:proofErr w:type="spellEnd"/>
    <w:r w:rsidRPr="009C221C">
      <w:rPr>
        <w:rStyle w:val="PageNumber"/>
        <w:rFonts w:cstheme="minorHAnsi"/>
        <w:lang w:val="mk-MK"/>
      </w:rPr>
      <w:t xml:space="preserve"> </w:t>
    </w:r>
    <w:proofErr w:type="spellStart"/>
    <w:r w:rsidRPr="009C221C">
      <w:rPr>
        <w:rStyle w:val="PageNumber"/>
        <w:rFonts w:cstheme="minorHAnsi"/>
        <w:lang w:val="mk-MK"/>
      </w:rPr>
      <w:t>amounts</w:t>
    </w:r>
    <w:proofErr w:type="spellEnd"/>
    <w:r w:rsidRPr="009C221C">
      <w:rPr>
        <w:rStyle w:val="PageNumber"/>
        <w:rFonts w:cstheme="minorHAnsi"/>
        <w:lang w:val="mk-MK"/>
      </w:rPr>
      <w:t xml:space="preserve"> </w:t>
    </w:r>
    <w:proofErr w:type="spellStart"/>
    <w:r w:rsidRPr="009C221C">
      <w:rPr>
        <w:rStyle w:val="PageNumber"/>
        <w:rFonts w:cstheme="minorHAnsi"/>
        <w:lang w:val="mk-MK"/>
      </w:rPr>
      <w:t>expressed</w:t>
    </w:r>
    <w:proofErr w:type="spellEnd"/>
    <w:r w:rsidRPr="009C221C">
      <w:rPr>
        <w:rStyle w:val="PageNumber"/>
        <w:rFonts w:cstheme="minorHAnsi"/>
        <w:lang w:val="mk-MK"/>
      </w:rPr>
      <w:t xml:space="preserve"> </w:t>
    </w:r>
    <w:proofErr w:type="spellStart"/>
    <w:r w:rsidRPr="009C221C">
      <w:rPr>
        <w:rStyle w:val="PageNumber"/>
        <w:rFonts w:cstheme="minorHAnsi"/>
        <w:lang w:val="mk-MK"/>
      </w:rPr>
      <w:t>in</w:t>
    </w:r>
    <w:proofErr w:type="spellEnd"/>
    <w:r w:rsidRPr="009C221C">
      <w:rPr>
        <w:rStyle w:val="PageNumber"/>
        <w:rFonts w:cstheme="minorHAnsi"/>
        <w:lang w:val="mk-MK"/>
      </w:rPr>
      <w:t xml:space="preserve"> </w:t>
    </w:r>
    <w:proofErr w:type="spellStart"/>
    <w:r w:rsidRPr="009C221C">
      <w:rPr>
        <w:rStyle w:val="PageNumber"/>
        <w:rFonts w:cstheme="minorHAnsi"/>
        <w:lang w:val="mk-MK"/>
      </w:rPr>
      <w:t>Denar</w:t>
    </w:r>
    <w:proofErr w:type="spellEnd"/>
    <w:r w:rsidRPr="009C221C">
      <w:rPr>
        <w:rStyle w:val="PageNumber"/>
        <w:rFonts w:cstheme="minorHAnsi"/>
        <w:lang w:val="mk-MK"/>
      </w:rPr>
      <w:t xml:space="preserve"> </w:t>
    </w:r>
    <w:proofErr w:type="spellStart"/>
    <w:r w:rsidRPr="009C221C">
      <w:rPr>
        <w:rStyle w:val="PageNumber"/>
        <w:rFonts w:cstheme="minorHAnsi"/>
        <w:lang w:val="mk-MK"/>
      </w:rPr>
      <w:t>thousand</w:t>
    </w:r>
    <w:proofErr w:type="spellEnd"/>
    <w:r w:rsidRPr="009C221C">
      <w:rPr>
        <w:rStyle w:val="PageNumber"/>
        <w:rFonts w:cstheme="minorHAnsi"/>
        <w:lang w:val="mk-MK"/>
      </w:rPr>
      <w:t xml:space="preserve"> </w:t>
    </w:r>
    <w:proofErr w:type="spellStart"/>
    <w:r w:rsidRPr="009C221C">
      <w:rPr>
        <w:rStyle w:val="PageNumber"/>
        <w:rFonts w:cstheme="minorHAnsi"/>
        <w:lang w:val="mk-MK"/>
      </w:rPr>
      <w:t>unless</w:t>
    </w:r>
    <w:proofErr w:type="spellEnd"/>
    <w:r w:rsidRPr="009C221C">
      <w:rPr>
        <w:rStyle w:val="PageNumber"/>
        <w:rFonts w:cstheme="minorHAnsi"/>
        <w:lang w:val="mk-MK"/>
      </w:rPr>
      <w:t xml:space="preserve"> </w:t>
    </w:r>
    <w:proofErr w:type="spellStart"/>
    <w:r w:rsidRPr="009C221C">
      <w:rPr>
        <w:rStyle w:val="PageNumber"/>
        <w:rFonts w:cstheme="minorHAnsi"/>
        <w:lang w:val="mk-MK"/>
      </w:rPr>
      <w:t>otherwise</w:t>
    </w:r>
    <w:proofErr w:type="spellEnd"/>
    <w:r w:rsidRPr="009C221C">
      <w:rPr>
        <w:rStyle w:val="PageNumber"/>
        <w:rFonts w:cstheme="minorHAnsi"/>
        <w:lang w:val="mk-MK"/>
      </w:rPr>
      <w:t xml:space="preserve"> </w:t>
    </w:r>
    <w:proofErr w:type="spellStart"/>
    <w:r w:rsidRPr="009C221C">
      <w:rPr>
        <w:rStyle w:val="PageNumber"/>
        <w:rFonts w:cstheme="minorHAnsi"/>
        <w:lang w:val="mk-MK"/>
      </w:rPr>
      <w:t>stated</w:t>
    </w:r>
    <w:proofErr w:type="spellEnd"/>
    <w:r w:rsidRPr="009C221C">
      <w:rPr>
        <w:rStyle w:val="PageNumber"/>
        <w:rFonts w:cstheme="minorHAnsi"/>
        <w:lang w:val="mk-MK"/>
      </w:rPr>
      <w:t>)</w:t>
    </w:r>
  </w:p>
  <w:p w14:paraId="2E59FE57" w14:textId="3CF81F2A" w:rsidR="00F67189" w:rsidRPr="00F67189" w:rsidRDefault="00F67189" w:rsidP="00F67189">
    <w:pPr>
      <w:pStyle w:val="Header"/>
      <w:rPr>
        <w:rFonts w:cstheme="minorHAnsi"/>
        <w:lang w:val="mk-M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331C" w14:textId="77777777" w:rsidR="00A94FA0" w:rsidRDefault="00A94F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335717"/>
      <w:docPartObj>
        <w:docPartGallery w:val="Page Numbers (Top of Page)"/>
        <w:docPartUnique/>
      </w:docPartObj>
    </w:sdtPr>
    <w:sdtEndPr>
      <w:rPr>
        <w:noProof/>
      </w:rPr>
    </w:sdtEndPr>
    <w:sdtContent>
      <w:p w14:paraId="65CC6A62" w14:textId="395D76D7" w:rsidR="00A94FA0" w:rsidRPr="00615371" w:rsidRDefault="00E84EDC" w:rsidP="001F52F9">
        <w:pPr>
          <w:pStyle w:val="Header"/>
          <w:rPr>
            <w:rFonts w:ascii="M_Swiss" w:hAnsi="M_Swiss"/>
            <w:color w:val="999999"/>
            <w:szCs w:val="16"/>
          </w:rPr>
        </w:pPr>
        <w:proofErr w:type="spellStart"/>
        <w:r w:rsidRPr="00E84EDC">
          <w:rPr>
            <w:lang w:val="mk-MK"/>
          </w:rPr>
          <w:t>Deposit</w:t>
        </w:r>
        <w:proofErr w:type="spellEnd"/>
        <w:r w:rsidRPr="00E84EDC">
          <w:rPr>
            <w:lang w:val="mk-MK"/>
          </w:rPr>
          <w:t xml:space="preserve"> </w:t>
        </w:r>
        <w:proofErr w:type="spellStart"/>
        <w:r w:rsidRPr="00E84EDC">
          <w:rPr>
            <w:lang w:val="mk-MK"/>
          </w:rPr>
          <w:t>Insurance</w:t>
        </w:r>
        <w:proofErr w:type="spellEnd"/>
        <w:r w:rsidRPr="00E84EDC">
          <w:rPr>
            <w:lang w:val="mk-MK"/>
          </w:rPr>
          <w:t xml:space="preserve"> </w:t>
        </w:r>
        <w:proofErr w:type="spellStart"/>
        <w:r w:rsidRPr="00E84EDC">
          <w:rPr>
            <w:lang w:val="mk-MK"/>
          </w:rPr>
          <w:t>Fund</w:t>
        </w:r>
        <w:proofErr w:type="spellEnd"/>
        <w:r w:rsidR="00A94FA0" w:rsidRPr="00615371">
          <w:rPr>
            <w:rFonts w:ascii="M_Swiss" w:hAnsi="M_Swiss"/>
            <w:bCs/>
            <w:color w:val="999999"/>
            <w:szCs w:val="16"/>
          </w:rPr>
          <w:tab/>
        </w:r>
        <w:r w:rsidR="00A94FA0" w:rsidRPr="00A6236A">
          <w:rPr>
            <w:rStyle w:val="PageNumber"/>
            <w:color w:val="999999"/>
            <w:szCs w:val="16"/>
          </w:rPr>
          <w:fldChar w:fldCharType="begin"/>
        </w:r>
        <w:r w:rsidR="00A94FA0" w:rsidRPr="00A6236A">
          <w:rPr>
            <w:rStyle w:val="PageNumber"/>
            <w:color w:val="999999"/>
            <w:szCs w:val="16"/>
          </w:rPr>
          <w:instrText xml:space="preserve"> PAGE </w:instrText>
        </w:r>
        <w:r w:rsidR="00A94FA0" w:rsidRPr="00A6236A">
          <w:rPr>
            <w:rStyle w:val="PageNumber"/>
            <w:color w:val="999999"/>
            <w:szCs w:val="16"/>
          </w:rPr>
          <w:fldChar w:fldCharType="separate"/>
        </w:r>
        <w:r w:rsidR="005B25CF">
          <w:rPr>
            <w:rStyle w:val="PageNumber"/>
            <w:noProof/>
            <w:color w:val="999999"/>
            <w:szCs w:val="16"/>
          </w:rPr>
          <w:t>4</w:t>
        </w:r>
        <w:r w:rsidR="00A94FA0" w:rsidRPr="00A6236A">
          <w:rPr>
            <w:rStyle w:val="PageNumber"/>
            <w:color w:val="999999"/>
            <w:szCs w:val="16"/>
          </w:rPr>
          <w:fldChar w:fldCharType="end"/>
        </w:r>
      </w:p>
      <w:p w14:paraId="6E1A13A5" w14:textId="77777777" w:rsidR="00A94FA0" w:rsidRPr="00615371" w:rsidRDefault="00A94FA0" w:rsidP="001F52F9">
        <w:pPr>
          <w:pStyle w:val="Header"/>
          <w:ind w:right="360"/>
          <w:rPr>
            <w:rFonts w:ascii="M_Swiss" w:hAnsi="M_Swiss"/>
            <w:color w:val="999999"/>
            <w:spacing w:val="-3"/>
            <w:szCs w:val="16"/>
          </w:rPr>
        </w:pPr>
      </w:p>
      <w:p w14:paraId="60B7D05E" w14:textId="77777777" w:rsidR="00E84EDC" w:rsidRDefault="00E84EDC" w:rsidP="001F52F9">
        <w:pPr>
          <w:pStyle w:val="Header"/>
          <w:rPr>
            <w:lang w:val="mk-MK"/>
          </w:rPr>
        </w:pPr>
        <w:proofErr w:type="spellStart"/>
        <w:r w:rsidRPr="00E84EDC">
          <w:rPr>
            <w:lang w:val="mk-MK"/>
          </w:rPr>
          <w:t>Financial</w:t>
        </w:r>
        <w:proofErr w:type="spellEnd"/>
        <w:r w:rsidRPr="00E84EDC">
          <w:rPr>
            <w:lang w:val="mk-MK"/>
          </w:rPr>
          <w:t xml:space="preserve"> </w:t>
        </w:r>
        <w:proofErr w:type="spellStart"/>
        <w:r w:rsidRPr="00E84EDC">
          <w:rPr>
            <w:lang w:val="mk-MK"/>
          </w:rPr>
          <w:t>statements</w:t>
        </w:r>
        <w:proofErr w:type="spellEnd"/>
      </w:p>
      <w:p w14:paraId="6C28B0B5" w14:textId="31AF3A12" w:rsidR="00A94FA0" w:rsidRPr="006E26B2" w:rsidRDefault="00A94FA0" w:rsidP="001F52F9">
        <w:pPr>
          <w:pStyle w:val="Header"/>
          <w:rPr>
            <w:lang w:val="mk-MK"/>
          </w:rPr>
        </w:pPr>
        <w:r w:rsidRPr="003879C1">
          <w:rPr>
            <w:lang w:val="mk-MK"/>
          </w:rPr>
          <w:t xml:space="preserve">31 </w:t>
        </w:r>
        <w:r w:rsidR="00E84EDC">
          <w:rPr>
            <w:lang w:val="en-US"/>
          </w:rPr>
          <w:t>December</w:t>
        </w:r>
        <w:r w:rsidRPr="003879C1">
          <w:rPr>
            <w:lang w:val="mk-MK"/>
          </w:rPr>
          <w:t xml:space="preserve"> </w:t>
        </w:r>
        <w:r>
          <w:rPr>
            <w:lang w:val="mk-MK"/>
          </w:rPr>
          <w:t>202</w:t>
        </w:r>
        <w:r w:rsidR="00A3423F">
          <w:rPr>
            <w:lang w:val="mk-MK"/>
          </w:rPr>
          <w:t>1</w:t>
        </w:r>
        <w:r w:rsidR="00231A38">
          <w:rPr>
            <w:lang w:val="en-US"/>
          </w:rPr>
          <w:t xml:space="preserve"> </w:t>
        </w:r>
      </w:p>
      <w:p w14:paraId="700FFFC5" w14:textId="77777777" w:rsidR="00A94FA0" w:rsidRDefault="00FE7ED8">
        <w:pPr>
          <w:pStyle w:val="Header"/>
          <w:jc w:val="right"/>
        </w:pPr>
      </w:p>
    </w:sdtContent>
  </w:sdt>
  <w:p w14:paraId="30D417B0" w14:textId="77777777" w:rsidR="00A94FA0" w:rsidRPr="00FC701E" w:rsidRDefault="00A94FA0">
    <w:pPr>
      <w:pStyle w:val="Header"/>
      <w:rPr>
        <w:rFonts w:ascii="Calibri" w:hAnsi="Calibri"/>
        <w:lang w:val="mk-MK"/>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A016" w14:textId="77777777" w:rsidR="00A94FA0" w:rsidRDefault="00A94F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0E40" w14:textId="77777777" w:rsidR="00A94FA0" w:rsidRDefault="00A94F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FE45" w14:textId="795DD562" w:rsidR="00A94FA0" w:rsidRPr="00615371" w:rsidRDefault="009B2B1B" w:rsidP="00BF38DF">
    <w:pPr>
      <w:pStyle w:val="Header"/>
      <w:rPr>
        <w:rFonts w:ascii="M_Swiss" w:hAnsi="M_Swiss"/>
        <w:color w:val="999999"/>
        <w:szCs w:val="16"/>
      </w:rPr>
    </w:pPr>
    <w:proofErr w:type="spellStart"/>
    <w:r w:rsidRPr="009B2B1B">
      <w:rPr>
        <w:lang w:val="mk-MK"/>
      </w:rPr>
      <w:t>Deposit</w:t>
    </w:r>
    <w:proofErr w:type="spellEnd"/>
    <w:r w:rsidRPr="009B2B1B">
      <w:rPr>
        <w:lang w:val="mk-MK"/>
      </w:rPr>
      <w:t xml:space="preserve"> </w:t>
    </w:r>
    <w:proofErr w:type="spellStart"/>
    <w:r w:rsidRPr="009B2B1B">
      <w:rPr>
        <w:lang w:val="mk-MK"/>
      </w:rPr>
      <w:t>Insurance</w:t>
    </w:r>
    <w:proofErr w:type="spellEnd"/>
    <w:r w:rsidRPr="009B2B1B">
      <w:rPr>
        <w:lang w:val="mk-MK"/>
      </w:rPr>
      <w:t xml:space="preserve"> </w:t>
    </w:r>
    <w:proofErr w:type="spellStart"/>
    <w:r w:rsidRPr="009B2B1B">
      <w:rPr>
        <w:lang w:val="mk-MK"/>
      </w:rPr>
      <w:t>Fund</w:t>
    </w:r>
    <w:proofErr w:type="spellEnd"/>
    <w:r w:rsidR="00A94FA0" w:rsidRPr="00615371">
      <w:rPr>
        <w:rFonts w:ascii="M_Swiss" w:hAnsi="M_Swiss"/>
        <w:bCs/>
        <w:color w:val="999999"/>
        <w:szCs w:val="16"/>
      </w:rPr>
      <w:tab/>
    </w:r>
    <w:r w:rsidR="00A94FA0" w:rsidRPr="00A6236A">
      <w:rPr>
        <w:rStyle w:val="PageNumber"/>
        <w:color w:val="999999"/>
        <w:szCs w:val="16"/>
      </w:rPr>
      <w:fldChar w:fldCharType="begin"/>
    </w:r>
    <w:r w:rsidR="00A94FA0" w:rsidRPr="00A6236A">
      <w:rPr>
        <w:rStyle w:val="PageNumber"/>
        <w:color w:val="999999"/>
        <w:szCs w:val="16"/>
      </w:rPr>
      <w:instrText xml:space="preserve"> PAGE </w:instrText>
    </w:r>
    <w:r w:rsidR="00A94FA0" w:rsidRPr="00A6236A">
      <w:rPr>
        <w:rStyle w:val="PageNumber"/>
        <w:color w:val="999999"/>
        <w:szCs w:val="16"/>
      </w:rPr>
      <w:fldChar w:fldCharType="separate"/>
    </w:r>
    <w:r w:rsidR="005B25CF">
      <w:rPr>
        <w:rStyle w:val="PageNumber"/>
        <w:noProof/>
        <w:color w:val="999999"/>
        <w:szCs w:val="16"/>
      </w:rPr>
      <w:t>6</w:t>
    </w:r>
    <w:r w:rsidR="00A94FA0" w:rsidRPr="00A6236A">
      <w:rPr>
        <w:rStyle w:val="PageNumber"/>
        <w:color w:val="999999"/>
        <w:szCs w:val="16"/>
      </w:rPr>
      <w:fldChar w:fldCharType="end"/>
    </w:r>
  </w:p>
  <w:p w14:paraId="087389B7" w14:textId="77777777" w:rsidR="00A94FA0" w:rsidRPr="00615371" w:rsidRDefault="00A94FA0" w:rsidP="00BF38DF">
    <w:pPr>
      <w:pStyle w:val="Header"/>
      <w:ind w:right="360"/>
      <w:rPr>
        <w:rFonts w:ascii="M_Swiss" w:hAnsi="M_Swiss"/>
        <w:color w:val="999999"/>
        <w:spacing w:val="-3"/>
        <w:szCs w:val="16"/>
      </w:rPr>
    </w:pPr>
  </w:p>
  <w:p w14:paraId="7878C9B9" w14:textId="77777777" w:rsidR="009B2B1B" w:rsidRPr="009B2B1B" w:rsidRDefault="009B2B1B" w:rsidP="009B2B1B">
    <w:pPr>
      <w:pStyle w:val="Header"/>
      <w:rPr>
        <w:lang w:val="mk-MK"/>
      </w:rPr>
    </w:pPr>
    <w:proofErr w:type="spellStart"/>
    <w:r w:rsidRPr="009B2B1B">
      <w:rPr>
        <w:lang w:val="mk-MK"/>
      </w:rPr>
      <w:t>Financial</w:t>
    </w:r>
    <w:proofErr w:type="spellEnd"/>
    <w:r w:rsidRPr="009B2B1B">
      <w:rPr>
        <w:lang w:val="mk-MK"/>
      </w:rPr>
      <w:t xml:space="preserve"> </w:t>
    </w:r>
    <w:proofErr w:type="spellStart"/>
    <w:r w:rsidRPr="009B2B1B">
      <w:rPr>
        <w:lang w:val="mk-MK"/>
      </w:rPr>
      <w:t>statements</w:t>
    </w:r>
    <w:proofErr w:type="spellEnd"/>
  </w:p>
  <w:p w14:paraId="4CDFB2B8" w14:textId="77777777" w:rsidR="009B2B1B" w:rsidRPr="009B2B1B" w:rsidRDefault="009B2B1B" w:rsidP="009B2B1B">
    <w:pPr>
      <w:pStyle w:val="Header"/>
      <w:rPr>
        <w:lang w:val="mk-MK"/>
      </w:rPr>
    </w:pPr>
    <w:r w:rsidRPr="009B2B1B">
      <w:rPr>
        <w:lang w:val="mk-MK"/>
      </w:rPr>
      <w:t xml:space="preserve">31 </w:t>
    </w:r>
    <w:proofErr w:type="spellStart"/>
    <w:r w:rsidRPr="009B2B1B">
      <w:rPr>
        <w:lang w:val="mk-MK"/>
      </w:rPr>
      <w:t>December</w:t>
    </w:r>
    <w:proofErr w:type="spellEnd"/>
    <w:r w:rsidRPr="009B2B1B">
      <w:rPr>
        <w:lang w:val="mk-MK"/>
      </w:rPr>
      <w:t xml:space="preserve"> 2021 </w:t>
    </w:r>
  </w:p>
  <w:p w14:paraId="15680397" w14:textId="6E095E6F" w:rsidR="00A94FA0" w:rsidRPr="00250B93" w:rsidRDefault="00A94FA0" w:rsidP="009B2B1B">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9B95" w14:textId="77777777" w:rsidR="00A94FA0" w:rsidRDefault="00A94FA0">
    <w:pPr>
      <w:pStyle w:val="Header"/>
    </w:pPr>
  </w:p>
  <w:p w14:paraId="77929F48" w14:textId="77777777" w:rsidR="00A94FA0" w:rsidRPr="00E839F0" w:rsidRDefault="00A94FA0" w:rsidP="00BF38DF">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1576" w14:textId="77777777" w:rsidR="00A94FA0" w:rsidRDefault="00A94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0B6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98B5F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4128E8E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0A29A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0C66015"/>
    <w:multiLevelType w:val="multilevel"/>
    <w:tmpl w:val="C526B5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546309"/>
    <w:multiLevelType w:val="hybridMultilevel"/>
    <w:tmpl w:val="51E8AC4E"/>
    <w:lvl w:ilvl="0" w:tplc="2D90728E">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CCD4187"/>
    <w:multiLevelType w:val="multilevel"/>
    <w:tmpl w:val="693227E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03867A0"/>
    <w:multiLevelType w:val="multilevel"/>
    <w:tmpl w:val="8D8CB4F8"/>
    <w:numStyleLink w:val="GTListNumber"/>
  </w:abstractNum>
  <w:abstractNum w:abstractNumId="10" w15:restartNumberingAfterBreak="0">
    <w:nsid w:val="176A780A"/>
    <w:multiLevelType w:val="multilevel"/>
    <w:tmpl w:val="9C526702"/>
    <w:styleLink w:val="GTNumberedLetterHeadings"/>
    <w:lvl w:ilvl="0">
      <w:start w:val="1"/>
      <w:numFmt w:val="decimal"/>
      <w:pStyle w:val="NumberedLetterSubHeading1"/>
      <w:lvlText w:val="%1"/>
      <w:lvlJc w:val="left"/>
      <w:pPr>
        <w:ind w:left="0" w:hanging="567"/>
      </w:pPr>
      <w:rPr>
        <w:rFonts w:hint="default"/>
      </w:rPr>
    </w:lvl>
    <w:lvl w:ilvl="1">
      <w:start w:val="1"/>
      <w:numFmt w:val="decimal"/>
      <w:pStyle w:val="NumberedLetterBodyText"/>
      <w:lvlText w:val="%1.%2"/>
      <w:lvlJc w:val="left"/>
      <w:pPr>
        <w:ind w:left="0" w:hanging="567"/>
      </w:pPr>
      <w:rPr>
        <w:rFonts w:hint="default"/>
      </w:rPr>
    </w:lvl>
    <w:lvl w:ilvl="2">
      <w:start w:val="1"/>
      <w:numFmt w:val="none"/>
      <w:lvlText w:val=""/>
      <w:lvlJc w:val="left"/>
      <w:pPr>
        <w:tabs>
          <w:tab w:val="num" w:pos="454"/>
        </w:tabs>
        <w:ind w:left="0" w:hanging="567"/>
      </w:pPr>
      <w:rPr>
        <w:rFonts w:hint="default"/>
      </w:rPr>
    </w:lvl>
    <w:lvl w:ilvl="3">
      <w:start w:val="1"/>
      <w:numFmt w:val="none"/>
      <w:lvlText w:val=""/>
      <w:lvlJc w:val="left"/>
      <w:pPr>
        <w:tabs>
          <w:tab w:val="num" w:pos="454"/>
        </w:tabs>
        <w:ind w:left="0" w:hanging="567"/>
      </w:pPr>
      <w:rPr>
        <w:rFonts w:hint="default"/>
      </w:rPr>
    </w:lvl>
    <w:lvl w:ilvl="4">
      <w:start w:val="1"/>
      <w:numFmt w:val="none"/>
      <w:lvlText w:val=""/>
      <w:lvlJc w:val="left"/>
      <w:pPr>
        <w:tabs>
          <w:tab w:val="num" w:pos="454"/>
        </w:tabs>
        <w:ind w:left="0" w:hanging="567"/>
      </w:pPr>
      <w:rPr>
        <w:rFonts w:hint="default"/>
      </w:rPr>
    </w:lvl>
    <w:lvl w:ilvl="5">
      <w:start w:val="1"/>
      <w:numFmt w:val="none"/>
      <w:lvlText w:val=""/>
      <w:lvlJc w:val="left"/>
      <w:pPr>
        <w:tabs>
          <w:tab w:val="num" w:pos="454"/>
        </w:tabs>
        <w:ind w:left="0" w:hanging="567"/>
      </w:pPr>
      <w:rPr>
        <w:rFonts w:hint="default"/>
      </w:rPr>
    </w:lvl>
    <w:lvl w:ilvl="6">
      <w:start w:val="1"/>
      <w:numFmt w:val="none"/>
      <w:lvlText w:val=""/>
      <w:lvlJc w:val="left"/>
      <w:pPr>
        <w:tabs>
          <w:tab w:val="num" w:pos="454"/>
        </w:tabs>
        <w:ind w:left="0" w:hanging="567"/>
      </w:pPr>
      <w:rPr>
        <w:rFonts w:hint="default"/>
      </w:rPr>
    </w:lvl>
    <w:lvl w:ilvl="7">
      <w:start w:val="1"/>
      <w:numFmt w:val="none"/>
      <w:lvlText w:val=""/>
      <w:lvlJc w:val="left"/>
      <w:pPr>
        <w:tabs>
          <w:tab w:val="num" w:pos="454"/>
        </w:tabs>
        <w:ind w:left="0" w:hanging="567"/>
      </w:pPr>
      <w:rPr>
        <w:rFonts w:hint="default"/>
      </w:rPr>
    </w:lvl>
    <w:lvl w:ilvl="8">
      <w:start w:val="1"/>
      <w:numFmt w:val="none"/>
      <w:lvlText w:val=""/>
      <w:lvlJc w:val="left"/>
      <w:pPr>
        <w:tabs>
          <w:tab w:val="num" w:pos="454"/>
        </w:tabs>
        <w:ind w:left="0" w:hanging="567"/>
      </w:pPr>
      <w:rPr>
        <w:rFonts w:hint="default"/>
      </w:rPr>
    </w:lvl>
  </w:abstractNum>
  <w:abstractNum w:abstractNumId="11" w15:restartNumberingAfterBreak="0">
    <w:nsid w:val="198527E3"/>
    <w:multiLevelType w:val="multilevel"/>
    <w:tmpl w:val="D4C40B38"/>
    <w:styleLink w:val="GTNumberedHeadings"/>
    <w:lvl w:ilvl="0">
      <w:start w:val="1"/>
      <w:numFmt w:val="decimal"/>
      <w:pStyle w:val="NumberedHeading1"/>
      <w:lvlText w:val="%1"/>
      <w:lvlJc w:val="left"/>
      <w:pPr>
        <w:ind w:left="0" w:hanging="680"/>
      </w:pPr>
      <w:rPr>
        <w:rFonts w:hint="default"/>
      </w:rPr>
    </w:lvl>
    <w:lvl w:ilvl="1">
      <w:start w:val="1"/>
      <w:numFmt w:val="decimal"/>
      <w:pStyle w:val="NumberedHeading2"/>
      <w:lvlText w:val="%1.%2"/>
      <w:lvlJc w:val="left"/>
      <w:pPr>
        <w:ind w:left="0" w:hanging="680"/>
      </w:pPr>
      <w:rPr>
        <w:rFonts w:hint="default"/>
      </w:rPr>
    </w:lvl>
    <w:lvl w:ilvl="2">
      <w:start w:val="1"/>
      <w:numFmt w:val="decimal"/>
      <w:pStyle w:val="NumberedBodyText"/>
      <w:lvlText w:val="%1.%2.%3"/>
      <w:lvlJc w:val="left"/>
      <w:pPr>
        <w:ind w:left="0" w:hanging="680"/>
      </w:pPr>
      <w:rPr>
        <w:rFonts w:hint="default"/>
      </w:rPr>
    </w:lvl>
    <w:lvl w:ilvl="3">
      <w:start w:val="1"/>
      <w:numFmt w:val="none"/>
      <w:lvlRestart w:val="0"/>
      <w:lvlText w:val=""/>
      <w:lvlJc w:val="left"/>
      <w:pPr>
        <w:tabs>
          <w:tab w:val="num" w:pos="709"/>
        </w:tabs>
        <w:ind w:left="0" w:hanging="680"/>
      </w:pPr>
      <w:rPr>
        <w:rFonts w:hint="default"/>
      </w:rPr>
    </w:lvl>
    <w:lvl w:ilvl="4">
      <w:start w:val="1"/>
      <w:numFmt w:val="none"/>
      <w:lvlRestart w:val="0"/>
      <w:lvlText w:val=""/>
      <w:lvlJc w:val="left"/>
      <w:pPr>
        <w:tabs>
          <w:tab w:val="num" w:pos="709"/>
        </w:tabs>
        <w:ind w:left="0" w:hanging="680"/>
      </w:pPr>
      <w:rPr>
        <w:rFonts w:hint="default"/>
      </w:rPr>
    </w:lvl>
    <w:lvl w:ilvl="5">
      <w:start w:val="1"/>
      <w:numFmt w:val="none"/>
      <w:lvlRestart w:val="0"/>
      <w:lvlText w:val=""/>
      <w:lvlJc w:val="left"/>
      <w:pPr>
        <w:tabs>
          <w:tab w:val="num" w:pos="709"/>
        </w:tabs>
        <w:ind w:left="0" w:hanging="680"/>
      </w:pPr>
      <w:rPr>
        <w:rFonts w:hint="default"/>
      </w:rPr>
    </w:lvl>
    <w:lvl w:ilvl="6">
      <w:start w:val="1"/>
      <w:numFmt w:val="none"/>
      <w:lvlRestart w:val="0"/>
      <w:lvlText w:val=""/>
      <w:lvlJc w:val="left"/>
      <w:pPr>
        <w:tabs>
          <w:tab w:val="num" w:pos="709"/>
        </w:tabs>
        <w:ind w:left="0" w:hanging="680"/>
      </w:pPr>
      <w:rPr>
        <w:rFonts w:hint="default"/>
      </w:rPr>
    </w:lvl>
    <w:lvl w:ilvl="7">
      <w:start w:val="1"/>
      <w:numFmt w:val="none"/>
      <w:lvlRestart w:val="0"/>
      <w:lvlText w:val=""/>
      <w:lvlJc w:val="left"/>
      <w:pPr>
        <w:tabs>
          <w:tab w:val="num" w:pos="709"/>
        </w:tabs>
        <w:ind w:left="0" w:hanging="680"/>
      </w:pPr>
      <w:rPr>
        <w:rFonts w:hint="default"/>
      </w:rPr>
    </w:lvl>
    <w:lvl w:ilvl="8">
      <w:start w:val="1"/>
      <w:numFmt w:val="none"/>
      <w:lvlRestart w:val="0"/>
      <w:lvlText w:val=""/>
      <w:lvlJc w:val="left"/>
      <w:pPr>
        <w:tabs>
          <w:tab w:val="num" w:pos="709"/>
        </w:tabs>
        <w:ind w:left="0" w:hanging="680"/>
      </w:pPr>
      <w:rPr>
        <w:rFonts w:hint="default"/>
      </w:rPr>
    </w:lvl>
  </w:abstractNum>
  <w:abstractNum w:abstractNumId="12" w15:restartNumberingAfterBreak="0">
    <w:nsid w:val="1BBF2D2F"/>
    <w:multiLevelType w:val="multilevel"/>
    <w:tmpl w:val="D4C40B38"/>
    <w:numStyleLink w:val="GTNumberedHeadings"/>
  </w:abstractNum>
  <w:abstractNum w:abstractNumId="13"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4" w15:restartNumberingAfterBreak="0">
    <w:nsid w:val="2BE23D92"/>
    <w:multiLevelType w:val="multilevel"/>
    <w:tmpl w:val="EC9A7796"/>
    <w:styleLink w:val="GT3Numbering"/>
    <w:lvl w:ilvl="0">
      <w:start w:val="1"/>
      <w:numFmt w:val="decimal"/>
      <w:pStyle w:val="3Heading1"/>
      <w:lvlText w:val="%1"/>
      <w:lvlJc w:val="left"/>
      <w:pPr>
        <w:ind w:left="0" w:hanging="680"/>
      </w:pPr>
      <w:rPr>
        <w:rFonts w:hint="default"/>
      </w:rPr>
    </w:lvl>
    <w:lvl w:ilvl="1">
      <w:start w:val="1"/>
      <w:numFmt w:val="decimal"/>
      <w:pStyle w:val="3BodyText"/>
      <w:lvlText w:val="%1.%2"/>
      <w:lvlJc w:val="left"/>
      <w:pPr>
        <w:ind w:left="0" w:hanging="680"/>
      </w:pPr>
      <w:rPr>
        <w:rFonts w:hint="default"/>
      </w:rPr>
    </w:lvl>
    <w:lvl w:ilvl="2">
      <w:start w:val="1"/>
      <w:numFmt w:val="none"/>
      <w:lvlText w:val=""/>
      <w:lvlJc w:val="left"/>
      <w:pPr>
        <w:ind w:left="0" w:hanging="680"/>
      </w:pPr>
      <w:rPr>
        <w:rFonts w:hint="default"/>
      </w:rPr>
    </w:lvl>
    <w:lvl w:ilvl="3">
      <w:start w:val="1"/>
      <w:numFmt w:val="none"/>
      <w:lvlText w:val=""/>
      <w:lvlJc w:val="left"/>
      <w:pPr>
        <w:ind w:left="0" w:hanging="680"/>
      </w:pPr>
      <w:rPr>
        <w:rFonts w:hint="default"/>
      </w:rPr>
    </w:lvl>
    <w:lvl w:ilvl="4">
      <w:start w:val="1"/>
      <w:numFmt w:val="none"/>
      <w:lvlText w:val=""/>
      <w:lvlJc w:val="left"/>
      <w:pPr>
        <w:ind w:left="0" w:hanging="680"/>
      </w:pPr>
      <w:rPr>
        <w:rFonts w:hint="default"/>
      </w:rPr>
    </w:lvl>
    <w:lvl w:ilvl="5">
      <w:start w:val="1"/>
      <w:numFmt w:val="none"/>
      <w:lvlText w:val=""/>
      <w:lvlJc w:val="left"/>
      <w:pPr>
        <w:ind w:left="0" w:hanging="680"/>
      </w:pPr>
      <w:rPr>
        <w:rFonts w:hint="default"/>
      </w:rPr>
    </w:lvl>
    <w:lvl w:ilvl="6">
      <w:start w:val="1"/>
      <w:numFmt w:val="none"/>
      <w:lvlText w:val=""/>
      <w:lvlJc w:val="left"/>
      <w:pPr>
        <w:ind w:left="0" w:hanging="680"/>
      </w:pPr>
      <w:rPr>
        <w:rFonts w:hint="default"/>
      </w:rPr>
    </w:lvl>
    <w:lvl w:ilvl="7">
      <w:start w:val="1"/>
      <w:numFmt w:val="none"/>
      <w:lvlText w:val=""/>
      <w:lvlJc w:val="left"/>
      <w:pPr>
        <w:ind w:left="0" w:hanging="680"/>
      </w:pPr>
      <w:rPr>
        <w:rFonts w:hint="default"/>
      </w:rPr>
    </w:lvl>
    <w:lvl w:ilvl="8">
      <w:start w:val="1"/>
      <w:numFmt w:val="none"/>
      <w:lvlText w:val=""/>
      <w:lvlJc w:val="left"/>
      <w:pPr>
        <w:ind w:left="0" w:hanging="680"/>
      </w:pPr>
      <w:rPr>
        <w:rFonts w:hint="default"/>
      </w:rPr>
    </w:lvl>
  </w:abstractNum>
  <w:abstractNum w:abstractNumId="15" w15:restartNumberingAfterBreak="0">
    <w:nsid w:val="2CBA1488"/>
    <w:multiLevelType w:val="multilevel"/>
    <w:tmpl w:val="B44401EC"/>
    <w:styleLink w:val="GT2Numbering"/>
    <w:lvl w:ilvl="0">
      <w:start w:val="1"/>
      <w:numFmt w:val="decimal"/>
      <w:pStyle w:val="2SectionTitle"/>
      <w:lvlText w:val="%1"/>
      <w:lvlJc w:val="left"/>
      <w:pPr>
        <w:ind w:left="680" w:hanging="680"/>
      </w:pPr>
      <w:rPr>
        <w:rFonts w:hint="default"/>
      </w:rPr>
    </w:lvl>
    <w:lvl w:ilvl="1">
      <w:start w:val="1"/>
      <w:numFmt w:val="decimal"/>
      <w:pStyle w:val="2Heading1"/>
      <w:lvlText w:val="%1.%2"/>
      <w:lvlJc w:val="left"/>
      <w:pPr>
        <w:ind w:left="0" w:hanging="680"/>
      </w:pPr>
      <w:rPr>
        <w:rFonts w:hint="default"/>
      </w:rPr>
    </w:lvl>
    <w:lvl w:ilvl="2">
      <w:start w:val="1"/>
      <w:numFmt w:val="decimal"/>
      <w:pStyle w:val="2BodyText"/>
      <w:lvlText w:val="%1.%2.%3"/>
      <w:lvlJc w:val="left"/>
      <w:pPr>
        <w:ind w:left="0" w:hanging="680"/>
      </w:pPr>
      <w:rPr>
        <w:rFonts w:hint="default"/>
      </w:rPr>
    </w:lvl>
    <w:lvl w:ilvl="3">
      <w:start w:val="1"/>
      <w:numFmt w:val="none"/>
      <w:lvlText w:val=""/>
      <w:lvlJc w:val="left"/>
      <w:pPr>
        <w:ind w:left="0" w:hanging="680"/>
      </w:pPr>
      <w:rPr>
        <w:rFonts w:hint="default"/>
      </w:rPr>
    </w:lvl>
    <w:lvl w:ilvl="4">
      <w:start w:val="1"/>
      <w:numFmt w:val="none"/>
      <w:lvlText w:val=""/>
      <w:lvlJc w:val="left"/>
      <w:pPr>
        <w:ind w:left="0" w:hanging="680"/>
      </w:pPr>
      <w:rPr>
        <w:rFonts w:hint="default"/>
      </w:rPr>
    </w:lvl>
    <w:lvl w:ilvl="5">
      <w:start w:val="1"/>
      <w:numFmt w:val="none"/>
      <w:lvlText w:val=""/>
      <w:lvlJc w:val="left"/>
      <w:pPr>
        <w:ind w:left="0" w:hanging="680"/>
      </w:pPr>
      <w:rPr>
        <w:rFonts w:hint="default"/>
      </w:rPr>
    </w:lvl>
    <w:lvl w:ilvl="6">
      <w:start w:val="1"/>
      <w:numFmt w:val="none"/>
      <w:lvlText w:val=""/>
      <w:lvlJc w:val="left"/>
      <w:pPr>
        <w:ind w:left="0" w:hanging="680"/>
      </w:pPr>
      <w:rPr>
        <w:rFonts w:hint="default"/>
      </w:rPr>
    </w:lvl>
    <w:lvl w:ilvl="7">
      <w:start w:val="1"/>
      <w:numFmt w:val="none"/>
      <w:lvlText w:val=""/>
      <w:lvlJc w:val="left"/>
      <w:pPr>
        <w:ind w:left="0" w:hanging="680"/>
      </w:pPr>
      <w:rPr>
        <w:rFonts w:hint="default"/>
      </w:rPr>
    </w:lvl>
    <w:lvl w:ilvl="8">
      <w:start w:val="1"/>
      <w:numFmt w:val="none"/>
      <w:lvlText w:val=""/>
      <w:lvlJc w:val="left"/>
      <w:pPr>
        <w:ind w:left="0" w:hanging="680"/>
      </w:pPr>
      <w:rPr>
        <w:rFonts w:hint="default"/>
      </w:rPr>
    </w:lvl>
  </w:abstractNum>
  <w:abstractNum w:abstractNumId="16" w15:restartNumberingAfterBreak="0">
    <w:nsid w:val="2D2944EF"/>
    <w:multiLevelType w:val="multilevel"/>
    <w:tmpl w:val="092C3D8A"/>
    <w:styleLink w:val="GT1Numbering"/>
    <w:lvl w:ilvl="0">
      <w:start w:val="1"/>
      <w:numFmt w:val="decimal"/>
      <w:pStyle w:val="1SectionTitle"/>
      <w:lvlText w:val="%1"/>
      <w:lvlJc w:val="left"/>
      <w:pPr>
        <w:ind w:left="680" w:hanging="680"/>
      </w:pPr>
      <w:rPr>
        <w:rFonts w:hint="default"/>
      </w:rPr>
    </w:lvl>
    <w:lvl w:ilvl="1">
      <w:start w:val="1"/>
      <w:numFmt w:val="decimal"/>
      <w:pStyle w:val="1BodyText"/>
      <w:lvlText w:val="%1.%2"/>
      <w:lvlJc w:val="left"/>
      <w:pPr>
        <w:ind w:left="0" w:hanging="680"/>
      </w:pPr>
      <w:rPr>
        <w:rFonts w:hint="default"/>
      </w:rPr>
    </w:lvl>
    <w:lvl w:ilvl="2">
      <w:start w:val="1"/>
      <w:numFmt w:val="none"/>
      <w:lvlText w:val=""/>
      <w:lvlJc w:val="left"/>
      <w:pPr>
        <w:ind w:left="0" w:hanging="680"/>
      </w:pPr>
      <w:rPr>
        <w:rFonts w:hint="default"/>
      </w:rPr>
    </w:lvl>
    <w:lvl w:ilvl="3">
      <w:start w:val="1"/>
      <w:numFmt w:val="none"/>
      <w:lvlText w:val=""/>
      <w:lvlJc w:val="left"/>
      <w:pPr>
        <w:ind w:left="0" w:hanging="680"/>
      </w:pPr>
      <w:rPr>
        <w:rFonts w:hint="default"/>
      </w:rPr>
    </w:lvl>
    <w:lvl w:ilvl="4">
      <w:start w:val="1"/>
      <w:numFmt w:val="none"/>
      <w:lvlText w:val=""/>
      <w:lvlJc w:val="left"/>
      <w:pPr>
        <w:ind w:left="0" w:hanging="680"/>
      </w:pPr>
      <w:rPr>
        <w:rFonts w:hint="default"/>
      </w:rPr>
    </w:lvl>
    <w:lvl w:ilvl="5">
      <w:start w:val="1"/>
      <w:numFmt w:val="none"/>
      <w:lvlText w:val=""/>
      <w:lvlJc w:val="left"/>
      <w:pPr>
        <w:ind w:left="0" w:hanging="680"/>
      </w:pPr>
      <w:rPr>
        <w:rFonts w:hint="default"/>
      </w:rPr>
    </w:lvl>
    <w:lvl w:ilvl="6">
      <w:start w:val="1"/>
      <w:numFmt w:val="none"/>
      <w:lvlText w:val=""/>
      <w:lvlJc w:val="left"/>
      <w:pPr>
        <w:ind w:left="0" w:hanging="680"/>
      </w:pPr>
      <w:rPr>
        <w:rFonts w:hint="default"/>
      </w:rPr>
    </w:lvl>
    <w:lvl w:ilvl="7">
      <w:start w:val="1"/>
      <w:numFmt w:val="none"/>
      <w:lvlText w:val=""/>
      <w:lvlJc w:val="left"/>
      <w:pPr>
        <w:ind w:left="0" w:hanging="680"/>
      </w:pPr>
      <w:rPr>
        <w:rFonts w:hint="default"/>
      </w:rPr>
    </w:lvl>
    <w:lvl w:ilvl="8">
      <w:start w:val="1"/>
      <w:numFmt w:val="none"/>
      <w:lvlText w:val=""/>
      <w:lvlJc w:val="left"/>
      <w:pPr>
        <w:ind w:left="0" w:hanging="680"/>
      </w:pPr>
      <w:rPr>
        <w:rFonts w:hint="default"/>
      </w:rPr>
    </w:lvl>
  </w:abstractNum>
  <w:abstractNum w:abstractNumId="17" w15:restartNumberingAfterBreak="0">
    <w:nsid w:val="343D545A"/>
    <w:multiLevelType w:val="multilevel"/>
    <w:tmpl w:val="36A4806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E952A3E"/>
    <w:multiLevelType w:val="multilevel"/>
    <w:tmpl w:val="DA0A54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4943407"/>
    <w:multiLevelType w:val="multilevel"/>
    <w:tmpl w:val="0D689C22"/>
    <w:styleLink w:val="GTNumberedAppendices"/>
    <w:lvl w:ilvl="0">
      <w:start w:val="1"/>
      <w:numFmt w:val="upperLetter"/>
      <w:pStyle w:val="NumAppendixTitle"/>
      <w:lvlText w:val="%1"/>
      <w:lvlJc w:val="left"/>
      <w:pPr>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0" w15:restartNumberingAfterBreak="0">
    <w:nsid w:val="52BD6E2A"/>
    <w:multiLevelType w:val="multilevel"/>
    <w:tmpl w:val="8D8CB4F8"/>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1" w15:restartNumberingAfterBreak="0">
    <w:nsid w:val="58BE28BE"/>
    <w:multiLevelType w:val="hybridMultilevel"/>
    <w:tmpl w:val="E0FA6176"/>
    <w:lvl w:ilvl="0" w:tplc="22B020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31EFC"/>
    <w:multiLevelType w:val="multilevel"/>
    <w:tmpl w:val="9C526702"/>
    <w:numStyleLink w:val="GTNumberedLetterHeadings"/>
  </w:abstractNum>
  <w:abstractNum w:abstractNumId="23" w15:restartNumberingAfterBreak="0">
    <w:nsid w:val="608C172B"/>
    <w:multiLevelType w:val="multilevel"/>
    <w:tmpl w:val="293642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5" w15:restartNumberingAfterBreak="0">
    <w:nsid w:val="64A4241D"/>
    <w:multiLevelType w:val="hybridMultilevel"/>
    <w:tmpl w:val="30488DE0"/>
    <w:lvl w:ilvl="0" w:tplc="3CB66260">
      <w:start w:val="1"/>
      <w:numFmt w:val="bullet"/>
      <w:lvlText w:val=""/>
      <w:lvlJc w:val="left"/>
      <w:pPr>
        <w:tabs>
          <w:tab w:val="num" w:pos="432"/>
        </w:tabs>
        <w:ind w:left="432" w:hanging="432"/>
      </w:pPr>
      <w:rPr>
        <w:rFonts w:ascii="Wingdings" w:hAnsi="Wingdings" w:hint="default"/>
        <w:color w:val="4F2D7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7686162">
    <w:abstractNumId w:val="17"/>
  </w:num>
  <w:num w:numId="2" w16cid:durableId="107163307">
    <w:abstractNumId w:val="3"/>
  </w:num>
  <w:num w:numId="3" w16cid:durableId="1043871682">
    <w:abstractNumId w:val="2"/>
  </w:num>
  <w:num w:numId="4" w16cid:durableId="667903309">
    <w:abstractNumId w:val="1"/>
  </w:num>
  <w:num w:numId="5" w16cid:durableId="1992177202">
    <w:abstractNumId w:val="0"/>
  </w:num>
  <w:num w:numId="6" w16cid:durableId="1764837948">
    <w:abstractNumId w:val="10"/>
  </w:num>
  <w:num w:numId="7" w16cid:durableId="788745519">
    <w:abstractNumId w:val="22"/>
  </w:num>
  <w:num w:numId="8" w16cid:durableId="381712270">
    <w:abstractNumId w:val="16"/>
  </w:num>
  <w:num w:numId="9" w16cid:durableId="757024934">
    <w:abstractNumId w:val="15"/>
  </w:num>
  <w:num w:numId="10" w16cid:durableId="828836642">
    <w:abstractNumId w:val="14"/>
  </w:num>
  <w:num w:numId="11" w16cid:durableId="49350351">
    <w:abstractNumId w:val="24"/>
  </w:num>
  <w:num w:numId="12" w16cid:durableId="1473982311">
    <w:abstractNumId w:val="20"/>
  </w:num>
  <w:num w:numId="13" w16cid:durableId="1142312290">
    <w:abstractNumId w:val="19"/>
  </w:num>
  <w:num w:numId="14" w16cid:durableId="1761756453">
    <w:abstractNumId w:val="11"/>
  </w:num>
  <w:num w:numId="15" w16cid:durableId="1044015519">
    <w:abstractNumId w:val="7"/>
  </w:num>
  <w:num w:numId="16" w16cid:durableId="1522086607">
    <w:abstractNumId w:val="4"/>
  </w:num>
  <w:num w:numId="17" w16cid:durableId="634873173">
    <w:abstractNumId w:val="13"/>
  </w:num>
  <w:num w:numId="18" w16cid:durableId="312418294">
    <w:abstractNumId w:val="12"/>
  </w:num>
  <w:num w:numId="19" w16cid:durableId="1860511300">
    <w:abstractNumId w:val="9"/>
  </w:num>
  <w:num w:numId="20" w16cid:durableId="1766725734">
    <w:abstractNumId w:val="8"/>
  </w:num>
  <w:num w:numId="21" w16cid:durableId="890115430">
    <w:abstractNumId w:val="18"/>
  </w:num>
  <w:num w:numId="22" w16cid:durableId="2137749290">
    <w:abstractNumId w:val="23"/>
  </w:num>
  <w:num w:numId="23" w16cid:durableId="822503815">
    <w:abstractNumId w:val="25"/>
  </w:num>
  <w:num w:numId="24" w16cid:durableId="2119793966">
    <w:abstractNumId w:val="6"/>
  </w:num>
  <w:num w:numId="25" w16cid:durableId="1488205318">
    <w:abstractNumId w:val="5"/>
  </w:num>
  <w:num w:numId="26" w16cid:durableId="595670049">
    <w:abstractNumId w:val="21"/>
  </w:num>
  <w:num w:numId="27" w16cid:durableId="467285644">
    <w:abstractNumId w:val="12"/>
  </w:num>
  <w:num w:numId="28" w16cid:durableId="849611184">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A28" w:allStyles="0" w:customStyles="0" w:latentStyles="0" w:stylesInUse="1" w:headingStyles="1"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725F20"/>
    <w:rsid w:val="00007B57"/>
    <w:rsid w:val="000102E7"/>
    <w:rsid w:val="0001075F"/>
    <w:rsid w:val="00012683"/>
    <w:rsid w:val="00013749"/>
    <w:rsid w:val="00023BCC"/>
    <w:rsid w:val="00025576"/>
    <w:rsid w:val="000273B0"/>
    <w:rsid w:val="00035ABC"/>
    <w:rsid w:val="00035D4E"/>
    <w:rsid w:val="00036DAC"/>
    <w:rsid w:val="00037AF9"/>
    <w:rsid w:val="000404F2"/>
    <w:rsid w:val="00043BCC"/>
    <w:rsid w:val="000450E0"/>
    <w:rsid w:val="00057CE3"/>
    <w:rsid w:val="00060707"/>
    <w:rsid w:val="00063F2F"/>
    <w:rsid w:val="00065D66"/>
    <w:rsid w:val="000707AB"/>
    <w:rsid w:val="00071372"/>
    <w:rsid w:val="00074284"/>
    <w:rsid w:val="000750D6"/>
    <w:rsid w:val="00075825"/>
    <w:rsid w:val="00090857"/>
    <w:rsid w:val="000924CA"/>
    <w:rsid w:val="000925DD"/>
    <w:rsid w:val="00093B1B"/>
    <w:rsid w:val="000943E7"/>
    <w:rsid w:val="00097C0B"/>
    <w:rsid w:val="000A3919"/>
    <w:rsid w:val="000A4DFB"/>
    <w:rsid w:val="000A5471"/>
    <w:rsid w:val="000B05FC"/>
    <w:rsid w:val="000B3210"/>
    <w:rsid w:val="000B3DE5"/>
    <w:rsid w:val="000B3E49"/>
    <w:rsid w:val="000B5277"/>
    <w:rsid w:val="000B5E80"/>
    <w:rsid w:val="000C18EE"/>
    <w:rsid w:val="000C255A"/>
    <w:rsid w:val="000C283E"/>
    <w:rsid w:val="000C6BB1"/>
    <w:rsid w:val="000D1400"/>
    <w:rsid w:val="000D67FD"/>
    <w:rsid w:val="000E5778"/>
    <w:rsid w:val="000E58A2"/>
    <w:rsid w:val="000F121C"/>
    <w:rsid w:val="000F24FC"/>
    <w:rsid w:val="000F5999"/>
    <w:rsid w:val="000F7802"/>
    <w:rsid w:val="001052FE"/>
    <w:rsid w:val="00105843"/>
    <w:rsid w:val="00106064"/>
    <w:rsid w:val="00110538"/>
    <w:rsid w:val="00120851"/>
    <w:rsid w:val="001242BC"/>
    <w:rsid w:val="00126FCB"/>
    <w:rsid w:val="00130B7B"/>
    <w:rsid w:val="0013376F"/>
    <w:rsid w:val="00134396"/>
    <w:rsid w:val="001347BC"/>
    <w:rsid w:val="00135FFF"/>
    <w:rsid w:val="001366D0"/>
    <w:rsid w:val="001421C4"/>
    <w:rsid w:val="00143EB2"/>
    <w:rsid w:val="001460E7"/>
    <w:rsid w:val="001464D1"/>
    <w:rsid w:val="00150F49"/>
    <w:rsid w:val="00152AF9"/>
    <w:rsid w:val="001558F7"/>
    <w:rsid w:val="00155914"/>
    <w:rsid w:val="00160746"/>
    <w:rsid w:val="00163E8B"/>
    <w:rsid w:val="00164822"/>
    <w:rsid w:val="00165EF7"/>
    <w:rsid w:val="0016761C"/>
    <w:rsid w:val="00167CAC"/>
    <w:rsid w:val="001702CE"/>
    <w:rsid w:val="00170323"/>
    <w:rsid w:val="00171186"/>
    <w:rsid w:val="00174C19"/>
    <w:rsid w:val="00175F2F"/>
    <w:rsid w:val="001769C3"/>
    <w:rsid w:val="0018119E"/>
    <w:rsid w:val="00182453"/>
    <w:rsid w:val="0018474E"/>
    <w:rsid w:val="00187A66"/>
    <w:rsid w:val="0019072B"/>
    <w:rsid w:val="001921A0"/>
    <w:rsid w:val="00192CE7"/>
    <w:rsid w:val="00194070"/>
    <w:rsid w:val="0019475F"/>
    <w:rsid w:val="00195222"/>
    <w:rsid w:val="00197471"/>
    <w:rsid w:val="0019793F"/>
    <w:rsid w:val="001A1193"/>
    <w:rsid w:val="001A18F2"/>
    <w:rsid w:val="001A59D8"/>
    <w:rsid w:val="001B4810"/>
    <w:rsid w:val="001B485F"/>
    <w:rsid w:val="001B6557"/>
    <w:rsid w:val="001B6D3B"/>
    <w:rsid w:val="001C2F86"/>
    <w:rsid w:val="001C3763"/>
    <w:rsid w:val="001D22AD"/>
    <w:rsid w:val="001D56A1"/>
    <w:rsid w:val="001D5D48"/>
    <w:rsid w:val="001E0EEE"/>
    <w:rsid w:val="001E2758"/>
    <w:rsid w:val="001E3C0B"/>
    <w:rsid w:val="001E5B8A"/>
    <w:rsid w:val="001E6526"/>
    <w:rsid w:val="001E7FFB"/>
    <w:rsid w:val="001F1AF0"/>
    <w:rsid w:val="001F31E6"/>
    <w:rsid w:val="001F52F9"/>
    <w:rsid w:val="001F5787"/>
    <w:rsid w:val="002025D9"/>
    <w:rsid w:val="00203B9A"/>
    <w:rsid w:val="002041CF"/>
    <w:rsid w:val="00205F8C"/>
    <w:rsid w:val="0020781F"/>
    <w:rsid w:val="00210EA1"/>
    <w:rsid w:val="00211CDD"/>
    <w:rsid w:val="00212B5B"/>
    <w:rsid w:val="00213CCB"/>
    <w:rsid w:val="0021733D"/>
    <w:rsid w:val="002236F7"/>
    <w:rsid w:val="00223C38"/>
    <w:rsid w:val="00225B84"/>
    <w:rsid w:val="002278BC"/>
    <w:rsid w:val="00231A38"/>
    <w:rsid w:val="00232894"/>
    <w:rsid w:val="002369F4"/>
    <w:rsid w:val="002376BD"/>
    <w:rsid w:val="002379CC"/>
    <w:rsid w:val="00237BD1"/>
    <w:rsid w:val="00240935"/>
    <w:rsid w:val="00240B62"/>
    <w:rsid w:val="002421D3"/>
    <w:rsid w:val="00244494"/>
    <w:rsid w:val="00245B2E"/>
    <w:rsid w:val="002508B2"/>
    <w:rsid w:val="00252BDE"/>
    <w:rsid w:val="00254B3A"/>
    <w:rsid w:val="00256368"/>
    <w:rsid w:val="0025712C"/>
    <w:rsid w:val="002578FF"/>
    <w:rsid w:val="00257FF8"/>
    <w:rsid w:val="0026128C"/>
    <w:rsid w:val="00262326"/>
    <w:rsid w:val="0026290B"/>
    <w:rsid w:val="002633D1"/>
    <w:rsid w:val="00271B1E"/>
    <w:rsid w:val="00280FFB"/>
    <w:rsid w:val="00282436"/>
    <w:rsid w:val="002855E2"/>
    <w:rsid w:val="002861F4"/>
    <w:rsid w:val="00286F3E"/>
    <w:rsid w:val="00290DE3"/>
    <w:rsid w:val="002940CA"/>
    <w:rsid w:val="00295948"/>
    <w:rsid w:val="002968AD"/>
    <w:rsid w:val="00296E37"/>
    <w:rsid w:val="00296F86"/>
    <w:rsid w:val="0029744D"/>
    <w:rsid w:val="002A002C"/>
    <w:rsid w:val="002A0D2F"/>
    <w:rsid w:val="002A13EE"/>
    <w:rsid w:val="002A2001"/>
    <w:rsid w:val="002A2FB2"/>
    <w:rsid w:val="002A6904"/>
    <w:rsid w:val="002B02BC"/>
    <w:rsid w:val="002B0778"/>
    <w:rsid w:val="002B0F9F"/>
    <w:rsid w:val="002B15C5"/>
    <w:rsid w:val="002B3383"/>
    <w:rsid w:val="002C25A9"/>
    <w:rsid w:val="002C33D0"/>
    <w:rsid w:val="002C7CCE"/>
    <w:rsid w:val="002D0E7D"/>
    <w:rsid w:val="002D1802"/>
    <w:rsid w:val="002D1B7D"/>
    <w:rsid w:val="002D2DC5"/>
    <w:rsid w:val="002D6ECB"/>
    <w:rsid w:val="002E0702"/>
    <w:rsid w:val="002E133E"/>
    <w:rsid w:val="002E6463"/>
    <w:rsid w:val="002F2027"/>
    <w:rsid w:val="002F5204"/>
    <w:rsid w:val="00300833"/>
    <w:rsid w:val="003013E5"/>
    <w:rsid w:val="00302DD6"/>
    <w:rsid w:val="00310BE4"/>
    <w:rsid w:val="00320D06"/>
    <w:rsid w:val="00322764"/>
    <w:rsid w:val="00323847"/>
    <w:rsid w:val="00326F7F"/>
    <w:rsid w:val="00327EB1"/>
    <w:rsid w:val="00330295"/>
    <w:rsid w:val="00332709"/>
    <w:rsid w:val="00333F11"/>
    <w:rsid w:val="00335782"/>
    <w:rsid w:val="00335AEB"/>
    <w:rsid w:val="00337D0D"/>
    <w:rsid w:val="00344313"/>
    <w:rsid w:val="003462D8"/>
    <w:rsid w:val="0034676A"/>
    <w:rsid w:val="00352F8B"/>
    <w:rsid w:val="00354A1D"/>
    <w:rsid w:val="00355E7D"/>
    <w:rsid w:val="0035609E"/>
    <w:rsid w:val="00360FE5"/>
    <w:rsid w:val="00362591"/>
    <w:rsid w:val="00362D59"/>
    <w:rsid w:val="003704CE"/>
    <w:rsid w:val="003710DD"/>
    <w:rsid w:val="003720FC"/>
    <w:rsid w:val="003762FC"/>
    <w:rsid w:val="00381F01"/>
    <w:rsid w:val="00382B4C"/>
    <w:rsid w:val="003864D7"/>
    <w:rsid w:val="00387AB3"/>
    <w:rsid w:val="00387F2F"/>
    <w:rsid w:val="00390019"/>
    <w:rsid w:val="00390025"/>
    <w:rsid w:val="00391E07"/>
    <w:rsid w:val="003953E7"/>
    <w:rsid w:val="003A3DC5"/>
    <w:rsid w:val="003A58CB"/>
    <w:rsid w:val="003A5B21"/>
    <w:rsid w:val="003B3BBA"/>
    <w:rsid w:val="003B5657"/>
    <w:rsid w:val="003C2544"/>
    <w:rsid w:val="003C2973"/>
    <w:rsid w:val="003D0B36"/>
    <w:rsid w:val="003D12EF"/>
    <w:rsid w:val="003D4775"/>
    <w:rsid w:val="003E191E"/>
    <w:rsid w:val="003E2A30"/>
    <w:rsid w:val="003E689D"/>
    <w:rsid w:val="003F08CD"/>
    <w:rsid w:val="003F13C0"/>
    <w:rsid w:val="003F17F1"/>
    <w:rsid w:val="003F744B"/>
    <w:rsid w:val="00400DFB"/>
    <w:rsid w:val="00401141"/>
    <w:rsid w:val="00401CB2"/>
    <w:rsid w:val="0040283E"/>
    <w:rsid w:val="0040702A"/>
    <w:rsid w:val="00407FBE"/>
    <w:rsid w:val="00410B33"/>
    <w:rsid w:val="00411700"/>
    <w:rsid w:val="00411E4F"/>
    <w:rsid w:val="00413BF4"/>
    <w:rsid w:val="004171BA"/>
    <w:rsid w:val="00417ABD"/>
    <w:rsid w:val="00423D5B"/>
    <w:rsid w:val="00424F6C"/>
    <w:rsid w:val="00425244"/>
    <w:rsid w:val="0042721A"/>
    <w:rsid w:val="0043161C"/>
    <w:rsid w:val="00435978"/>
    <w:rsid w:val="00435EA1"/>
    <w:rsid w:val="00437F6A"/>
    <w:rsid w:val="00441D97"/>
    <w:rsid w:val="00443CE8"/>
    <w:rsid w:val="004503F6"/>
    <w:rsid w:val="00452A36"/>
    <w:rsid w:val="004539D5"/>
    <w:rsid w:val="00454BC5"/>
    <w:rsid w:val="00456E84"/>
    <w:rsid w:val="004577D8"/>
    <w:rsid w:val="00461097"/>
    <w:rsid w:val="00462B97"/>
    <w:rsid w:val="00471150"/>
    <w:rsid w:val="00471347"/>
    <w:rsid w:val="00476FEE"/>
    <w:rsid w:val="00481F79"/>
    <w:rsid w:val="00487079"/>
    <w:rsid w:val="00490A4C"/>
    <w:rsid w:val="00490C4D"/>
    <w:rsid w:val="00493FC1"/>
    <w:rsid w:val="004943AB"/>
    <w:rsid w:val="004952F5"/>
    <w:rsid w:val="004957A1"/>
    <w:rsid w:val="004961AF"/>
    <w:rsid w:val="004969DF"/>
    <w:rsid w:val="00496E3A"/>
    <w:rsid w:val="004A101F"/>
    <w:rsid w:val="004A4062"/>
    <w:rsid w:val="004A5FD0"/>
    <w:rsid w:val="004A652A"/>
    <w:rsid w:val="004A6C7F"/>
    <w:rsid w:val="004B0113"/>
    <w:rsid w:val="004B348B"/>
    <w:rsid w:val="004B4A84"/>
    <w:rsid w:val="004C1FE9"/>
    <w:rsid w:val="004C2441"/>
    <w:rsid w:val="004C41CB"/>
    <w:rsid w:val="004C4390"/>
    <w:rsid w:val="004C495F"/>
    <w:rsid w:val="004D18B1"/>
    <w:rsid w:val="004D1EB2"/>
    <w:rsid w:val="004D3AB3"/>
    <w:rsid w:val="004D4CC2"/>
    <w:rsid w:val="004D5A35"/>
    <w:rsid w:val="004D62B0"/>
    <w:rsid w:val="004D7A94"/>
    <w:rsid w:val="004E3A82"/>
    <w:rsid w:val="004E5C11"/>
    <w:rsid w:val="004E5F46"/>
    <w:rsid w:val="004F153B"/>
    <w:rsid w:val="004F415F"/>
    <w:rsid w:val="004F6078"/>
    <w:rsid w:val="00503699"/>
    <w:rsid w:val="00506E14"/>
    <w:rsid w:val="0051345D"/>
    <w:rsid w:val="00513654"/>
    <w:rsid w:val="00513853"/>
    <w:rsid w:val="00514B1E"/>
    <w:rsid w:val="0051765E"/>
    <w:rsid w:val="005216D3"/>
    <w:rsid w:val="00523CD5"/>
    <w:rsid w:val="005240BC"/>
    <w:rsid w:val="0052705B"/>
    <w:rsid w:val="005272FA"/>
    <w:rsid w:val="0053240F"/>
    <w:rsid w:val="005329D5"/>
    <w:rsid w:val="00537653"/>
    <w:rsid w:val="00537DC9"/>
    <w:rsid w:val="00544AB1"/>
    <w:rsid w:val="00544B08"/>
    <w:rsid w:val="00546297"/>
    <w:rsid w:val="00547CAA"/>
    <w:rsid w:val="00547E43"/>
    <w:rsid w:val="00550C86"/>
    <w:rsid w:val="005522B9"/>
    <w:rsid w:val="00553170"/>
    <w:rsid w:val="00556127"/>
    <w:rsid w:val="00560836"/>
    <w:rsid w:val="005609B1"/>
    <w:rsid w:val="00561C73"/>
    <w:rsid w:val="005625F5"/>
    <w:rsid w:val="005662E1"/>
    <w:rsid w:val="005703FC"/>
    <w:rsid w:val="00571B7B"/>
    <w:rsid w:val="00574A94"/>
    <w:rsid w:val="00574BCD"/>
    <w:rsid w:val="005803B2"/>
    <w:rsid w:val="00582F19"/>
    <w:rsid w:val="005833FA"/>
    <w:rsid w:val="0058457A"/>
    <w:rsid w:val="00585D4B"/>
    <w:rsid w:val="00587769"/>
    <w:rsid w:val="0059221B"/>
    <w:rsid w:val="005961A8"/>
    <w:rsid w:val="00596A1E"/>
    <w:rsid w:val="005A066F"/>
    <w:rsid w:val="005A1644"/>
    <w:rsid w:val="005A377E"/>
    <w:rsid w:val="005A3DD2"/>
    <w:rsid w:val="005A48BF"/>
    <w:rsid w:val="005A5373"/>
    <w:rsid w:val="005A61D0"/>
    <w:rsid w:val="005A64E7"/>
    <w:rsid w:val="005A78FF"/>
    <w:rsid w:val="005A7EE1"/>
    <w:rsid w:val="005B25CF"/>
    <w:rsid w:val="005B65D4"/>
    <w:rsid w:val="005B7A11"/>
    <w:rsid w:val="005C18ED"/>
    <w:rsid w:val="005C1C5A"/>
    <w:rsid w:val="005C292A"/>
    <w:rsid w:val="005C6CDE"/>
    <w:rsid w:val="005C6CFD"/>
    <w:rsid w:val="005C705F"/>
    <w:rsid w:val="005C7078"/>
    <w:rsid w:val="005D397C"/>
    <w:rsid w:val="005D4C04"/>
    <w:rsid w:val="005D4FBF"/>
    <w:rsid w:val="005D5A4E"/>
    <w:rsid w:val="005D76E4"/>
    <w:rsid w:val="005D7A26"/>
    <w:rsid w:val="005E29C9"/>
    <w:rsid w:val="005E7987"/>
    <w:rsid w:val="005F0F54"/>
    <w:rsid w:val="005F248E"/>
    <w:rsid w:val="005F43FB"/>
    <w:rsid w:val="005F6475"/>
    <w:rsid w:val="005F6CB2"/>
    <w:rsid w:val="005F7AEB"/>
    <w:rsid w:val="005F7C6B"/>
    <w:rsid w:val="006002C2"/>
    <w:rsid w:val="00603A9B"/>
    <w:rsid w:val="00604A4A"/>
    <w:rsid w:val="00607258"/>
    <w:rsid w:val="0061310F"/>
    <w:rsid w:val="0061511C"/>
    <w:rsid w:val="00617718"/>
    <w:rsid w:val="006200EC"/>
    <w:rsid w:val="00620301"/>
    <w:rsid w:val="006220A6"/>
    <w:rsid w:val="006256CC"/>
    <w:rsid w:val="00626A36"/>
    <w:rsid w:val="006311B1"/>
    <w:rsid w:val="0063412F"/>
    <w:rsid w:val="00634500"/>
    <w:rsid w:val="00634E44"/>
    <w:rsid w:val="00640F44"/>
    <w:rsid w:val="00641B83"/>
    <w:rsid w:val="0064243D"/>
    <w:rsid w:val="0064283A"/>
    <w:rsid w:val="00642CA0"/>
    <w:rsid w:val="0064317C"/>
    <w:rsid w:val="0065033C"/>
    <w:rsid w:val="00653A0D"/>
    <w:rsid w:val="006557D5"/>
    <w:rsid w:val="00660663"/>
    <w:rsid w:val="00662B0E"/>
    <w:rsid w:val="0066440E"/>
    <w:rsid w:val="0066526C"/>
    <w:rsid w:val="006674B6"/>
    <w:rsid w:val="0067077B"/>
    <w:rsid w:val="00671BEA"/>
    <w:rsid w:val="00671CF8"/>
    <w:rsid w:val="00672610"/>
    <w:rsid w:val="00676002"/>
    <w:rsid w:val="0068059B"/>
    <w:rsid w:val="006805D5"/>
    <w:rsid w:val="00686A7E"/>
    <w:rsid w:val="006909F2"/>
    <w:rsid w:val="00690BC7"/>
    <w:rsid w:val="00690DF4"/>
    <w:rsid w:val="00691E7A"/>
    <w:rsid w:val="006952D0"/>
    <w:rsid w:val="006A13C7"/>
    <w:rsid w:val="006A1C5B"/>
    <w:rsid w:val="006A2587"/>
    <w:rsid w:val="006A2AD0"/>
    <w:rsid w:val="006A713C"/>
    <w:rsid w:val="006B0FDF"/>
    <w:rsid w:val="006B3575"/>
    <w:rsid w:val="006B7B28"/>
    <w:rsid w:val="006B7CD1"/>
    <w:rsid w:val="006C0B8A"/>
    <w:rsid w:val="006C3454"/>
    <w:rsid w:val="006C4300"/>
    <w:rsid w:val="006C54B4"/>
    <w:rsid w:val="006D13D2"/>
    <w:rsid w:val="006D261E"/>
    <w:rsid w:val="006D4BFE"/>
    <w:rsid w:val="006E07FD"/>
    <w:rsid w:val="006E26B2"/>
    <w:rsid w:val="006E3473"/>
    <w:rsid w:val="006E542A"/>
    <w:rsid w:val="006E599F"/>
    <w:rsid w:val="006F7C0D"/>
    <w:rsid w:val="0070241B"/>
    <w:rsid w:val="00702559"/>
    <w:rsid w:val="00705371"/>
    <w:rsid w:val="00706CA2"/>
    <w:rsid w:val="00711844"/>
    <w:rsid w:val="0071189B"/>
    <w:rsid w:val="00715888"/>
    <w:rsid w:val="00720AAC"/>
    <w:rsid w:val="00721EE3"/>
    <w:rsid w:val="00725F20"/>
    <w:rsid w:val="00730EFC"/>
    <w:rsid w:val="00732F93"/>
    <w:rsid w:val="00733C42"/>
    <w:rsid w:val="007343B8"/>
    <w:rsid w:val="007361DE"/>
    <w:rsid w:val="007364BC"/>
    <w:rsid w:val="00740DDB"/>
    <w:rsid w:val="007413FA"/>
    <w:rsid w:val="00744D1A"/>
    <w:rsid w:val="0074694A"/>
    <w:rsid w:val="0074699B"/>
    <w:rsid w:val="007471D7"/>
    <w:rsid w:val="0075362C"/>
    <w:rsid w:val="007547EB"/>
    <w:rsid w:val="00755C86"/>
    <w:rsid w:val="00760189"/>
    <w:rsid w:val="00765170"/>
    <w:rsid w:val="007679BA"/>
    <w:rsid w:val="00771A80"/>
    <w:rsid w:val="007753CD"/>
    <w:rsid w:val="00776338"/>
    <w:rsid w:val="00783BA3"/>
    <w:rsid w:val="00786789"/>
    <w:rsid w:val="00796E54"/>
    <w:rsid w:val="00797B22"/>
    <w:rsid w:val="007A17B8"/>
    <w:rsid w:val="007A3144"/>
    <w:rsid w:val="007A3421"/>
    <w:rsid w:val="007A4696"/>
    <w:rsid w:val="007A6E95"/>
    <w:rsid w:val="007B0381"/>
    <w:rsid w:val="007B1BB2"/>
    <w:rsid w:val="007B2B6F"/>
    <w:rsid w:val="007B307A"/>
    <w:rsid w:val="007B3A33"/>
    <w:rsid w:val="007B5B3A"/>
    <w:rsid w:val="007B63BB"/>
    <w:rsid w:val="007B67FC"/>
    <w:rsid w:val="007B6FE6"/>
    <w:rsid w:val="007B7B61"/>
    <w:rsid w:val="007C25FF"/>
    <w:rsid w:val="007C2763"/>
    <w:rsid w:val="007C2E42"/>
    <w:rsid w:val="007C335A"/>
    <w:rsid w:val="007C3B80"/>
    <w:rsid w:val="007D0274"/>
    <w:rsid w:val="007D28B8"/>
    <w:rsid w:val="007D5956"/>
    <w:rsid w:val="007E0C55"/>
    <w:rsid w:val="007E2DCC"/>
    <w:rsid w:val="007E47F5"/>
    <w:rsid w:val="007F0494"/>
    <w:rsid w:val="007F27BF"/>
    <w:rsid w:val="007F58F4"/>
    <w:rsid w:val="007F7FAC"/>
    <w:rsid w:val="008012A2"/>
    <w:rsid w:val="0080160F"/>
    <w:rsid w:val="00801676"/>
    <w:rsid w:val="00801782"/>
    <w:rsid w:val="00802A4B"/>
    <w:rsid w:val="008062BD"/>
    <w:rsid w:val="008113BA"/>
    <w:rsid w:val="008133F0"/>
    <w:rsid w:val="00814613"/>
    <w:rsid w:val="00815CCE"/>
    <w:rsid w:val="00815E65"/>
    <w:rsid w:val="00816FFB"/>
    <w:rsid w:val="008204EB"/>
    <w:rsid w:val="008204F0"/>
    <w:rsid w:val="00820DDF"/>
    <w:rsid w:val="00821088"/>
    <w:rsid w:val="0082414E"/>
    <w:rsid w:val="0082460A"/>
    <w:rsid w:val="00824BBE"/>
    <w:rsid w:val="00834146"/>
    <w:rsid w:val="00834F05"/>
    <w:rsid w:val="00835B1D"/>
    <w:rsid w:val="00835BE7"/>
    <w:rsid w:val="00837726"/>
    <w:rsid w:val="00840490"/>
    <w:rsid w:val="008404BE"/>
    <w:rsid w:val="0084099F"/>
    <w:rsid w:val="00843050"/>
    <w:rsid w:val="008430FA"/>
    <w:rsid w:val="00843CFF"/>
    <w:rsid w:val="00851133"/>
    <w:rsid w:val="00860B2A"/>
    <w:rsid w:val="00860C3E"/>
    <w:rsid w:val="0086113E"/>
    <w:rsid w:val="00861600"/>
    <w:rsid w:val="00863691"/>
    <w:rsid w:val="008645CA"/>
    <w:rsid w:val="0087203D"/>
    <w:rsid w:val="00874C1C"/>
    <w:rsid w:val="0087627A"/>
    <w:rsid w:val="00876329"/>
    <w:rsid w:val="0087689F"/>
    <w:rsid w:val="008830CE"/>
    <w:rsid w:val="008864A4"/>
    <w:rsid w:val="0089338D"/>
    <w:rsid w:val="00893520"/>
    <w:rsid w:val="008A1CD0"/>
    <w:rsid w:val="008A52C4"/>
    <w:rsid w:val="008B0B4F"/>
    <w:rsid w:val="008B15F7"/>
    <w:rsid w:val="008B2749"/>
    <w:rsid w:val="008B3AAD"/>
    <w:rsid w:val="008B4FBA"/>
    <w:rsid w:val="008B6276"/>
    <w:rsid w:val="008B6CA2"/>
    <w:rsid w:val="008B7691"/>
    <w:rsid w:val="008C00DF"/>
    <w:rsid w:val="008C0FD0"/>
    <w:rsid w:val="008C3392"/>
    <w:rsid w:val="008C5F93"/>
    <w:rsid w:val="008D40EE"/>
    <w:rsid w:val="008D520F"/>
    <w:rsid w:val="008D7A28"/>
    <w:rsid w:val="008E09B1"/>
    <w:rsid w:val="008E20E9"/>
    <w:rsid w:val="008F082E"/>
    <w:rsid w:val="008F2213"/>
    <w:rsid w:val="008F275A"/>
    <w:rsid w:val="008F4CAA"/>
    <w:rsid w:val="008F7486"/>
    <w:rsid w:val="00901A76"/>
    <w:rsid w:val="0090486B"/>
    <w:rsid w:val="00905700"/>
    <w:rsid w:val="00907933"/>
    <w:rsid w:val="00907D10"/>
    <w:rsid w:val="009141EF"/>
    <w:rsid w:val="00920C4A"/>
    <w:rsid w:val="00921688"/>
    <w:rsid w:val="009220E5"/>
    <w:rsid w:val="009234AB"/>
    <w:rsid w:val="00923A87"/>
    <w:rsid w:val="00925EC7"/>
    <w:rsid w:val="00926A76"/>
    <w:rsid w:val="00926FDF"/>
    <w:rsid w:val="00934CCA"/>
    <w:rsid w:val="00937590"/>
    <w:rsid w:val="00937A6B"/>
    <w:rsid w:val="00937D3C"/>
    <w:rsid w:val="009430B5"/>
    <w:rsid w:val="00944454"/>
    <w:rsid w:val="00944A04"/>
    <w:rsid w:val="00947FA4"/>
    <w:rsid w:val="0095491F"/>
    <w:rsid w:val="009577AC"/>
    <w:rsid w:val="00960077"/>
    <w:rsid w:val="009623AD"/>
    <w:rsid w:val="00962ECF"/>
    <w:rsid w:val="00966102"/>
    <w:rsid w:val="00966490"/>
    <w:rsid w:val="00971830"/>
    <w:rsid w:val="00972909"/>
    <w:rsid w:val="00974777"/>
    <w:rsid w:val="00975A6C"/>
    <w:rsid w:val="009763D4"/>
    <w:rsid w:val="00980EDD"/>
    <w:rsid w:val="009825C1"/>
    <w:rsid w:val="00982D88"/>
    <w:rsid w:val="009854CA"/>
    <w:rsid w:val="00993681"/>
    <w:rsid w:val="0099487D"/>
    <w:rsid w:val="00994A39"/>
    <w:rsid w:val="00994ECE"/>
    <w:rsid w:val="009954BB"/>
    <w:rsid w:val="00997924"/>
    <w:rsid w:val="009A0405"/>
    <w:rsid w:val="009A4314"/>
    <w:rsid w:val="009A57EC"/>
    <w:rsid w:val="009B0750"/>
    <w:rsid w:val="009B2858"/>
    <w:rsid w:val="009B2B1B"/>
    <w:rsid w:val="009B5130"/>
    <w:rsid w:val="009C0F6D"/>
    <w:rsid w:val="009C221C"/>
    <w:rsid w:val="009C22EF"/>
    <w:rsid w:val="009C33E1"/>
    <w:rsid w:val="009C3FA4"/>
    <w:rsid w:val="009C7EB6"/>
    <w:rsid w:val="009D12D8"/>
    <w:rsid w:val="009D5266"/>
    <w:rsid w:val="009E17E4"/>
    <w:rsid w:val="009E2593"/>
    <w:rsid w:val="009E3A22"/>
    <w:rsid w:val="009E53E7"/>
    <w:rsid w:val="009E58F2"/>
    <w:rsid w:val="009E6A78"/>
    <w:rsid w:val="009E7CB7"/>
    <w:rsid w:val="009F2D27"/>
    <w:rsid w:val="009F5EF5"/>
    <w:rsid w:val="009F7EC2"/>
    <w:rsid w:val="00A02F14"/>
    <w:rsid w:val="00A02F95"/>
    <w:rsid w:val="00A038EF"/>
    <w:rsid w:val="00A12CF7"/>
    <w:rsid w:val="00A12FF3"/>
    <w:rsid w:val="00A1326C"/>
    <w:rsid w:val="00A253B0"/>
    <w:rsid w:val="00A3347F"/>
    <w:rsid w:val="00A3423F"/>
    <w:rsid w:val="00A35137"/>
    <w:rsid w:val="00A37920"/>
    <w:rsid w:val="00A407D3"/>
    <w:rsid w:val="00A41464"/>
    <w:rsid w:val="00A416A3"/>
    <w:rsid w:val="00A4254B"/>
    <w:rsid w:val="00A45B6F"/>
    <w:rsid w:val="00A46264"/>
    <w:rsid w:val="00A504C6"/>
    <w:rsid w:val="00A51555"/>
    <w:rsid w:val="00A51985"/>
    <w:rsid w:val="00A54401"/>
    <w:rsid w:val="00A54E99"/>
    <w:rsid w:val="00A561E1"/>
    <w:rsid w:val="00A62A20"/>
    <w:rsid w:val="00A721BC"/>
    <w:rsid w:val="00A77277"/>
    <w:rsid w:val="00A82803"/>
    <w:rsid w:val="00A87763"/>
    <w:rsid w:val="00A90A23"/>
    <w:rsid w:val="00A94FA0"/>
    <w:rsid w:val="00A95EF4"/>
    <w:rsid w:val="00AA221B"/>
    <w:rsid w:val="00AA2F84"/>
    <w:rsid w:val="00AA3C3B"/>
    <w:rsid w:val="00AA49C8"/>
    <w:rsid w:val="00AA64B1"/>
    <w:rsid w:val="00AB080A"/>
    <w:rsid w:val="00AB38BE"/>
    <w:rsid w:val="00AB4AE5"/>
    <w:rsid w:val="00AC415B"/>
    <w:rsid w:val="00AC797B"/>
    <w:rsid w:val="00AD2F7E"/>
    <w:rsid w:val="00AD304F"/>
    <w:rsid w:val="00AD5178"/>
    <w:rsid w:val="00AD6088"/>
    <w:rsid w:val="00AE2D8C"/>
    <w:rsid w:val="00AE4B96"/>
    <w:rsid w:val="00AE4EFA"/>
    <w:rsid w:val="00AE6A04"/>
    <w:rsid w:val="00AF03BD"/>
    <w:rsid w:val="00AF7157"/>
    <w:rsid w:val="00B0084F"/>
    <w:rsid w:val="00B03481"/>
    <w:rsid w:val="00B04BC4"/>
    <w:rsid w:val="00B06262"/>
    <w:rsid w:val="00B1118C"/>
    <w:rsid w:val="00B12D1D"/>
    <w:rsid w:val="00B22516"/>
    <w:rsid w:val="00B248F1"/>
    <w:rsid w:val="00B26142"/>
    <w:rsid w:val="00B30B06"/>
    <w:rsid w:val="00B3132F"/>
    <w:rsid w:val="00B40161"/>
    <w:rsid w:val="00B44A32"/>
    <w:rsid w:val="00B4561F"/>
    <w:rsid w:val="00B461E9"/>
    <w:rsid w:val="00B4771B"/>
    <w:rsid w:val="00B51315"/>
    <w:rsid w:val="00B5367F"/>
    <w:rsid w:val="00B5375C"/>
    <w:rsid w:val="00B553D1"/>
    <w:rsid w:val="00B57ADB"/>
    <w:rsid w:val="00B62184"/>
    <w:rsid w:val="00B62EB7"/>
    <w:rsid w:val="00B645D5"/>
    <w:rsid w:val="00B66371"/>
    <w:rsid w:val="00B76194"/>
    <w:rsid w:val="00B776DC"/>
    <w:rsid w:val="00B83673"/>
    <w:rsid w:val="00B84FBD"/>
    <w:rsid w:val="00B8501D"/>
    <w:rsid w:val="00B87ADF"/>
    <w:rsid w:val="00B90724"/>
    <w:rsid w:val="00B92C37"/>
    <w:rsid w:val="00B9486E"/>
    <w:rsid w:val="00B95168"/>
    <w:rsid w:val="00BA0212"/>
    <w:rsid w:val="00BA090E"/>
    <w:rsid w:val="00BA3738"/>
    <w:rsid w:val="00BA5712"/>
    <w:rsid w:val="00BB7A49"/>
    <w:rsid w:val="00BC1067"/>
    <w:rsid w:val="00BC38DF"/>
    <w:rsid w:val="00BD05A2"/>
    <w:rsid w:val="00BD0CFC"/>
    <w:rsid w:val="00BD2FF2"/>
    <w:rsid w:val="00BD4D0B"/>
    <w:rsid w:val="00BD60DE"/>
    <w:rsid w:val="00BD695D"/>
    <w:rsid w:val="00BE06BE"/>
    <w:rsid w:val="00BE2AF3"/>
    <w:rsid w:val="00BE3B95"/>
    <w:rsid w:val="00BE63F9"/>
    <w:rsid w:val="00BE7717"/>
    <w:rsid w:val="00BF2BDB"/>
    <w:rsid w:val="00BF2BFC"/>
    <w:rsid w:val="00BF38DF"/>
    <w:rsid w:val="00BF7621"/>
    <w:rsid w:val="00C00726"/>
    <w:rsid w:val="00C029DC"/>
    <w:rsid w:val="00C04C87"/>
    <w:rsid w:val="00C05DFE"/>
    <w:rsid w:val="00C06586"/>
    <w:rsid w:val="00C065F5"/>
    <w:rsid w:val="00C07E8D"/>
    <w:rsid w:val="00C1089A"/>
    <w:rsid w:val="00C10EF2"/>
    <w:rsid w:val="00C13906"/>
    <w:rsid w:val="00C15B49"/>
    <w:rsid w:val="00C21C3A"/>
    <w:rsid w:val="00C26532"/>
    <w:rsid w:val="00C32C7E"/>
    <w:rsid w:val="00C368E6"/>
    <w:rsid w:val="00C37C3D"/>
    <w:rsid w:val="00C40A43"/>
    <w:rsid w:val="00C437B3"/>
    <w:rsid w:val="00C4637C"/>
    <w:rsid w:val="00C464BA"/>
    <w:rsid w:val="00C478E8"/>
    <w:rsid w:val="00C47E27"/>
    <w:rsid w:val="00C50962"/>
    <w:rsid w:val="00C550F0"/>
    <w:rsid w:val="00C61A3A"/>
    <w:rsid w:val="00C6203E"/>
    <w:rsid w:val="00C636E8"/>
    <w:rsid w:val="00C655EE"/>
    <w:rsid w:val="00C7575E"/>
    <w:rsid w:val="00C77D03"/>
    <w:rsid w:val="00C8073C"/>
    <w:rsid w:val="00C86BA9"/>
    <w:rsid w:val="00C913A8"/>
    <w:rsid w:val="00C9351B"/>
    <w:rsid w:val="00C94816"/>
    <w:rsid w:val="00C94ED7"/>
    <w:rsid w:val="00C95975"/>
    <w:rsid w:val="00C97335"/>
    <w:rsid w:val="00CA00D8"/>
    <w:rsid w:val="00CA1ECD"/>
    <w:rsid w:val="00CA271A"/>
    <w:rsid w:val="00CA5E8E"/>
    <w:rsid w:val="00CA7B49"/>
    <w:rsid w:val="00CA7C3D"/>
    <w:rsid w:val="00CB29C3"/>
    <w:rsid w:val="00CB3520"/>
    <w:rsid w:val="00CB387B"/>
    <w:rsid w:val="00CB61CE"/>
    <w:rsid w:val="00CB6215"/>
    <w:rsid w:val="00CB724B"/>
    <w:rsid w:val="00CB7D2A"/>
    <w:rsid w:val="00CC2C31"/>
    <w:rsid w:val="00CD0945"/>
    <w:rsid w:val="00CD1174"/>
    <w:rsid w:val="00CD150D"/>
    <w:rsid w:val="00CD2293"/>
    <w:rsid w:val="00CD2462"/>
    <w:rsid w:val="00CD4E39"/>
    <w:rsid w:val="00CD55D0"/>
    <w:rsid w:val="00CE1511"/>
    <w:rsid w:val="00CE1585"/>
    <w:rsid w:val="00CE178C"/>
    <w:rsid w:val="00CE1BE5"/>
    <w:rsid w:val="00CE26E6"/>
    <w:rsid w:val="00CE3053"/>
    <w:rsid w:val="00CE547F"/>
    <w:rsid w:val="00CE58E1"/>
    <w:rsid w:val="00CE659A"/>
    <w:rsid w:val="00CF0220"/>
    <w:rsid w:val="00CF2260"/>
    <w:rsid w:val="00CF2550"/>
    <w:rsid w:val="00CF33EF"/>
    <w:rsid w:val="00D029A8"/>
    <w:rsid w:val="00D03287"/>
    <w:rsid w:val="00D07853"/>
    <w:rsid w:val="00D078C5"/>
    <w:rsid w:val="00D115F0"/>
    <w:rsid w:val="00D13469"/>
    <w:rsid w:val="00D13C9D"/>
    <w:rsid w:val="00D172D8"/>
    <w:rsid w:val="00D20895"/>
    <w:rsid w:val="00D27370"/>
    <w:rsid w:val="00D3016D"/>
    <w:rsid w:val="00D326A6"/>
    <w:rsid w:val="00D329BB"/>
    <w:rsid w:val="00D36A79"/>
    <w:rsid w:val="00D40731"/>
    <w:rsid w:val="00D431E6"/>
    <w:rsid w:val="00D46230"/>
    <w:rsid w:val="00D46AA1"/>
    <w:rsid w:val="00D47D0B"/>
    <w:rsid w:val="00D50E68"/>
    <w:rsid w:val="00D5290A"/>
    <w:rsid w:val="00D53953"/>
    <w:rsid w:val="00D53C47"/>
    <w:rsid w:val="00D562FD"/>
    <w:rsid w:val="00D57340"/>
    <w:rsid w:val="00D61AD0"/>
    <w:rsid w:val="00D61E84"/>
    <w:rsid w:val="00D63A04"/>
    <w:rsid w:val="00D63DA3"/>
    <w:rsid w:val="00D65105"/>
    <w:rsid w:val="00D72D50"/>
    <w:rsid w:val="00D72E4B"/>
    <w:rsid w:val="00D73BB9"/>
    <w:rsid w:val="00D74F35"/>
    <w:rsid w:val="00D77329"/>
    <w:rsid w:val="00D850E7"/>
    <w:rsid w:val="00D85652"/>
    <w:rsid w:val="00D86BF5"/>
    <w:rsid w:val="00D90782"/>
    <w:rsid w:val="00D92B03"/>
    <w:rsid w:val="00D93691"/>
    <w:rsid w:val="00D943DB"/>
    <w:rsid w:val="00D9608F"/>
    <w:rsid w:val="00DA032E"/>
    <w:rsid w:val="00DA1673"/>
    <w:rsid w:val="00DA2853"/>
    <w:rsid w:val="00DA4557"/>
    <w:rsid w:val="00DA782B"/>
    <w:rsid w:val="00DA7947"/>
    <w:rsid w:val="00DB45DD"/>
    <w:rsid w:val="00DB63C7"/>
    <w:rsid w:val="00DC1BDD"/>
    <w:rsid w:val="00DC2E30"/>
    <w:rsid w:val="00DC5BC0"/>
    <w:rsid w:val="00DC68E7"/>
    <w:rsid w:val="00DC6DED"/>
    <w:rsid w:val="00DC746E"/>
    <w:rsid w:val="00DC7DC3"/>
    <w:rsid w:val="00DD1D27"/>
    <w:rsid w:val="00DD219D"/>
    <w:rsid w:val="00DD36E0"/>
    <w:rsid w:val="00DD3D04"/>
    <w:rsid w:val="00DD40CF"/>
    <w:rsid w:val="00DD6340"/>
    <w:rsid w:val="00DD738F"/>
    <w:rsid w:val="00DE0967"/>
    <w:rsid w:val="00DE4690"/>
    <w:rsid w:val="00DE4E2E"/>
    <w:rsid w:val="00DF1F25"/>
    <w:rsid w:val="00DF2D18"/>
    <w:rsid w:val="00DF34C4"/>
    <w:rsid w:val="00DF5CE4"/>
    <w:rsid w:val="00DF6F8B"/>
    <w:rsid w:val="00DF7158"/>
    <w:rsid w:val="00E01A71"/>
    <w:rsid w:val="00E0557F"/>
    <w:rsid w:val="00E11E6A"/>
    <w:rsid w:val="00E13111"/>
    <w:rsid w:val="00E133CB"/>
    <w:rsid w:val="00E13A3F"/>
    <w:rsid w:val="00E14093"/>
    <w:rsid w:val="00E176B8"/>
    <w:rsid w:val="00E22987"/>
    <w:rsid w:val="00E23D4C"/>
    <w:rsid w:val="00E30934"/>
    <w:rsid w:val="00E34039"/>
    <w:rsid w:val="00E343F3"/>
    <w:rsid w:val="00E35792"/>
    <w:rsid w:val="00E4497F"/>
    <w:rsid w:val="00E5225B"/>
    <w:rsid w:val="00E54014"/>
    <w:rsid w:val="00E54F87"/>
    <w:rsid w:val="00E566E3"/>
    <w:rsid w:val="00E57D64"/>
    <w:rsid w:val="00E616C4"/>
    <w:rsid w:val="00E62210"/>
    <w:rsid w:val="00E638F7"/>
    <w:rsid w:val="00E64543"/>
    <w:rsid w:val="00E742B0"/>
    <w:rsid w:val="00E74E1F"/>
    <w:rsid w:val="00E81E39"/>
    <w:rsid w:val="00E84EDC"/>
    <w:rsid w:val="00E9189D"/>
    <w:rsid w:val="00E94D69"/>
    <w:rsid w:val="00E95DDB"/>
    <w:rsid w:val="00E967B0"/>
    <w:rsid w:val="00E9696C"/>
    <w:rsid w:val="00E97BB2"/>
    <w:rsid w:val="00EA033A"/>
    <w:rsid w:val="00EA0E8F"/>
    <w:rsid w:val="00EA6719"/>
    <w:rsid w:val="00EB1027"/>
    <w:rsid w:val="00EB1BCF"/>
    <w:rsid w:val="00EB2825"/>
    <w:rsid w:val="00EB3E26"/>
    <w:rsid w:val="00EB4D10"/>
    <w:rsid w:val="00EB57D0"/>
    <w:rsid w:val="00EB6102"/>
    <w:rsid w:val="00EB7A5C"/>
    <w:rsid w:val="00EB7E33"/>
    <w:rsid w:val="00EC0E92"/>
    <w:rsid w:val="00EC1109"/>
    <w:rsid w:val="00EC3400"/>
    <w:rsid w:val="00EC42CE"/>
    <w:rsid w:val="00EC470D"/>
    <w:rsid w:val="00EC50A4"/>
    <w:rsid w:val="00ED1EE9"/>
    <w:rsid w:val="00ED2032"/>
    <w:rsid w:val="00ED43AA"/>
    <w:rsid w:val="00EE1673"/>
    <w:rsid w:val="00EF02F1"/>
    <w:rsid w:val="00EF2016"/>
    <w:rsid w:val="00EF265F"/>
    <w:rsid w:val="00EF4477"/>
    <w:rsid w:val="00EF7750"/>
    <w:rsid w:val="00F011A2"/>
    <w:rsid w:val="00F03246"/>
    <w:rsid w:val="00F03867"/>
    <w:rsid w:val="00F10E4E"/>
    <w:rsid w:val="00F212A8"/>
    <w:rsid w:val="00F2235B"/>
    <w:rsid w:val="00F25BB7"/>
    <w:rsid w:val="00F262D5"/>
    <w:rsid w:val="00F30EF8"/>
    <w:rsid w:val="00F31C81"/>
    <w:rsid w:val="00F35FDE"/>
    <w:rsid w:val="00F378E0"/>
    <w:rsid w:val="00F403B8"/>
    <w:rsid w:val="00F40571"/>
    <w:rsid w:val="00F43F92"/>
    <w:rsid w:val="00F469D3"/>
    <w:rsid w:val="00F47FF4"/>
    <w:rsid w:val="00F57DD7"/>
    <w:rsid w:val="00F60ECE"/>
    <w:rsid w:val="00F61AF9"/>
    <w:rsid w:val="00F62BF3"/>
    <w:rsid w:val="00F633F7"/>
    <w:rsid w:val="00F63696"/>
    <w:rsid w:val="00F638C8"/>
    <w:rsid w:val="00F64643"/>
    <w:rsid w:val="00F65A78"/>
    <w:rsid w:val="00F66868"/>
    <w:rsid w:val="00F67189"/>
    <w:rsid w:val="00F716D0"/>
    <w:rsid w:val="00F721CC"/>
    <w:rsid w:val="00F7507D"/>
    <w:rsid w:val="00F7535C"/>
    <w:rsid w:val="00F77606"/>
    <w:rsid w:val="00F77685"/>
    <w:rsid w:val="00F77865"/>
    <w:rsid w:val="00F77E6C"/>
    <w:rsid w:val="00F80A4F"/>
    <w:rsid w:val="00F80F6A"/>
    <w:rsid w:val="00F81766"/>
    <w:rsid w:val="00F83E9F"/>
    <w:rsid w:val="00F85875"/>
    <w:rsid w:val="00F8639A"/>
    <w:rsid w:val="00F92B5A"/>
    <w:rsid w:val="00F935D0"/>
    <w:rsid w:val="00F93B95"/>
    <w:rsid w:val="00F94558"/>
    <w:rsid w:val="00F94728"/>
    <w:rsid w:val="00F94D5B"/>
    <w:rsid w:val="00F9547C"/>
    <w:rsid w:val="00F9673C"/>
    <w:rsid w:val="00FA0F35"/>
    <w:rsid w:val="00FB0C54"/>
    <w:rsid w:val="00FB0CD4"/>
    <w:rsid w:val="00FB11FB"/>
    <w:rsid w:val="00FB340D"/>
    <w:rsid w:val="00FC1E0B"/>
    <w:rsid w:val="00FC2B6C"/>
    <w:rsid w:val="00FC40A3"/>
    <w:rsid w:val="00FC6320"/>
    <w:rsid w:val="00FD06BB"/>
    <w:rsid w:val="00FD3AF2"/>
    <w:rsid w:val="00FD3DBA"/>
    <w:rsid w:val="00FD4530"/>
    <w:rsid w:val="00FD6AF3"/>
    <w:rsid w:val="00FD79AF"/>
    <w:rsid w:val="00FE6ABD"/>
    <w:rsid w:val="00FE733F"/>
    <w:rsid w:val="00FE7ED8"/>
    <w:rsid w:val="00FF1570"/>
    <w:rsid w:val="00FF17B2"/>
    <w:rsid w:val="00FF21B2"/>
    <w:rsid w:val="00FF5F8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D3F41"/>
  <w15:docId w15:val="{4E6FF4AF-7720-49D1-AECC-4C590F6F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uiPriority="9"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nhideWhenUsed="1" w:qFormat="1"/>
    <w:lsdException w:name="List Number 3" w:semiHidden="1"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6B7CD1"/>
    <w:pPr>
      <w:spacing w:after="120" w:line="240" w:lineRule="atLeast"/>
    </w:pPr>
  </w:style>
  <w:style w:type="paragraph" w:styleId="Heading1">
    <w:name w:val="heading 1"/>
    <w:basedOn w:val="Normal"/>
    <w:next w:val="BodyText"/>
    <w:link w:val="Heading1Char"/>
    <w:qFormat/>
    <w:rsid w:val="00EC1109"/>
    <w:pPr>
      <w:keepNext/>
      <w:spacing w:before="240" w:line="400" w:lineRule="exact"/>
      <w:outlineLvl w:val="0"/>
    </w:pPr>
    <w:rPr>
      <w:rFonts w:asciiTheme="majorHAnsi" w:hAnsiTheme="majorHAnsi" w:cstheme="majorHAnsi"/>
      <w:bCs/>
      <w:color w:val="4F2D7F" w:themeColor="accent1"/>
      <w:kern w:val="32"/>
      <w:sz w:val="36"/>
      <w:szCs w:val="28"/>
      <w:lang w:val="en-GB"/>
    </w:rPr>
  </w:style>
  <w:style w:type="paragraph" w:styleId="Heading2">
    <w:name w:val="heading 2"/>
    <w:basedOn w:val="Heading1"/>
    <w:next w:val="BodyText"/>
    <w:link w:val="Heading2Char"/>
    <w:qFormat/>
    <w:rsid w:val="00EC1109"/>
    <w:pPr>
      <w:spacing w:line="320" w:lineRule="exact"/>
      <w:outlineLvl w:val="1"/>
    </w:pPr>
    <w:rPr>
      <w:bCs w:val="0"/>
      <w:sz w:val="26"/>
      <w:szCs w:val="19"/>
    </w:rPr>
  </w:style>
  <w:style w:type="paragraph" w:styleId="Heading3">
    <w:name w:val="heading 3"/>
    <w:basedOn w:val="Heading2"/>
    <w:next w:val="BodyText"/>
    <w:qFormat/>
    <w:rsid w:val="00EC110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EC1109"/>
    <w:pPr>
      <w:outlineLvl w:val="3"/>
    </w:pPr>
    <w:rPr>
      <w:b w:val="0"/>
      <w:bCs w:val="0"/>
    </w:rPr>
  </w:style>
  <w:style w:type="paragraph" w:styleId="Heading5">
    <w:name w:val="heading 5"/>
    <w:basedOn w:val="Normal"/>
    <w:next w:val="Normal"/>
    <w:qFormat/>
    <w:rsid w:val="00BF2BFC"/>
    <w:pPr>
      <w:numPr>
        <w:ilvl w:val="4"/>
        <w:numId w:val="1"/>
      </w:numPr>
      <w:spacing w:before="240"/>
      <w:outlineLvl w:val="4"/>
    </w:pPr>
    <w:rPr>
      <w:b/>
      <w:bCs/>
      <w:i/>
      <w:iCs/>
      <w:sz w:val="24"/>
      <w:szCs w:val="26"/>
      <w:lang w:val="en-GB"/>
    </w:rPr>
  </w:style>
  <w:style w:type="paragraph" w:styleId="Heading6">
    <w:name w:val="heading 6"/>
    <w:basedOn w:val="Normal"/>
    <w:next w:val="Normal"/>
    <w:qFormat/>
    <w:rsid w:val="00BF2BFC"/>
    <w:pPr>
      <w:numPr>
        <w:ilvl w:val="5"/>
        <w:numId w:val="1"/>
      </w:numPr>
      <w:spacing w:before="240" w:after="60"/>
      <w:outlineLvl w:val="5"/>
    </w:pPr>
    <w:rPr>
      <w:rFonts w:ascii="Times New Roman" w:hAnsi="Times New Roman"/>
      <w:b/>
      <w:bCs/>
      <w:szCs w:val="22"/>
      <w:lang w:val="en-GB"/>
    </w:rPr>
  </w:style>
  <w:style w:type="paragraph" w:styleId="Heading7">
    <w:name w:val="heading 7"/>
    <w:basedOn w:val="Normal"/>
    <w:next w:val="Normal"/>
    <w:qFormat/>
    <w:rsid w:val="00BF2BFC"/>
    <w:pPr>
      <w:numPr>
        <w:ilvl w:val="6"/>
        <w:numId w:val="1"/>
      </w:numPr>
      <w:spacing w:before="240" w:after="60"/>
      <w:outlineLvl w:val="6"/>
    </w:pPr>
    <w:rPr>
      <w:rFonts w:ascii="Times New Roman" w:hAnsi="Times New Roman"/>
      <w:sz w:val="24"/>
      <w:szCs w:val="24"/>
      <w:lang w:val="en-GB"/>
    </w:rPr>
  </w:style>
  <w:style w:type="paragraph" w:styleId="Heading8">
    <w:name w:val="heading 8"/>
    <w:basedOn w:val="Normal"/>
    <w:next w:val="Normal"/>
    <w:qFormat/>
    <w:rsid w:val="00BF2BFC"/>
    <w:pPr>
      <w:numPr>
        <w:ilvl w:val="7"/>
        <w:numId w:val="1"/>
      </w:numPr>
      <w:spacing w:before="240" w:after="60"/>
      <w:outlineLvl w:val="7"/>
    </w:pPr>
    <w:rPr>
      <w:rFonts w:ascii="Times New Roman" w:hAnsi="Times New Roman"/>
      <w:i/>
      <w:iCs/>
      <w:sz w:val="24"/>
      <w:szCs w:val="24"/>
      <w:lang w:val="en-GB"/>
    </w:rPr>
  </w:style>
  <w:style w:type="paragraph" w:styleId="Heading9">
    <w:name w:val="heading 9"/>
    <w:basedOn w:val="Normal"/>
    <w:next w:val="Normal"/>
    <w:qFormat/>
    <w:rsid w:val="00BF2BFC"/>
    <w:pPr>
      <w:numPr>
        <w:ilvl w:val="8"/>
        <w:numId w:val="1"/>
      </w:numPr>
      <w:spacing w:before="240" w:after="60"/>
      <w:outlineLvl w:val="8"/>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C1109"/>
    <w:rPr>
      <w:lang w:val="en-GB"/>
    </w:rPr>
  </w:style>
  <w:style w:type="paragraph" w:styleId="ListBullet">
    <w:name w:val="List Bullet"/>
    <w:basedOn w:val="Normal"/>
    <w:link w:val="ListBulletChar"/>
    <w:qFormat/>
    <w:rsid w:val="00EC1109"/>
    <w:pPr>
      <w:numPr>
        <w:numId w:val="11"/>
      </w:numPr>
    </w:pPr>
    <w:rPr>
      <w:lang w:val="en-GB"/>
    </w:rPr>
  </w:style>
  <w:style w:type="paragraph" w:styleId="ListNumber">
    <w:name w:val="List Number"/>
    <w:basedOn w:val="Normal"/>
    <w:qFormat/>
    <w:rsid w:val="00F40571"/>
    <w:pPr>
      <w:numPr>
        <w:numId w:val="19"/>
      </w:numPr>
    </w:pPr>
    <w:rPr>
      <w:lang w:val="en-GB"/>
    </w:rPr>
  </w:style>
  <w:style w:type="paragraph" w:styleId="Header">
    <w:name w:val="header"/>
    <w:link w:val="HeaderChar"/>
    <w:uiPriority w:val="99"/>
    <w:rsid w:val="00B04BC4"/>
    <w:pPr>
      <w:tabs>
        <w:tab w:val="right" w:pos="8562"/>
      </w:tabs>
    </w:pPr>
    <w:rPr>
      <w:rFonts w:cs="Arial"/>
      <w:b/>
      <w:color w:val="747678" w:themeColor="background2"/>
      <w:sz w:val="16"/>
      <w:lang w:val="en-GB"/>
    </w:rPr>
  </w:style>
  <w:style w:type="paragraph" w:styleId="Footer">
    <w:name w:val="footer"/>
    <w:link w:val="FooterChar"/>
    <w:uiPriority w:val="99"/>
    <w:rsid w:val="00DE4690"/>
    <w:pPr>
      <w:tabs>
        <w:tab w:val="right" w:pos="8222"/>
      </w:tabs>
      <w:jc w:val="right"/>
    </w:pPr>
    <w:rPr>
      <w:rFonts w:cstheme="minorHAnsi"/>
      <w:color w:val="747678" w:themeColor="background2"/>
      <w:sz w:val="12"/>
      <w:szCs w:val="16"/>
      <w:lang w:val="en-GB"/>
    </w:rPr>
  </w:style>
  <w:style w:type="character" w:customStyle="1" w:styleId="ReportColour">
    <w:name w:val="Report Colour"/>
    <w:basedOn w:val="DefaultParagraphFont"/>
    <w:rsid w:val="005A066F"/>
    <w:rPr>
      <w:color w:val="4F2D7F" w:themeColor="accent1"/>
      <w:lang w:val="en-GB"/>
    </w:rPr>
  </w:style>
  <w:style w:type="paragraph" w:customStyle="1" w:styleId="AppendixTitle">
    <w:name w:val="Appendix Title"/>
    <w:basedOn w:val="Normal"/>
    <w:next w:val="BodyText"/>
    <w:qFormat/>
    <w:rsid w:val="00EC110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uiPriority w:val="7"/>
    <w:qFormat/>
    <w:rsid w:val="00EC1109"/>
    <w:pPr>
      <w:spacing w:after="360" w:line="800" w:lineRule="exact"/>
      <w:outlineLvl w:val="0"/>
    </w:pPr>
    <w:rPr>
      <w:rFonts w:asciiTheme="majorHAnsi" w:hAnsiTheme="majorHAnsi"/>
      <w:b/>
      <w:bCs/>
      <w:color w:val="4F2D7F" w:themeColor="accent1"/>
      <w:kern w:val="28"/>
      <w:sz w:val="72"/>
      <w:szCs w:val="32"/>
      <w:lang w:val="en-GB"/>
    </w:rPr>
  </w:style>
  <w:style w:type="paragraph" w:styleId="Subtitle">
    <w:name w:val="Subtitle"/>
    <w:qFormat/>
    <w:rsid w:val="007C335A"/>
    <w:pPr>
      <w:spacing w:after="840" w:line="280" w:lineRule="atLeast"/>
      <w:outlineLvl w:val="1"/>
    </w:pPr>
    <w:rPr>
      <w:rFonts w:asciiTheme="majorHAnsi" w:hAnsiTheme="majorHAnsi" w:cs="Arial"/>
      <w:bCs/>
      <w:color w:val="000000" w:themeColor="text1"/>
      <w:kern w:val="28"/>
      <w:sz w:val="36"/>
      <w:szCs w:val="24"/>
      <w:lang w:val="en-GB"/>
    </w:rPr>
  </w:style>
  <w:style w:type="paragraph" w:styleId="ListBullet2">
    <w:name w:val="List Bullet 2"/>
    <w:basedOn w:val="Normal"/>
    <w:qFormat/>
    <w:rsid w:val="00EC1109"/>
    <w:pPr>
      <w:numPr>
        <w:ilvl w:val="1"/>
        <w:numId w:val="11"/>
      </w:numPr>
    </w:pPr>
    <w:rPr>
      <w:lang w:val="en-GB"/>
    </w:rPr>
  </w:style>
  <w:style w:type="paragraph" w:styleId="ListNumber2">
    <w:name w:val="List Number 2"/>
    <w:basedOn w:val="Normal"/>
    <w:qFormat/>
    <w:rsid w:val="00F40571"/>
    <w:pPr>
      <w:numPr>
        <w:ilvl w:val="1"/>
        <w:numId w:val="19"/>
      </w:numPr>
    </w:pPr>
    <w:rPr>
      <w:lang w:val="en-GB"/>
    </w:rPr>
  </w:style>
  <w:style w:type="paragraph" w:styleId="ListNumber3">
    <w:name w:val="List Number 3"/>
    <w:basedOn w:val="Normal"/>
    <w:qFormat/>
    <w:rsid w:val="00C10EF2"/>
    <w:pPr>
      <w:numPr>
        <w:ilvl w:val="2"/>
        <w:numId w:val="19"/>
      </w:numPr>
    </w:pPr>
    <w:rPr>
      <w:lang w:val="en-GB"/>
    </w:rPr>
  </w:style>
  <w:style w:type="paragraph" w:customStyle="1" w:styleId="MarginNotes">
    <w:name w:val="Margin Notes"/>
    <w:rsid w:val="00B04BC4"/>
    <w:rPr>
      <w:rFonts w:cs="Arial"/>
      <w:sz w:val="16"/>
      <w:lang w:val="en-GB"/>
    </w:rPr>
  </w:style>
  <w:style w:type="paragraph" w:customStyle="1" w:styleId="SectionTitle">
    <w:name w:val="Section Title"/>
    <w:next w:val="BodyText"/>
    <w:qFormat/>
    <w:rsid w:val="00EC110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qFormat/>
    <w:rsid w:val="00EC1109"/>
    <w:pPr>
      <w:spacing w:before="60" w:after="60"/>
    </w:pPr>
    <w:rPr>
      <w:rFonts w:cs="Arial"/>
      <w:b/>
      <w:bCs/>
      <w:color w:val="4F2D7F" w:themeColor="accent1"/>
      <w:kern w:val="28"/>
      <w:sz w:val="16"/>
      <w:szCs w:val="32"/>
      <w:lang w:val="en-GB"/>
    </w:rPr>
  </w:style>
  <w:style w:type="paragraph" w:customStyle="1" w:styleId="TableText">
    <w:name w:val="Table Text"/>
    <w:qFormat/>
    <w:rsid w:val="00EC1109"/>
    <w:pPr>
      <w:spacing w:before="60" w:after="60"/>
    </w:pPr>
    <w:rPr>
      <w:rFonts w:cs="Arial"/>
      <w:sz w:val="16"/>
      <w:lang w:val="en-GB"/>
    </w:rPr>
  </w:style>
  <w:style w:type="paragraph" w:customStyle="1" w:styleId="TintBoxTextBlack">
    <w:name w:val="Tint Box Text Black"/>
    <w:rsid w:val="00B04BC4"/>
    <w:pPr>
      <w:spacing w:after="240" w:line="240" w:lineRule="atLeast"/>
    </w:pPr>
    <w:rPr>
      <w:rFonts w:cs="Arial"/>
      <w:b/>
      <w:lang w:val="en-GB"/>
    </w:rPr>
  </w:style>
  <w:style w:type="paragraph" w:customStyle="1" w:styleId="TintBoxTextWhite">
    <w:name w:val="Tint Box Text White"/>
    <w:basedOn w:val="TintBoxTextBlack"/>
    <w:rsid w:val="00B04BC4"/>
    <w:rPr>
      <w:color w:val="FFFFFF"/>
    </w:rPr>
  </w:style>
  <w:style w:type="paragraph" w:styleId="TOC1">
    <w:name w:val="toc 1"/>
    <w:next w:val="Normal"/>
    <w:uiPriority w:val="39"/>
    <w:rsid w:val="00AE6A04"/>
    <w:pPr>
      <w:tabs>
        <w:tab w:val="right" w:pos="8222"/>
      </w:tabs>
      <w:spacing w:before="120" w:after="120" w:line="240" w:lineRule="atLeast"/>
    </w:pPr>
    <w:rPr>
      <w:rFonts w:cs="Arial"/>
      <w:lang w:val="en-GB"/>
    </w:rPr>
  </w:style>
  <w:style w:type="paragraph" w:styleId="TOC2">
    <w:name w:val="toc 2"/>
    <w:next w:val="Normal"/>
    <w:semiHidden/>
    <w:rsid w:val="00AE6A04"/>
    <w:pPr>
      <w:tabs>
        <w:tab w:val="right" w:pos="8222"/>
      </w:tabs>
      <w:spacing w:after="120" w:line="240" w:lineRule="atLeast"/>
      <w:ind w:left="198"/>
    </w:pPr>
    <w:rPr>
      <w:rFonts w:cs="Arial"/>
      <w:szCs w:val="24"/>
      <w:lang w:val="en-GB"/>
    </w:rPr>
  </w:style>
  <w:style w:type="paragraph" w:styleId="TOC3">
    <w:name w:val="toc 3"/>
    <w:basedOn w:val="TOC2"/>
    <w:next w:val="Normal"/>
    <w:semiHidden/>
    <w:rsid w:val="00B04BC4"/>
    <w:pPr>
      <w:ind w:left="403"/>
    </w:pPr>
  </w:style>
  <w:style w:type="paragraph" w:customStyle="1" w:styleId="Contents">
    <w:name w:val="Contents"/>
    <w:next w:val="Normal"/>
    <w:unhideWhenUsed/>
    <w:rsid w:val="00EC1109"/>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character" w:styleId="PageNumber">
    <w:name w:val="page number"/>
    <w:basedOn w:val="DefaultParagraphFont"/>
    <w:rsid w:val="00B04BC4"/>
    <w:rPr>
      <w:rFonts w:asciiTheme="minorHAnsi" w:hAnsiTheme="minorHAnsi"/>
      <w:lang w:val="en-GB"/>
    </w:rPr>
  </w:style>
  <w:style w:type="paragraph" w:customStyle="1" w:styleId="ChapterTitle">
    <w:name w:val="Chapter Title"/>
    <w:basedOn w:val="Subtitle"/>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rsid w:val="00BF2BFC"/>
    <w:rPr>
      <w:color w:val="auto"/>
    </w:rPr>
  </w:style>
  <w:style w:type="character" w:styleId="Hyperlink">
    <w:name w:val="Hyperlink"/>
    <w:basedOn w:val="DefaultParagraphFont"/>
    <w:uiPriority w:val="99"/>
    <w:rsid w:val="00B04BC4"/>
    <w:rPr>
      <w:color w:val="0000FF"/>
      <w:u w:val="single"/>
      <w:lang w:val="en-GB"/>
    </w:rPr>
  </w:style>
  <w:style w:type="paragraph" w:customStyle="1" w:styleId="ReferenceTitle">
    <w:name w:val="Reference Title"/>
    <w:next w:val="ReferenceText"/>
    <w:unhideWhenUsed/>
    <w:rsid w:val="00B04BC4"/>
    <w:pPr>
      <w:spacing w:after="120" w:line="240" w:lineRule="atLeast"/>
    </w:pPr>
    <w:rPr>
      <w:rFonts w:cs="Arial"/>
      <w:b/>
      <w:kern w:val="32"/>
      <w:szCs w:val="24"/>
      <w:lang w:val="en-GB"/>
    </w:rPr>
  </w:style>
  <w:style w:type="paragraph" w:customStyle="1" w:styleId="ReferenceText">
    <w:name w:val="Reference Text"/>
    <w:unhideWhenUsed/>
    <w:rsid w:val="00B04BC4"/>
    <w:pPr>
      <w:spacing w:after="120" w:line="240" w:lineRule="atLeast"/>
    </w:pPr>
    <w:rPr>
      <w:rFonts w:cs="Arial"/>
      <w:kern w:val="32"/>
      <w:szCs w:val="24"/>
      <w:lang w:val="en-GB"/>
    </w:rPr>
  </w:style>
  <w:style w:type="paragraph" w:customStyle="1" w:styleId="Backpage">
    <w:name w:val="Back page"/>
    <w:rsid w:val="00BF2BFC"/>
    <w:rPr>
      <w:rFonts w:asciiTheme="majorHAnsi" w:hAnsiTheme="majorHAnsi" w:cs="Arial"/>
      <w:b/>
      <w:lang w:val="en-GB"/>
    </w:rPr>
  </w:style>
  <w:style w:type="paragraph" w:customStyle="1" w:styleId="Copyright">
    <w:name w:val="Copyright"/>
    <w:rsid w:val="00BF2BFC"/>
    <w:pPr>
      <w:framePr w:hSpace="181" w:wrap="around" w:hAnchor="margin" w:yAlign="bottom"/>
      <w:spacing w:after="80"/>
    </w:pPr>
    <w:rPr>
      <w:rFonts w:ascii="Arial Narrow" w:hAnsi="Arial Narrow" w:cs="Arial"/>
      <w:color w:val="747678" w:themeColor="background2"/>
      <w:sz w:val="12"/>
      <w:lang w:val="en-GB"/>
    </w:rPr>
  </w:style>
  <w:style w:type="paragraph" w:customStyle="1" w:styleId="TradingName">
    <w:name w:val="Trading Name"/>
    <w:semiHidden/>
    <w:rsid w:val="00B04BC4"/>
    <w:pPr>
      <w:spacing w:line="180" w:lineRule="atLeast"/>
    </w:pPr>
    <w:rPr>
      <w:rFonts w:eastAsia="SimHei" w:cs="Arial"/>
      <w:b/>
      <w:sz w:val="16"/>
      <w:lang w:val="en-GB"/>
    </w:rPr>
  </w:style>
  <w:style w:type="paragraph" w:customStyle="1" w:styleId="PartnerAddress">
    <w:name w:val="Partner Address"/>
    <w:semiHidden/>
    <w:rsid w:val="00B04BC4"/>
    <w:rPr>
      <w:rFonts w:eastAsia="SimHei" w:cs="Arial"/>
      <w:sz w:val="16"/>
      <w:lang w:val="en-GB"/>
    </w:rPr>
  </w:style>
  <w:style w:type="paragraph" w:customStyle="1" w:styleId="HalfLineBreak">
    <w:name w:val="Half Line Break"/>
    <w:semiHidden/>
    <w:rsid w:val="00B04BC4"/>
    <w:pPr>
      <w:framePr w:wrap="around" w:vAnchor="page" w:hAnchor="page" w:x="9016" w:y="3970"/>
      <w:suppressOverlap/>
    </w:pPr>
    <w:rPr>
      <w:rFonts w:eastAsia="SimHei" w:cs="Arial"/>
      <w:b/>
      <w:sz w:val="7"/>
      <w:lang w:val="en-GB"/>
    </w:rPr>
  </w:style>
  <w:style w:type="paragraph" w:customStyle="1" w:styleId="LetterFooter">
    <w:name w:val="Letter Footer"/>
    <w:semiHidden/>
    <w:rsid w:val="00203B9A"/>
    <w:pPr>
      <w:spacing w:line="140" w:lineRule="atLeast"/>
    </w:pPr>
    <w:rPr>
      <w:rFonts w:ascii="Arial Narrow" w:hAnsi="Arial Narrow" w:cs="Arial"/>
      <w:sz w:val="12"/>
      <w:lang w:val="en-GB"/>
    </w:rPr>
  </w:style>
  <w:style w:type="paragraph" w:customStyle="1" w:styleId="LetterFooterTitle">
    <w:name w:val="Letter Footer Title"/>
    <w:next w:val="LetterFooter"/>
    <w:semiHidden/>
    <w:rsid w:val="00203B9A"/>
    <w:pPr>
      <w:spacing w:line="140" w:lineRule="atLeast"/>
    </w:pPr>
    <w:rPr>
      <w:rFonts w:ascii="Arial Narrow" w:hAnsi="Arial Narrow" w:cs="Arial"/>
      <w:b/>
      <w:sz w:val="12"/>
      <w:lang w:val="en-GB"/>
    </w:rPr>
  </w:style>
  <w:style w:type="paragraph" w:customStyle="1" w:styleId="LandscapeHeader">
    <w:name w:val="Landscape Header"/>
    <w:basedOn w:val="Header"/>
    <w:semiHidden/>
    <w:rsid w:val="00BF2BFC"/>
    <w:pPr>
      <w:tabs>
        <w:tab w:val="clear" w:pos="8562"/>
        <w:tab w:val="right" w:pos="13438"/>
      </w:tabs>
    </w:pPr>
  </w:style>
  <w:style w:type="paragraph" w:customStyle="1" w:styleId="NumberedHeading1">
    <w:name w:val="Numbered Heading 1"/>
    <w:next w:val="NumberedBodyText"/>
    <w:qFormat/>
    <w:rsid w:val="00EC1109"/>
    <w:pPr>
      <w:numPr>
        <w:numId w:val="18"/>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link w:val="NumberedHeading2Char"/>
    <w:qFormat/>
    <w:rsid w:val="00EC1109"/>
    <w:pPr>
      <w:numPr>
        <w:ilvl w:val="1"/>
        <w:numId w:val="18"/>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rsid w:val="002968AD"/>
    <w:pPr>
      <w:numPr>
        <w:numId w:val="15"/>
      </w:numPr>
    </w:pPr>
    <w:rPr>
      <w:lang w:val="en-GB"/>
    </w:rPr>
  </w:style>
  <w:style w:type="paragraph" w:customStyle="1" w:styleId="ParagraphBullet2">
    <w:name w:val="Paragraph Bullet 2"/>
    <w:basedOn w:val="Normal"/>
    <w:rsid w:val="002968AD"/>
    <w:pPr>
      <w:numPr>
        <w:ilvl w:val="1"/>
        <w:numId w:val="15"/>
      </w:numPr>
    </w:pPr>
    <w:rPr>
      <w:lang w:val="en-GB"/>
    </w:rPr>
  </w:style>
  <w:style w:type="paragraph" w:customStyle="1" w:styleId="MarginNotesHeading">
    <w:name w:val="Margin Notes Heading"/>
    <w:basedOn w:val="MarginNotes"/>
    <w:rsid w:val="00B04BC4"/>
    <w:rPr>
      <w:b/>
    </w:rPr>
  </w:style>
  <w:style w:type="paragraph" w:styleId="Quote">
    <w:name w:val="Quote"/>
    <w:basedOn w:val="BodyText"/>
    <w:unhideWhenUsed/>
    <w:qFormat/>
    <w:rsid w:val="00B04BC4"/>
    <w:rPr>
      <w:sz w:val="28"/>
    </w:rPr>
  </w:style>
  <w:style w:type="paragraph" w:customStyle="1" w:styleId="ContactDetails">
    <w:name w:val="Contact Details"/>
    <w:uiPriority w:val="9"/>
    <w:unhideWhenUsed/>
    <w:rsid w:val="00B04BC4"/>
    <w:rPr>
      <w:rFonts w:cs="Arial"/>
      <w:lang w:val="en-GB"/>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link w:val="MacroTextChar"/>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BalloonText">
    <w:name w:val="Balloon Text"/>
    <w:basedOn w:val="Normal"/>
    <w:link w:val="BalloonTextChar"/>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rPr>
  </w:style>
  <w:style w:type="table" w:customStyle="1" w:styleId="GTITableStyle1">
    <w:name w:val="GTI Table Style 1"/>
    <w:basedOn w:val="TableNormal"/>
    <w:uiPriority w:val="99"/>
    <w:rsid w:val="004D18B1"/>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EC1109"/>
    <w:rPr>
      <w:rFonts w:asciiTheme="minorHAnsi" w:hAnsiTheme="minorHAnsi" w:cs="Arial"/>
      <w:sz w:val="18"/>
      <w:lang w:val="en-GB"/>
    </w:rPr>
  </w:style>
  <w:style w:type="numbering" w:customStyle="1" w:styleId="GTListBullet">
    <w:name w:val="GT List Bullet"/>
    <w:uiPriority w:val="99"/>
    <w:rsid w:val="00EC1109"/>
    <w:pPr>
      <w:numPr>
        <w:numId w:val="11"/>
      </w:numPr>
    </w:pPr>
  </w:style>
  <w:style w:type="numbering" w:customStyle="1" w:styleId="GTListNumber">
    <w:name w:val="GT List Number"/>
    <w:uiPriority w:val="99"/>
    <w:rsid w:val="00F40571"/>
    <w:pPr>
      <w:numPr>
        <w:numId w:val="12"/>
      </w:numPr>
    </w:pPr>
  </w:style>
  <w:style w:type="numbering" w:customStyle="1" w:styleId="GTNumberedHeadings">
    <w:name w:val="GT Numbered Headings"/>
    <w:uiPriority w:val="99"/>
    <w:rsid w:val="00860B2A"/>
    <w:pPr>
      <w:numPr>
        <w:numId w:val="14"/>
      </w:numPr>
    </w:pPr>
  </w:style>
  <w:style w:type="numbering" w:customStyle="1" w:styleId="GTParagraphBullet">
    <w:name w:val="GT Paragraph Bullet"/>
    <w:uiPriority w:val="99"/>
    <w:rsid w:val="00EC1109"/>
    <w:pPr>
      <w:numPr>
        <w:numId w:val="15"/>
      </w:numPr>
    </w:pPr>
  </w:style>
  <w:style w:type="paragraph" w:styleId="NoSpacing">
    <w:name w:val="No Spacing"/>
    <w:uiPriority w:val="1"/>
    <w:rsid w:val="00B04BC4"/>
    <w:rPr>
      <w:rFonts w:cs="Arial"/>
      <w:lang w:val="en-GB"/>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AE6A04"/>
    <w:pPr>
      <w:tabs>
        <w:tab w:val="right" w:pos="8222"/>
      </w:tabs>
      <w:ind w:left="539"/>
    </w:pPr>
  </w:style>
  <w:style w:type="paragraph" w:styleId="TOC5">
    <w:name w:val="toc 5"/>
    <w:basedOn w:val="Normal"/>
    <w:next w:val="Normal"/>
    <w:autoRedefine/>
    <w:uiPriority w:val="39"/>
    <w:semiHidden/>
    <w:rsid w:val="00AE6A04"/>
    <w:pPr>
      <w:tabs>
        <w:tab w:val="right" w:pos="8222"/>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1"/>
    <w:rsid w:val="00C97335"/>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1"/>
    <w:rsid w:val="00C97335"/>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C97335"/>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F2BFC"/>
    <w:pPr>
      <w:tabs>
        <w:tab w:val="clear" w:pos="8222"/>
        <w:tab w:val="right" w:pos="13461"/>
      </w:tabs>
      <w:ind w:right="-63"/>
    </w:pPr>
  </w:style>
  <w:style w:type="paragraph" w:customStyle="1" w:styleId="SectionTitleLandscape">
    <w:name w:val="Section Title Landscape"/>
    <w:basedOn w:val="Normal"/>
    <w:next w:val="BodyText"/>
    <w:uiPriority w:val="10"/>
    <w:qFormat/>
    <w:rsid w:val="00EC1109"/>
    <w:pPr>
      <w:pageBreakBefore/>
      <w:framePr w:w="13478" w:wrap="around" w:vAnchor="page" w:hAnchor="margin" w:y="2099" w:anchorLock="1"/>
      <w:spacing w:line="800" w:lineRule="exact"/>
    </w:pPr>
    <w:rPr>
      <w:rFonts w:asciiTheme="majorHAnsi" w:hAnsiTheme="majorHAnsi" w:cstheme="majorHAnsi"/>
      <w:color w:val="4F2D7F" w:themeColor="accent1"/>
      <w:sz w:val="72"/>
      <w:lang w:val="en-GB"/>
    </w:rPr>
  </w:style>
  <w:style w:type="paragraph" w:customStyle="1" w:styleId="AppendixTitleLandscape">
    <w:name w:val="Appendix Title Landscape"/>
    <w:basedOn w:val="Normal"/>
    <w:next w:val="BodyText"/>
    <w:uiPriority w:val="11"/>
    <w:qFormat/>
    <w:rsid w:val="00EC1109"/>
    <w:pPr>
      <w:pageBreakBefore/>
      <w:framePr w:w="13478" w:wrap="around" w:vAnchor="page" w:hAnchor="margin" w:y="2099" w:anchorLock="1"/>
      <w:spacing w:line="800" w:lineRule="exact"/>
    </w:pPr>
    <w:rPr>
      <w:rFonts w:asciiTheme="majorHAnsi" w:hAnsiTheme="majorHAnsi" w:cstheme="majorHAnsi"/>
      <w:color w:val="4F2D7F" w:themeColor="accent1"/>
      <w:sz w:val="72"/>
      <w:lang w:val="en-GB"/>
    </w:rPr>
  </w:style>
  <w:style w:type="character" w:customStyle="1" w:styleId="FooterChar">
    <w:name w:val="Footer Char"/>
    <w:basedOn w:val="DefaultParagraphFont"/>
    <w:link w:val="Footer"/>
    <w:uiPriority w:val="99"/>
    <w:rsid w:val="00DE4690"/>
    <w:rPr>
      <w:rFonts w:asciiTheme="minorHAnsi" w:hAnsiTheme="minorHAnsi" w:cstheme="minorHAnsi"/>
      <w:color w:val="747678" w:themeColor="background2"/>
      <w:sz w:val="12"/>
      <w:szCs w:val="16"/>
      <w:lang w:val="en-GB"/>
    </w:rPr>
  </w:style>
  <w:style w:type="paragraph" w:customStyle="1" w:styleId="ReportFooterURL">
    <w:name w:val="Report Footer URL"/>
    <w:basedOn w:val="Normal"/>
    <w:uiPriority w:val="9"/>
    <w:semiHidden/>
    <w:rsid w:val="00DC68E7"/>
    <w:rPr>
      <w:b/>
      <w:sz w:val="16"/>
      <w:szCs w:val="16"/>
      <w:lang w:val="en-GB"/>
    </w:rPr>
  </w:style>
  <w:style w:type="paragraph" w:customStyle="1" w:styleId="LetterFooterURL">
    <w:name w:val="Letter Footer URL"/>
    <w:basedOn w:val="LetterFooter"/>
    <w:uiPriority w:val="9"/>
    <w:semiHidden/>
    <w:rsid w:val="00F7535C"/>
    <w:pPr>
      <w:jc w:val="right"/>
    </w:pPr>
    <w:rPr>
      <w:rFonts w:asciiTheme="minorHAnsi" w:hAnsiTheme="minorHAnsi"/>
      <w:b/>
      <w:sz w:val="16"/>
    </w:rPr>
  </w:style>
  <w:style w:type="character" w:customStyle="1" w:styleId="PageNumber0">
    <w:name w:val="PageNumber"/>
    <w:basedOn w:val="PageNumber"/>
    <w:uiPriority w:val="1"/>
    <w:rsid w:val="00DE4690"/>
    <w:rPr>
      <w:rFonts w:asciiTheme="minorHAnsi" w:hAnsiTheme="minorHAnsi"/>
      <w:b/>
      <w:color w:val="000000" w:themeColor="text1"/>
      <w:sz w:val="12"/>
      <w:lang w:val="en-GB"/>
    </w:rPr>
  </w:style>
  <w:style w:type="paragraph" w:customStyle="1" w:styleId="LicenceNumber">
    <w:name w:val="Licence Number"/>
    <w:basedOn w:val="LetterFooter"/>
    <w:uiPriority w:val="9"/>
    <w:rsid w:val="00203B9A"/>
    <w:rPr>
      <w:b/>
      <w:sz w:val="14"/>
    </w:rPr>
  </w:style>
  <w:style w:type="table" w:customStyle="1" w:styleId="GTITableStyle2">
    <w:name w:val="GTI Table Style 2"/>
    <w:basedOn w:val="GTITableStyle1"/>
    <w:uiPriority w:val="99"/>
    <w:rsid w:val="004D18B1"/>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EC1109"/>
    <w:pPr>
      <w:numPr>
        <w:numId w:val="16"/>
      </w:numPr>
    </w:pPr>
  </w:style>
  <w:style w:type="numbering" w:customStyle="1" w:styleId="GTTableNumbers">
    <w:name w:val="GT Table Numbers"/>
    <w:uiPriority w:val="99"/>
    <w:rsid w:val="00EC1109"/>
    <w:pPr>
      <w:numPr>
        <w:numId w:val="17"/>
      </w:numPr>
    </w:pPr>
  </w:style>
  <w:style w:type="paragraph" w:customStyle="1" w:styleId="TableBullet1">
    <w:name w:val="Table Bullet 1"/>
    <w:basedOn w:val="ListBullet"/>
    <w:uiPriority w:val="14"/>
    <w:qFormat/>
    <w:rsid w:val="00EC1109"/>
    <w:pPr>
      <w:numPr>
        <w:numId w:val="16"/>
      </w:numPr>
      <w:spacing w:before="60" w:after="60"/>
    </w:pPr>
    <w:rPr>
      <w:sz w:val="16"/>
    </w:rPr>
  </w:style>
  <w:style w:type="paragraph" w:customStyle="1" w:styleId="TableBullet2">
    <w:name w:val="Table Bullet 2"/>
    <w:basedOn w:val="ListBullet2"/>
    <w:uiPriority w:val="14"/>
    <w:qFormat/>
    <w:rsid w:val="00EC1109"/>
    <w:pPr>
      <w:numPr>
        <w:numId w:val="16"/>
      </w:numPr>
      <w:spacing w:before="60" w:after="60"/>
    </w:pPr>
    <w:rPr>
      <w:sz w:val="16"/>
    </w:rPr>
  </w:style>
  <w:style w:type="paragraph" w:customStyle="1" w:styleId="TableBullet3">
    <w:name w:val="Table Bullet 3"/>
    <w:basedOn w:val="ListBullet3"/>
    <w:uiPriority w:val="14"/>
    <w:qFormat/>
    <w:rsid w:val="00EC1109"/>
    <w:pPr>
      <w:numPr>
        <w:numId w:val="16"/>
      </w:numPr>
      <w:spacing w:before="60" w:after="60"/>
    </w:pPr>
    <w:rPr>
      <w:sz w:val="16"/>
    </w:rPr>
  </w:style>
  <w:style w:type="paragraph" w:styleId="ListBullet3">
    <w:name w:val="List Bullet 3"/>
    <w:basedOn w:val="Normal"/>
    <w:uiPriority w:val="1"/>
    <w:qFormat/>
    <w:rsid w:val="004A101F"/>
    <w:pPr>
      <w:numPr>
        <w:ilvl w:val="2"/>
        <w:numId w:val="11"/>
      </w:numPr>
    </w:pPr>
    <w:rPr>
      <w:lang w:val="en-GB"/>
    </w:rPr>
  </w:style>
  <w:style w:type="paragraph" w:customStyle="1" w:styleId="TableNumber">
    <w:name w:val="Table Number"/>
    <w:basedOn w:val="ListNumber"/>
    <w:uiPriority w:val="14"/>
    <w:qFormat/>
    <w:rsid w:val="00EC1109"/>
    <w:pPr>
      <w:numPr>
        <w:numId w:val="17"/>
      </w:numPr>
      <w:spacing w:before="60" w:after="60"/>
    </w:pPr>
    <w:rPr>
      <w:sz w:val="16"/>
    </w:rPr>
  </w:style>
  <w:style w:type="paragraph" w:customStyle="1" w:styleId="TableNumber2">
    <w:name w:val="Table Number 2"/>
    <w:basedOn w:val="ListNumber2"/>
    <w:uiPriority w:val="14"/>
    <w:qFormat/>
    <w:rsid w:val="00EC1109"/>
    <w:pPr>
      <w:numPr>
        <w:numId w:val="17"/>
      </w:numPr>
      <w:spacing w:before="60" w:after="60"/>
    </w:pPr>
    <w:rPr>
      <w:sz w:val="16"/>
    </w:rPr>
  </w:style>
  <w:style w:type="paragraph" w:customStyle="1" w:styleId="TableNumber3">
    <w:name w:val="Table Number 3"/>
    <w:basedOn w:val="ListNumber3"/>
    <w:uiPriority w:val="14"/>
    <w:qFormat/>
    <w:rsid w:val="00EC1109"/>
    <w:pPr>
      <w:numPr>
        <w:numId w:val="17"/>
      </w:numPr>
      <w:spacing w:before="60" w:after="60"/>
    </w:pPr>
    <w:rPr>
      <w:sz w:val="16"/>
    </w:rPr>
  </w:style>
  <w:style w:type="character" w:customStyle="1" w:styleId="ListBulletChar">
    <w:name w:val="List Bullet Char"/>
    <w:basedOn w:val="DefaultParagraphFont"/>
    <w:link w:val="ListBullet"/>
    <w:rsid w:val="00EC1109"/>
    <w:rPr>
      <w:lang w:val="en-GB"/>
    </w:rPr>
  </w:style>
  <w:style w:type="character" w:styleId="Strong">
    <w:name w:val="Strong"/>
    <w:basedOn w:val="DefaultParagraphFont"/>
    <w:rsid w:val="007E0C55"/>
    <w:rPr>
      <w:b/>
      <w:bCs/>
      <w:lang w:val="en-GB"/>
    </w:rPr>
  </w:style>
  <w:style w:type="paragraph" w:customStyle="1" w:styleId="TableTextDecimal">
    <w:name w:val="Table Text Decimal"/>
    <w:basedOn w:val="TableText"/>
    <w:uiPriority w:val="14"/>
    <w:qFormat/>
    <w:rsid w:val="00EC1109"/>
    <w:pPr>
      <w:tabs>
        <w:tab w:val="decimal" w:pos="1304"/>
      </w:tabs>
    </w:pPr>
  </w:style>
  <w:style w:type="paragraph" w:customStyle="1" w:styleId="Notesandsources">
    <w:name w:val="Notes and sources"/>
    <w:basedOn w:val="BodyText"/>
    <w:rsid w:val="007E0C55"/>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14"/>
    <w:qFormat/>
    <w:rsid w:val="00EC1109"/>
    <w:pPr>
      <w:jc w:val="right"/>
    </w:pPr>
  </w:style>
  <w:style w:type="paragraph" w:customStyle="1" w:styleId="TableTextRight">
    <w:name w:val="Table Text Right"/>
    <w:basedOn w:val="TableText"/>
    <w:uiPriority w:val="14"/>
    <w:qFormat/>
    <w:rsid w:val="00EC1109"/>
    <w:pPr>
      <w:jc w:val="right"/>
    </w:pPr>
  </w:style>
  <w:style w:type="paragraph" w:customStyle="1" w:styleId="Comments">
    <w:name w:val="Comments"/>
    <w:basedOn w:val="BodyText"/>
    <w:uiPriority w:val="99"/>
    <w:qFormat/>
    <w:rsid w:val="00EC1109"/>
    <w:rPr>
      <w:sz w:val="16"/>
    </w:rPr>
  </w:style>
  <w:style w:type="paragraph" w:customStyle="1" w:styleId="LetterHeading">
    <w:name w:val="Letter Heading"/>
    <w:basedOn w:val="Heading2"/>
    <w:next w:val="BodyText"/>
    <w:uiPriority w:val="1"/>
    <w:qFormat/>
    <w:rsid w:val="00F7507D"/>
  </w:style>
  <w:style w:type="paragraph" w:customStyle="1" w:styleId="LetterHeadingBlack">
    <w:name w:val="Letter Heading Black"/>
    <w:basedOn w:val="LetterHeading"/>
    <w:next w:val="BodyText"/>
    <w:uiPriority w:val="1"/>
    <w:qFormat/>
    <w:rsid w:val="00F7507D"/>
    <w:rPr>
      <w:color w:val="000000" w:themeColor="text1"/>
    </w:rPr>
  </w:style>
  <w:style w:type="paragraph" w:customStyle="1" w:styleId="LetterSubHeading1">
    <w:name w:val="Letter Sub Heading 1"/>
    <w:basedOn w:val="Heading3"/>
    <w:next w:val="BodyText"/>
    <w:uiPriority w:val="1"/>
    <w:qFormat/>
    <w:rsid w:val="00F7507D"/>
  </w:style>
  <w:style w:type="paragraph" w:customStyle="1" w:styleId="LetterSubHeading1Black">
    <w:name w:val="Letter Sub Heading 1 Black"/>
    <w:basedOn w:val="LetterSubHeading1"/>
    <w:next w:val="BodyText"/>
    <w:uiPriority w:val="1"/>
    <w:qFormat/>
    <w:rsid w:val="00F7507D"/>
    <w:rPr>
      <w:color w:val="000000" w:themeColor="text1"/>
    </w:rPr>
  </w:style>
  <w:style w:type="paragraph" w:customStyle="1" w:styleId="LetterSubHeading2">
    <w:name w:val="Letter Sub Heading 2"/>
    <w:basedOn w:val="Heading4"/>
    <w:next w:val="BodyText"/>
    <w:uiPriority w:val="1"/>
    <w:qFormat/>
    <w:rsid w:val="00F7507D"/>
  </w:style>
  <w:style w:type="paragraph" w:customStyle="1" w:styleId="LetterSubHeading2Black">
    <w:name w:val="Letter Sub Heading 2 Black"/>
    <w:basedOn w:val="LetterSubHeading2"/>
    <w:next w:val="BodyText"/>
    <w:uiPriority w:val="1"/>
    <w:qFormat/>
    <w:rsid w:val="00F7507D"/>
    <w:rPr>
      <w:color w:val="000000" w:themeColor="text1"/>
    </w:rPr>
  </w:style>
  <w:style w:type="numbering" w:customStyle="1" w:styleId="GTNumberedLetterHeadings">
    <w:name w:val="GT Numbered Letter Headings"/>
    <w:uiPriority w:val="99"/>
    <w:rsid w:val="00F262D5"/>
    <w:pPr>
      <w:numPr>
        <w:numId w:val="6"/>
      </w:numPr>
    </w:pPr>
  </w:style>
  <w:style w:type="paragraph" w:customStyle="1" w:styleId="NumberedLetterSubHeading1">
    <w:name w:val="Numbered Letter Sub Heading 1"/>
    <w:basedOn w:val="LetterSubHeading1Black"/>
    <w:uiPriority w:val="5"/>
    <w:qFormat/>
    <w:rsid w:val="00F262D5"/>
    <w:pPr>
      <w:numPr>
        <w:numId w:val="7"/>
      </w:numPr>
    </w:pPr>
  </w:style>
  <w:style w:type="paragraph" w:customStyle="1" w:styleId="NumberedLetterBodyText">
    <w:name w:val="Numbered Letter Body Text"/>
    <w:basedOn w:val="BodyText"/>
    <w:uiPriority w:val="6"/>
    <w:qFormat/>
    <w:rsid w:val="00F262D5"/>
    <w:pPr>
      <w:numPr>
        <w:ilvl w:val="1"/>
        <w:numId w:val="7"/>
      </w:numPr>
    </w:pPr>
  </w:style>
  <w:style w:type="paragraph" w:customStyle="1" w:styleId="Heading2Black">
    <w:name w:val="Heading 2 Black"/>
    <w:basedOn w:val="Heading2"/>
    <w:next w:val="BodyText"/>
    <w:uiPriority w:val="1"/>
    <w:qFormat/>
    <w:rsid w:val="00EC1109"/>
    <w:rPr>
      <w:color w:val="000000" w:themeColor="text1"/>
    </w:rPr>
  </w:style>
  <w:style w:type="paragraph" w:customStyle="1" w:styleId="Heading3Black">
    <w:name w:val="Heading 3 Black"/>
    <w:basedOn w:val="Heading3"/>
    <w:next w:val="BodyText"/>
    <w:uiPriority w:val="1"/>
    <w:qFormat/>
    <w:rsid w:val="00EC1109"/>
    <w:rPr>
      <w:color w:val="000000" w:themeColor="text1"/>
    </w:rPr>
  </w:style>
  <w:style w:type="paragraph" w:customStyle="1" w:styleId="Heading4Black">
    <w:name w:val="Heading 4 Black"/>
    <w:basedOn w:val="Heading4"/>
    <w:next w:val="BodyText"/>
    <w:uiPriority w:val="1"/>
    <w:qFormat/>
    <w:rsid w:val="00EC1109"/>
    <w:rPr>
      <w:color w:val="auto"/>
    </w:rPr>
  </w:style>
  <w:style w:type="paragraph" w:customStyle="1" w:styleId="NumberedBodyText">
    <w:name w:val="Numbered Body Text"/>
    <w:basedOn w:val="BodyText"/>
    <w:uiPriority w:val="4"/>
    <w:qFormat/>
    <w:rsid w:val="00EC1109"/>
    <w:pPr>
      <w:numPr>
        <w:ilvl w:val="2"/>
        <w:numId w:val="18"/>
      </w:numPr>
    </w:pPr>
  </w:style>
  <w:style w:type="paragraph" w:customStyle="1" w:styleId="1BodyText">
    <w:name w:val="#1 Body Text"/>
    <w:basedOn w:val="BodyText"/>
    <w:uiPriority w:val="16"/>
    <w:qFormat/>
    <w:rsid w:val="00EC1109"/>
    <w:pPr>
      <w:numPr>
        <w:ilvl w:val="1"/>
        <w:numId w:val="8"/>
      </w:numPr>
    </w:pPr>
  </w:style>
  <w:style w:type="paragraph" w:customStyle="1" w:styleId="1SectionTitle">
    <w:name w:val="#1 Section Title"/>
    <w:next w:val="1BodyText"/>
    <w:uiPriority w:val="15"/>
    <w:qFormat/>
    <w:rsid w:val="00EC1109"/>
    <w:pPr>
      <w:pageBreakBefore/>
      <w:framePr w:w="9299" w:wrap="around" w:vAnchor="page" w:hAnchor="margin" w:x="-679" w:y="1419" w:anchorLock="1"/>
      <w:numPr>
        <w:numId w:val="8"/>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EC1109"/>
    <w:pPr>
      <w:numPr>
        <w:ilvl w:val="2"/>
        <w:numId w:val="9"/>
      </w:numPr>
    </w:pPr>
  </w:style>
  <w:style w:type="paragraph" w:customStyle="1" w:styleId="2Heading1">
    <w:name w:val="#2 Heading 1"/>
    <w:basedOn w:val="Heading1"/>
    <w:next w:val="2BodyText"/>
    <w:uiPriority w:val="18"/>
    <w:qFormat/>
    <w:rsid w:val="00EC1109"/>
    <w:pPr>
      <w:numPr>
        <w:ilvl w:val="1"/>
        <w:numId w:val="9"/>
      </w:numPr>
    </w:pPr>
  </w:style>
  <w:style w:type="paragraph" w:customStyle="1" w:styleId="2SectionTitle">
    <w:name w:val="#2 Section Title"/>
    <w:next w:val="2Heading1"/>
    <w:uiPriority w:val="17"/>
    <w:qFormat/>
    <w:rsid w:val="00EC1109"/>
    <w:pPr>
      <w:pageBreakBefore/>
      <w:framePr w:w="9299" w:wrap="around" w:vAnchor="page" w:hAnchor="margin" w:x="-679" w:y="1419" w:anchorLock="1"/>
      <w:numPr>
        <w:numId w:val="9"/>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EC1109"/>
    <w:pPr>
      <w:numPr>
        <w:ilvl w:val="1"/>
        <w:numId w:val="10"/>
      </w:numPr>
    </w:pPr>
  </w:style>
  <w:style w:type="paragraph" w:customStyle="1" w:styleId="3Heading1">
    <w:name w:val="#3 Heading 1"/>
    <w:basedOn w:val="Heading1"/>
    <w:next w:val="3BodyText"/>
    <w:uiPriority w:val="20"/>
    <w:qFormat/>
    <w:rsid w:val="00EC1109"/>
    <w:pPr>
      <w:numPr>
        <w:numId w:val="10"/>
      </w:numPr>
    </w:pPr>
  </w:style>
  <w:style w:type="numbering" w:customStyle="1" w:styleId="GT1Numbering">
    <w:name w:val="GT #1 Numbering"/>
    <w:uiPriority w:val="99"/>
    <w:rsid w:val="00EC1109"/>
    <w:pPr>
      <w:numPr>
        <w:numId w:val="8"/>
      </w:numPr>
    </w:pPr>
  </w:style>
  <w:style w:type="numbering" w:customStyle="1" w:styleId="GT2Numbering">
    <w:name w:val="GT #2 Numbering"/>
    <w:uiPriority w:val="99"/>
    <w:rsid w:val="00EC1109"/>
    <w:pPr>
      <w:numPr>
        <w:numId w:val="9"/>
      </w:numPr>
    </w:pPr>
  </w:style>
  <w:style w:type="numbering" w:customStyle="1" w:styleId="GT3Numbering">
    <w:name w:val="GT #3 Numbering"/>
    <w:uiPriority w:val="99"/>
    <w:rsid w:val="00EC1109"/>
    <w:pPr>
      <w:numPr>
        <w:numId w:val="10"/>
      </w:numPr>
    </w:pPr>
  </w:style>
  <w:style w:type="paragraph" w:styleId="Bibliography">
    <w:name w:val="Bibliography"/>
    <w:basedOn w:val="Normal"/>
    <w:next w:val="Normal"/>
    <w:uiPriority w:val="37"/>
    <w:semiHidden/>
    <w:unhideWhenUsed/>
    <w:rsid w:val="00740DDB"/>
  </w:style>
  <w:style w:type="paragraph" w:styleId="BlockText">
    <w:name w:val="Block Text"/>
    <w:basedOn w:val="Normal"/>
    <w:unhideWhenUsed/>
    <w:rsid w:val="00740DDB"/>
    <w:pPr>
      <w:pBdr>
        <w:top w:val="single" w:sz="2" w:space="10" w:color="4F2D7F" w:themeColor="accent1" w:frame="1"/>
        <w:left w:val="single" w:sz="2" w:space="10" w:color="4F2D7F" w:themeColor="accent1" w:frame="1"/>
        <w:bottom w:val="single" w:sz="2" w:space="10" w:color="4F2D7F" w:themeColor="accent1" w:frame="1"/>
        <w:right w:val="single" w:sz="2" w:space="10" w:color="4F2D7F" w:themeColor="accent1" w:frame="1"/>
      </w:pBdr>
      <w:ind w:left="1152" w:right="1152"/>
    </w:pPr>
    <w:rPr>
      <w:rFonts w:eastAsiaTheme="minorEastAsia" w:cstheme="minorBidi"/>
      <w:i/>
      <w:iCs/>
      <w:color w:val="4F2D7F" w:themeColor="accent1"/>
    </w:rPr>
  </w:style>
  <w:style w:type="paragraph" w:styleId="BodyText2">
    <w:name w:val="Body Text 2"/>
    <w:basedOn w:val="Normal"/>
    <w:link w:val="BodyText2Char"/>
    <w:unhideWhenUsed/>
    <w:rsid w:val="00740DDB"/>
    <w:pPr>
      <w:spacing w:line="480" w:lineRule="auto"/>
    </w:pPr>
  </w:style>
  <w:style w:type="character" w:customStyle="1" w:styleId="BodyText2Char">
    <w:name w:val="Body Text 2 Char"/>
    <w:basedOn w:val="DefaultParagraphFont"/>
    <w:link w:val="BodyText2"/>
    <w:semiHidden/>
    <w:rsid w:val="00740DDB"/>
    <w:rPr>
      <w:rFonts w:asciiTheme="minorHAnsi" w:hAnsiTheme="minorHAnsi" w:cs="Arial"/>
      <w:sz w:val="18"/>
    </w:rPr>
  </w:style>
  <w:style w:type="paragraph" w:styleId="BodyText3">
    <w:name w:val="Body Text 3"/>
    <w:basedOn w:val="Normal"/>
    <w:link w:val="BodyText3Char"/>
    <w:unhideWhenUsed/>
    <w:rsid w:val="00740DDB"/>
    <w:rPr>
      <w:szCs w:val="16"/>
    </w:rPr>
  </w:style>
  <w:style w:type="character" w:customStyle="1" w:styleId="BodyText3Char">
    <w:name w:val="Body Text 3 Char"/>
    <w:basedOn w:val="DefaultParagraphFont"/>
    <w:link w:val="BodyText3"/>
    <w:semiHidden/>
    <w:rsid w:val="00740DDB"/>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740DDB"/>
    <w:pPr>
      <w:ind w:firstLine="360"/>
    </w:pPr>
    <w:rPr>
      <w:lang w:val="en-US"/>
    </w:rPr>
  </w:style>
  <w:style w:type="character" w:customStyle="1" w:styleId="BodyTextFirstIndentChar">
    <w:name w:val="Body Text First Indent Char"/>
    <w:basedOn w:val="BodyTextChar"/>
    <w:link w:val="BodyTextFirstIndent"/>
    <w:semiHidden/>
    <w:rsid w:val="00740DDB"/>
    <w:rPr>
      <w:rFonts w:asciiTheme="minorHAnsi" w:hAnsiTheme="minorHAnsi" w:cs="Arial"/>
      <w:sz w:val="18"/>
      <w:lang w:val="en-GB"/>
    </w:rPr>
  </w:style>
  <w:style w:type="paragraph" w:styleId="BodyTextIndent">
    <w:name w:val="Body Text Indent"/>
    <w:basedOn w:val="Normal"/>
    <w:link w:val="BodyTextIndentChar"/>
    <w:unhideWhenUsed/>
    <w:rsid w:val="00740DDB"/>
    <w:pPr>
      <w:ind w:left="283"/>
    </w:pPr>
  </w:style>
  <w:style w:type="character" w:customStyle="1" w:styleId="BodyTextIndentChar">
    <w:name w:val="Body Text Indent Char"/>
    <w:basedOn w:val="DefaultParagraphFont"/>
    <w:link w:val="BodyTextIndent"/>
    <w:semiHidden/>
    <w:rsid w:val="00740DDB"/>
    <w:rPr>
      <w:rFonts w:asciiTheme="minorHAnsi" w:hAnsiTheme="minorHAnsi" w:cs="Arial"/>
      <w:sz w:val="18"/>
    </w:rPr>
  </w:style>
  <w:style w:type="paragraph" w:styleId="BodyTextFirstIndent2">
    <w:name w:val="Body Text First Indent 2"/>
    <w:basedOn w:val="BodyTextIndent"/>
    <w:link w:val="BodyTextFirstIndent2Char"/>
    <w:semiHidden/>
    <w:unhideWhenUsed/>
    <w:rsid w:val="00740DDB"/>
    <w:pPr>
      <w:ind w:left="360" w:firstLine="360"/>
    </w:pPr>
  </w:style>
  <w:style w:type="character" w:customStyle="1" w:styleId="BodyTextFirstIndent2Char">
    <w:name w:val="Body Text First Indent 2 Char"/>
    <w:basedOn w:val="BodyTextIndentChar"/>
    <w:link w:val="BodyTextFirstIndent2"/>
    <w:semiHidden/>
    <w:rsid w:val="00740DDB"/>
    <w:rPr>
      <w:rFonts w:asciiTheme="minorHAnsi" w:hAnsiTheme="minorHAnsi" w:cs="Arial"/>
      <w:sz w:val="18"/>
    </w:rPr>
  </w:style>
  <w:style w:type="paragraph" w:styleId="BodyTextIndent2">
    <w:name w:val="Body Text Indent 2"/>
    <w:basedOn w:val="Normal"/>
    <w:link w:val="BodyTextIndent2Char"/>
    <w:unhideWhenUsed/>
    <w:rsid w:val="00740DDB"/>
    <w:pPr>
      <w:spacing w:line="480" w:lineRule="auto"/>
      <w:ind w:left="283"/>
    </w:pPr>
  </w:style>
  <w:style w:type="character" w:customStyle="1" w:styleId="BodyTextIndent2Char">
    <w:name w:val="Body Text Indent 2 Char"/>
    <w:basedOn w:val="DefaultParagraphFont"/>
    <w:link w:val="BodyTextIndent2"/>
    <w:rsid w:val="00740DDB"/>
    <w:rPr>
      <w:rFonts w:asciiTheme="minorHAnsi" w:hAnsiTheme="minorHAnsi" w:cs="Arial"/>
      <w:sz w:val="18"/>
    </w:rPr>
  </w:style>
  <w:style w:type="paragraph" w:styleId="BodyTextIndent3">
    <w:name w:val="Body Text Indent 3"/>
    <w:basedOn w:val="Normal"/>
    <w:link w:val="BodyTextIndent3Char"/>
    <w:unhideWhenUsed/>
    <w:rsid w:val="00740DDB"/>
    <w:pPr>
      <w:ind w:left="283"/>
    </w:pPr>
    <w:rPr>
      <w:szCs w:val="16"/>
    </w:rPr>
  </w:style>
  <w:style w:type="character" w:customStyle="1" w:styleId="BodyTextIndent3Char">
    <w:name w:val="Body Text Indent 3 Char"/>
    <w:basedOn w:val="DefaultParagraphFont"/>
    <w:link w:val="BodyTextIndent3"/>
    <w:semiHidden/>
    <w:rsid w:val="00740DDB"/>
    <w:rPr>
      <w:rFonts w:asciiTheme="minorHAnsi" w:hAnsiTheme="minorHAnsi" w:cs="Arial"/>
      <w:sz w:val="18"/>
      <w:szCs w:val="16"/>
    </w:rPr>
  </w:style>
  <w:style w:type="character" w:styleId="BookTitle">
    <w:name w:val="Book Title"/>
    <w:basedOn w:val="DefaultParagraphFont"/>
    <w:uiPriority w:val="33"/>
    <w:semiHidden/>
    <w:qFormat/>
    <w:rsid w:val="00740DDB"/>
    <w:rPr>
      <w:b/>
      <w:bCs/>
      <w:i/>
      <w:iCs/>
      <w:spacing w:val="5"/>
    </w:rPr>
  </w:style>
  <w:style w:type="paragraph" w:styleId="Caption">
    <w:name w:val="caption"/>
    <w:basedOn w:val="Normal"/>
    <w:next w:val="Normal"/>
    <w:semiHidden/>
    <w:unhideWhenUsed/>
    <w:qFormat/>
    <w:rsid w:val="00740DDB"/>
    <w:pPr>
      <w:spacing w:after="200" w:line="240" w:lineRule="auto"/>
    </w:pPr>
    <w:rPr>
      <w:i/>
      <w:iCs/>
      <w:color w:val="747678" w:themeColor="text2"/>
    </w:rPr>
  </w:style>
  <w:style w:type="paragraph" w:styleId="Closing">
    <w:name w:val="Closing"/>
    <w:basedOn w:val="Normal"/>
    <w:link w:val="ClosingChar"/>
    <w:semiHidden/>
    <w:unhideWhenUsed/>
    <w:rsid w:val="00740DDB"/>
    <w:pPr>
      <w:spacing w:after="0" w:line="240" w:lineRule="auto"/>
      <w:ind w:left="4252"/>
    </w:pPr>
  </w:style>
  <w:style w:type="character" w:customStyle="1" w:styleId="ClosingChar">
    <w:name w:val="Closing Char"/>
    <w:basedOn w:val="DefaultParagraphFont"/>
    <w:link w:val="Closing"/>
    <w:semiHidden/>
    <w:rsid w:val="00740DDB"/>
    <w:rPr>
      <w:rFonts w:asciiTheme="minorHAnsi" w:hAnsiTheme="minorHAnsi" w:cs="Arial"/>
      <w:sz w:val="18"/>
    </w:rPr>
  </w:style>
  <w:style w:type="character" w:styleId="CommentReference">
    <w:name w:val="annotation reference"/>
    <w:basedOn w:val="DefaultParagraphFont"/>
    <w:unhideWhenUsed/>
    <w:rsid w:val="00740DDB"/>
    <w:rPr>
      <w:sz w:val="16"/>
      <w:szCs w:val="16"/>
    </w:rPr>
  </w:style>
  <w:style w:type="paragraph" w:styleId="CommentText">
    <w:name w:val="annotation text"/>
    <w:basedOn w:val="Normal"/>
    <w:link w:val="CommentTextChar"/>
    <w:unhideWhenUsed/>
    <w:rsid w:val="00740DDB"/>
    <w:pPr>
      <w:spacing w:line="240" w:lineRule="auto"/>
    </w:pPr>
    <w:rPr>
      <w:sz w:val="20"/>
    </w:rPr>
  </w:style>
  <w:style w:type="character" w:customStyle="1" w:styleId="CommentTextChar">
    <w:name w:val="Comment Text Char"/>
    <w:basedOn w:val="DefaultParagraphFont"/>
    <w:link w:val="CommentText"/>
    <w:uiPriority w:val="99"/>
    <w:rsid w:val="00740DDB"/>
    <w:rPr>
      <w:rFonts w:asciiTheme="minorHAnsi" w:hAnsiTheme="minorHAnsi" w:cs="Arial"/>
    </w:rPr>
  </w:style>
  <w:style w:type="paragraph" w:styleId="CommentSubject">
    <w:name w:val="annotation subject"/>
    <w:basedOn w:val="CommentText"/>
    <w:next w:val="CommentText"/>
    <w:link w:val="CommentSubjectChar"/>
    <w:unhideWhenUsed/>
    <w:rsid w:val="00740DDB"/>
    <w:rPr>
      <w:b/>
      <w:bCs/>
    </w:rPr>
  </w:style>
  <w:style w:type="character" w:customStyle="1" w:styleId="CommentSubjectChar">
    <w:name w:val="Comment Subject Char"/>
    <w:basedOn w:val="CommentTextChar"/>
    <w:link w:val="CommentSubject"/>
    <w:rsid w:val="00740DDB"/>
    <w:rPr>
      <w:rFonts w:asciiTheme="minorHAnsi" w:hAnsiTheme="minorHAnsi" w:cs="Arial"/>
      <w:b/>
      <w:bCs/>
    </w:rPr>
  </w:style>
  <w:style w:type="paragraph" w:styleId="Date">
    <w:name w:val="Date"/>
    <w:basedOn w:val="Normal"/>
    <w:next w:val="Normal"/>
    <w:link w:val="DateChar"/>
    <w:semiHidden/>
    <w:unhideWhenUsed/>
    <w:rsid w:val="00740DDB"/>
  </w:style>
  <w:style w:type="character" w:customStyle="1" w:styleId="DateChar">
    <w:name w:val="Date Char"/>
    <w:basedOn w:val="DefaultParagraphFont"/>
    <w:link w:val="Date"/>
    <w:semiHidden/>
    <w:rsid w:val="00740DDB"/>
    <w:rPr>
      <w:rFonts w:asciiTheme="minorHAnsi" w:hAnsiTheme="minorHAnsi" w:cs="Arial"/>
      <w:sz w:val="18"/>
    </w:rPr>
  </w:style>
  <w:style w:type="paragraph" w:styleId="DocumentMap">
    <w:name w:val="Document Map"/>
    <w:basedOn w:val="Normal"/>
    <w:link w:val="DocumentMapChar"/>
    <w:semiHidden/>
    <w:unhideWhenUsed/>
    <w:rsid w:val="00740DD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740DDB"/>
    <w:rPr>
      <w:rFonts w:ascii="Segoe UI" w:hAnsi="Segoe UI" w:cs="Segoe UI"/>
      <w:sz w:val="16"/>
      <w:szCs w:val="16"/>
    </w:rPr>
  </w:style>
  <w:style w:type="paragraph" w:styleId="E-mailSignature">
    <w:name w:val="E-mail Signature"/>
    <w:basedOn w:val="Normal"/>
    <w:link w:val="E-mailSignatureChar"/>
    <w:semiHidden/>
    <w:unhideWhenUsed/>
    <w:rsid w:val="00740DDB"/>
    <w:pPr>
      <w:spacing w:after="0" w:line="240" w:lineRule="auto"/>
    </w:pPr>
  </w:style>
  <w:style w:type="character" w:customStyle="1" w:styleId="E-mailSignatureChar">
    <w:name w:val="E-mail Signature Char"/>
    <w:basedOn w:val="DefaultParagraphFont"/>
    <w:link w:val="E-mailSignature"/>
    <w:semiHidden/>
    <w:rsid w:val="00740DDB"/>
    <w:rPr>
      <w:rFonts w:asciiTheme="minorHAnsi" w:hAnsiTheme="minorHAnsi" w:cs="Arial"/>
      <w:sz w:val="18"/>
    </w:rPr>
  </w:style>
  <w:style w:type="character" w:styleId="Emphasis">
    <w:name w:val="Emphasis"/>
    <w:basedOn w:val="DefaultParagraphFont"/>
    <w:uiPriority w:val="9"/>
    <w:rsid w:val="00740DDB"/>
    <w:rPr>
      <w:i/>
      <w:iCs/>
    </w:rPr>
  </w:style>
  <w:style w:type="character" w:styleId="EndnoteReference">
    <w:name w:val="endnote reference"/>
    <w:basedOn w:val="DefaultParagraphFont"/>
    <w:semiHidden/>
    <w:unhideWhenUsed/>
    <w:rsid w:val="00740DDB"/>
    <w:rPr>
      <w:vertAlign w:val="superscript"/>
    </w:rPr>
  </w:style>
  <w:style w:type="paragraph" w:styleId="EndnoteText">
    <w:name w:val="endnote text"/>
    <w:basedOn w:val="Normal"/>
    <w:link w:val="EndnoteTextChar"/>
    <w:semiHidden/>
    <w:unhideWhenUsed/>
    <w:rsid w:val="00740DDB"/>
    <w:pPr>
      <w:spacing w:after="0" w:line="240" w:lineRule="auto"/>
    </w:pPr>
    <w:rPr>
      <w:sz w:val="20"/>
    </w:rPr>
  </w:style>
  <w:style w:type="character" w:customStyle="1" w:styleId="EndnoteTextChar">
    <w:name w:val="Endnote Text Char"/>
    <w:basedOn w:val="DefaultParagraphFont"/>
    <w:link w:val="EndnoteText"/>
    <w:semiHidden/>
    <w:rsid w:val="00740DDB"/>
    <w:rPr>
      <w:rFonts w:asciiTheme="minorHAnsi" w:hAnsiTheme="minorHAnsi" w:cs="Arial"/>
    </w:rPr>
  </w:style>
  <w:style w:type="paragraph" w:styleId="EnvelopeAddress">
    <w:name w:val="envelope address"/>
    <w:basedOn w:val="Normal"/>
    <w:semiHidden/>
    <w:unhideWhenUsed/>
    <w:rsid w:val="00740DD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40DDB"/>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unhideWhenUsed/>
    <w:rsid w:val="00740DDB"/>
    <w:rPr>
      <w:color w:val="800080" w:themeColor="followedHyperlink"/>
      <w:u w:val="single"/>
    </w:rPr>
  </w:style>
  <w:style w:type="character" w:styleId="FootnoteReference">
    <w:name w:val="footnote reference"/>
    <w:basedOn w:val="DefaultParagraphFont"/>
    <w:rsid w:val="00740DDB"/>
    <w:rPr>
      <w:vertAlign w:val="superscript"/>
    </w:rPr>
  </w:style>
  <w:style w:type="paragraph" w:styleId="FootnoteText">
    <w:name w:val="footnote text"/>
    <w:basedOn w:val="Normal"/>
    <w:link w:val="FootnoteTextChar"/>
    <w:rsid w:val="00740DDB"/>
    <w:pPr>
      <w:spacing w:after="0" w:line="240" w:lineRule="auto"/>
    </w:pPr>
    <w:rPr>
      <w:sz w:val="20"/>
    </w:rPr>
  </w:style>
  <w:style w:type="character" w:customStyle="1" w:styleId="FootnoteTextChar">
    <w:name w:val="Footnote Text Char"/>
    <w:basedOn w:val="DefaultParagraphFont"/>
    <w:link w:val="FootnoteText"/>
    <w:rsid w:val="00740DDB"/>
    <w:rPr>
      <w:rFonts w:asciiTheme="minorHAnsi" w:hAnsiTheme="minorHAnsi" w:cs="Arial"/>
    </w:rPr>
  </w:style>
  <w:style w:type="character" w:customStyle="1" w:styleId="Hashtag1">
    <w:name w:val="Hashtag1"/>
    <w:basedOn w:val="DefaultParagraphFont"/>
    <w:uiPriority w:val="99"/>
    <w:semiHidden/>
    <w:unhideWhenUsed/>
    <w:rsid w:val="00740DDB"/>
    <w:rPr>
      <w:color w:val="2B579A"/>
      <w:shd w:val="clear" w:color="auto" w:fill="E6E6E6"/>
    </w:rPr>
  </w:style>
  <w:style w:type="character" w:styleId="HTMLAcronym">
    <w:name w:val="HTML Acronym"/>
    <w:basedOn w:val="DefaultParagraphFont"/>
    <w:semiHidden/>
    <w:unhideWhenUsed/>
    <w:rsid w:val="00740DDB"/>
  </w:style>
  <w:style w:type="paragraph" w:styleId="HTMLAddress">
    <w:name w:val="HTML Address"/>
    <w:basedOn w:val="Normal"/>
    <w:link w:val="HTMLAddressChar"/>
    <w:semiHidden/>
    <w:unhideWhenUsed/>
    <w:rsid w:val="00740DDB"/>
    <w:pPr>
      <w:spacing w:after="0" w:line="240" w:lineRule="auto"/>
    </w:pPr>
    <w:rPr>
      <w:i/>
      <w:iCs/>
    </w:rPr>
  </w:style>
  <w:style w:type="character" w:customStyle="1" w:styleId="HTMLAddressChar">
    <w:name w:val="HTML Address Char"/>
    <w:basedOn w:val="DefaultParagraphFont"/>
    <w:link w:val="HTMLAddress"/>
    <w:semiHidden/>
    <w:rsid w:val="00740DDB"/>
    <w:rPr>
      <w:rFonts w:asciiTheme="minorHAnsi" w:hAnsiTheme="minorHAnsi" w:cs="Arial"/>
      <w:i/>
      <w:iCs/>
      <w:sz w:val="18"/>
    </w:rPr>
  </w:style>
  <w:style w:type="character" w:styleId="HTMLCite">
    <w:name w:val="HTML Cite"/>
    <w:basedOn w:val="DefaultParagraphFont"/>
    <w:semiHidden/>
    <w:unhideWhenUsed/>
    <w:rsid w:val="00740DDB"/>
    <w:rPr>
      <w:i/>
      <w:iCs/>
    </w:rPr>
  </w:style>
  <w:style w:type="character" w:styleId="HTMLCode">
    <w:name w:val="HTML Code"/>
    <w:basedOn w:val="DefaultParagraphFont"/>
    <w:semiHidden/>
    <w:unhideWhenUsed/>
    <w:rsid w:val="00740DDB"/>
    <w:rPr>
      <w:rFonts w:ascii="Consolas" w:hAnsi="Consolas"/>
      <w:sz w:val="20"/>
      <w:szCs w:val="20"/>
    </w:rPr>
  </w:style>
  <w:style w:type="character" w:styleId="HTMLDefinition">
    <w:name w:val="HTML Definition"/>
    <w:basedOn w:val="DefaultParagraphFont"/>
    <w:semiHidden/>
    <w:unhideWhenUsed/>
    <w:rsid w:val="00740DDB"/>
    <w:rPr>
      <w:i/>
      <w:iCs/>
    </w:rPr>
  </w:style>
  <w:style w:type="character" w:styleId="HTMLKeyboard">
    <w:name w:val="HTML Keyboard"/>
    <w:basedOn w:val="DefaultParagraphFont"/>
    <w:semiHidden/>
    <w:unhideWhenUsed/>
    <w:rsid w:val="00740DDB"/>
    <w:rPr>
      <w:rFonts w:ascii="Consolas" w:hAnsi="Consolas"/>
      <w:sz w:val="20"/>
      <w:szCs w:val="20"/>
    </w:rPr>
  </w:style>
  <w:style w:type="paragraph" w:styleId="HTMLPreformatted">
    <w:name w:val="HTML Preformatted"/>
    <w:basedOn w:val="Normal"/>
    <w:link w:val="HTMLPreformattedChar"/>
    <w:semiHidden/>
    <w:unhideWhenUsed/>
    <w:rsid w:val="00740DDB"/>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740DDB"/>
    <w:rPr>
      <w:rFonts w:ascii="Consolas" w:hAnsi="Consolas" w:cs="Arial"/>
    </w:rPr>
  </w:style>
  <w:style w:type="character" w:styleId="HTMLSample">
    <w:name w:val="HTML Sample"/>
    <w:basedOn w:val="DefaultParagraphFont"/>
    <w:semiHidden/>
    <w:unhideWhenUsed/>
    <w:rsid w:val="00740DDB"/>
    <w:rPr>
      <w:rFonts w:ascii="Consolas" w:hAnsi="Consolas"/>
      <w:sz w:val="24"/>
      <w:szCs w:val="24"/>
    </w:rPr>
  </w:style>
  <w:style w:type="character" w:styleId="HTMLTypewriter">
    <w:name w:val="HTML Typewriter"/>
    <w:basedOn w:val="DefaultParagraphFont"/>
    <w:semiHidden/>
    <w:unhideWhenUsed/>
    <w:rsid w:val="00740DDB"/>
    <w:rPr>
      <w:rFonts w:ascii="Consolas" w:hAnsi="Consolas"/>
      <w:sz w:val="20"/>
      <w:szCs w:val="20"/>
    </w:rPr>
  </w:style>
  <w:style w:type="character" w:styleId="HTMLVariable">
    <w:name w:val="HTML Variable"/>
    <w:basedOn w:val="DefaultParagraphFont"/>
    <w:semiHidden/>
    <w:unhideWhenUsed/>
    <w:rsid w:val="00740DDB"/>
    <w:rPr>
      <w:i/>
      <w:iCs/>
    </w:rPr>
  </w:style>
  <w:style w:type="paragraph" w:styleId="Index1">
    <w:name w:val="index 1"/>
    <w:basedOn w:val="Normal"/>
    <w:next w:val="Normal"/>
    <w:autoRedefine/>
    <w:semiHidden/>
    <w:unhideWhenUsed/>
    <w:rsid w:val="00740DDB"/>
    <w:pPr>
      <w:spacing w:after="0" w:line="240" w:lineRule="auto"/>
      <w:ind w:left="180" w:hanging="180"/>
    </w:pPr>
  </w:style>
  <w:style w:type="paragraph" w:styleId="Index2">
    <w:name w:val="index 2"/>
    <w:basedOn w:val="Normal"/>
    <w:next w:val="Normal"/>
    <w:autoRedefine/>
    <w:semiHidden/>
    <w:unhideWhenUsed/>
    <w:rsid w:val="00740DDB"/>
    <w:pPr>
      <w:spacing w:after="0" w:line="240" w:lineRule="auto"/>
      <w:ind w:left="360" w:hanging="180"/>
    </w:pPr>
  </w:style>
  <w:style w:type="paragraph" w:styleId="Index3">
    <w:name w:val="index 3"/>
    <w:basedOn w:val="Normal"/>
    <w:next w:val="Normal"/>
    <w:autoRedefine/>
    <w:semiHidden/>
    <w:unhideWhenUsed/>
    <w:rsid w:val="00740DDB"/>
    <w:pPr>
      <w:spacing w:after="0" w:line="240" w:lineRule="auto"/>
      <w:ind w:left="540" w:hanging="180"/>
    </w:pPr>
  </w:style>
  <w:style w:type="paragraph" w:styleId="Index4">
    <w:name w:val="index 4"/>
    <w:basedOn w:val="Normal"/>
    <w:next w:val="Normal"/>
    <w:autoRedefine/>
    <w:semiHidden/>
    <w:unhideWhenUsed/>
    <w:rsid w:val="00740DDB"/>
    <w:pPr>
      <w:spacing w:after="0" w:line="240" w:lineRule="auto"/>
      <w:ind w:left="720" w:hanging="180"/>
    </w:pPr>
  </w:style>
  <w:style w:type="paragraph" w:styleId="Index5">
    <w:name w:val="index 5"/>
    <w:basedOn w:val="Normal"/>
    <w:next w:val="Normal"/>
    <w:autoRedefine/>
    <w:semiHidden/>
    <w:unhideWhenUsed/>
    <w:rsid w:val="00740DDB"/>
    <w:pPr>
      <w:spacing w:after="0" w:line="240" w:lineRule="auto"/>
      <w:ind w:left="900" w:hanging="180"/>
    </w:pPr>
  </w:style>
  <w:style w:type="paragraph" w:styleId="Index6">
    <w:name w:val="index 6"/>
    <w:basedOn w:val="Normal"/>
    <w:next w:val="Normal"/>
    <w:autoRedefine/>
    <w:semiHidden/>
    <w:unhideWhenUsed/>
    <w:rsid w:val="00740DDB"/>
    <w:pPr>
      <w:spacing w:after="0" w:line="240" w:lineRule="auto"/>
      <w:ind w:left="1080" w:hanging="180"/>
    </w:pPr>
  </w:style>
  <w:style w:type="paragraph" w:styleId="Index7">
    <w:name w:val="index 7"/>
    <w:basedOn w:val="Normal"/>
    <w:next w:val="Normal"/>
    <w:autoRedefine/>
    <w:semiHidden/>
    <w:unhideWhenUsed/>
    <w:rsid w:val="00740DDB"/>
    <w:pPr>
      <w:spacing w:after="0" w:line="240" w:lineRule="auto"/>
      <w:ind w:left="1260" w:hanging="180"/>
    </w:pPr>
  </w:style>
  <w:style w:type="paragraph" w:styleId="Index8">
    <w:name w:val="index 8"/>
    <w:basedOn w:val="Normal"/>
    <w:next w:val="Normal"/>
    <w:autoRedefine/>
    <w:semiHidden/>
    <w:unhideWhenUsed/>
    <w:rsid w:val="00740DDB"/>
    <w:pPr>
      <w:spacing w:after="0" w:line="240" w:lineRule="auto"/>
      <w:ind w:left="1440" w:hanging="180"/>
    </w:pPr>
  </w:style>
  <w:style w:type="paragraph" w:styleId="Index9">
    <w:name w:val="index 9"/>
    <w:basedOn w:val="Normal"/>
    <w:next w:val="Normal"/>
    <w:autoRedefine/>
    <w:semiHidden/>
    <w:unhideWhenUsed/>
    <w:rsid w:val="00740DDB"/>
    <w:pPr>
      <w:spacing w:after="0" w:line="240" w:lineRule="auto"/>
      <w:ind w:left="1620" w:hanging="180"/>
    </w:pPr>
  </w:style>
  <w:style w:type="paragraph" w:styleId="IndexHeading">
    <w:name w:val="index heading"/>
    <w:basedOn w:val="Normal"/>
    <w:next w:val="Index1"/>
    <w:semiHidden/>
    <w:unhideWhenUsed/>
    <w:rsid w:val="00740DDB"/>
    <w:rPr>
      <w:rFonts w:asciiTheme="majorHAnsi" w:eastAsiaTheme="majorEastAsia" w:hAnsiTheme="majorHAnsi" w:cstheme="majorBidi"/>
      <w:b/>
      <w:bCs/>
    </w:rPr>
  </w:style>
  <w:style w:type="character" w:styleId="IntenseEmphasis">
    <w:name w:val="Intense Emphasis"/>
    <w:basedOn w:val="DefaultParagraphFont"/>
    <w:uiPriority w:val="21"/>
    <w:rsid w:val="00740DDB"/>
    <w:rPr>
      <w:i/>
      <w:iCs/>
      <w:color w:val="4F2D7F" w:themeColor="accent1"/>
    </w:rPr>
  </w:style>
  <w:style w:type="paragraph" w:styleId="IntenseQuote">
    <w:name w:val="Intense Quote"/>
    <w:basedOn w:val="Normal"/>
    <w:next w:val="Normal"/>
    <w:link w:val="IntenseQuoteChar"/>
    <w:uiPriority w:val="30"/>
    <w:rsid w:val="00740DDB"/>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rsid w:val="00740DDB"/>
    <w:rPr>
      <w:rFonts w:asciiTheme="minorHAnsi" w:hAnsiTheme="minorHAnsi" w:cs="Arial"/>
      <w:i/>
      <w:iCs/>
      <w:color w:val="4F2D7F" w:themeColor="accent1"/>
      <w:sz w:val="18"/>
    </w:rPr>
  </w:style>
  <w:style w:type="character" w:styleId="IntenseReference">
    <w:name w:val="Intense Reference"/>
    <w:basedOn w:val="DefaultParagraphFont"/>
    <w:uiPriority w:val="32"/>
    <w:semiHidden/>
    <w:unhideWhenUsed/>
    <w:rsid w:val="00740DDB"/>
    <w:rPr>
      <w:b/>
      <w:bCs/>
      <w:smallCaps/>
      <w:color w:val="4F2D7F" w:themeColor="accent1"/>
      <w:spacing w:val="5"/>
    </w:rPr>
  </w:style>
  <w:style w:type="character" w:styleId="LineNumber">
    <w:name w:val="line number"/>
    <w:basedOn w:val="DefaultParagraphFont"/>
    <w:semiHidden/>
    <w:unhideWhenUsed/>
    <w:rsid w:val="00740DDB"/>
  </w:style>
  <w:style w:type="paragraph" w:styleId="List">
    <w:name w:val="List"/>
    <w:basedOn w:val="Normal"/>
    <w:unhideWhenUsed/>
    <w:rsid w:val="00740DDB"/>
    <w:pPr>
      <w:ind w:left="283" w:hanging="283"/>
      <w:contextualSpacing/>
    </w:pPr>
  </w:style>
  <w:style w:type="paragraph" w:styleId="List2">
    <w:name w:val="List 2"/>
    <w:basedOn w:val="Normal"/>
    <w:uiPriority w:val="1"/>
    <w:semiHidden/>
    <w:rsid w:val="00740DDB"/>
    <w:pPr>
      <w:ind w:left="566" w:hanging="283"/>
      <w:contextualSpacing/>
    </w:pPr>
  </w:style>
  <w:style w:type="paragraph" w:styleId="List3">
    <w:name w:val="List 3"/>
    <w:basedOn w:val="Normal"/>
    <w:uiPriority w:val="1"/>
    <w:semiHidden/>
    <w:unhideWhenUsed/>
    <w:rsid w:val="00740DDB"/>
    <w:pPr>
      <w:ind w:left="849" w:hanging="283"/>
      <w:contextualSpacing/>
    </w:pPr>
  </w:style>
  <w:style w:type="paragraph" w:styleId="List4">
    <w:name w:val="List 4"/>
    <w:basedOn w:val="Normal"/>
    <w:uiPriority w:val="1"/>
    <w:semiHidden/>
    <w:unhideWhenUsed/>
    <w:rsid w:val="00740DDB"/>
    <w:pPr>
      <w:ind w:left="1132" w:hanging="283"/>
      <w:contextualSpacing/>
    </w:pPr>
  </w:style>
  <w:style w:type="paragraph" w:styleId="List5">
    <w:name w:val="List 5"/>
    <w:basedOn w:val="Normal"/>
    <w:uiPriority w:val="1"/>
    <w:semiHidden/>
    <w:unhideWhenUsed/>
    <w:rsid w:val="00740DDB"/>
    <w:pPr>
      <w:ind w:left="1415" w:hanging="283"/>
      <w:contextualSpacing/>
    </w:pPr>
  </w:style>
  <w:style w:type="paragraph" w:styleId="ListBullet4">
    <w:name w:val="List Bullet 4"/>
    <w:basedOn w:val="Normal"/>
    <w:uiPriority w:val="1"/>
    <w:semiHidden/>
    <w:unhideWhenUsed/>
    <w:rsid w:val="00740DDB"/>
    <w:pPr>
      <w:numPr>
        <w:numId w:val="2"/>
      </w:numPr>
      <w:contextualSpacing/>
    </w:pPr>
  </w:style>
  <w:style w:type="paragraph" w:styleId="ListBullet5">
    <w:name w:val="List Bullet 5"/>
    <w:basedOn w:val="Normal"/>
    <w:uiPriority w:val="1"/>
    <w:semiHidden/>
    <w:unhideWhenUsed/>
    <w:rsid w:val="00740DDB"/>
    <w:pPr>
      <w:numPr>
        <w:numId w:val="3"/>
      </w:numPr>
      <w:contextualSpacing/>
    </w:pPr>
  </w:style>
  <w:style w:type="paragraph" w:styleId="ListContinue">
    <w:name w:val="List Continue"/>
    <w:basedOn w:val="Normal"/>
    <w:uiPriority w:val="2"/>
    <w:semiHidden/>
    <w:unhideWhenUsed/>
    <w:rsid w:val="00740DDB"/>
    <w:pPr>
      <w:ind w:left="283"/>
      <w:contextualSpacing/>
    </w:pPr>
  </w:style>
  <w:style w:type="paragraph" w:styleId="ListContinue2">
    <w:name w:val="List Continue 2"/>
    <w:basedOn w:val="Normal"/>
    <w:uiPriority w:val="2"/>
    <w:semiHidden/>
    <w:unhideWhenUsed/>
    <w:rsid w:val="00740DDB"/>
    <w:pPr>
      <w:ind w:left="566"/>
      <w:contextualSpacing/>
    </w:pPr>
  </w:style>
  <w:style w:type="paragraph" w:styleId="ListContinue3">
    <w:name w:val="List Continue 3"/>
    <w:basedOn w:val="Normal"/>
    <w:uiPriority w:val="2"/>
    <w:semiHidden/>
    <w:unhideWhenUsed/>
    <w:rsid w:val="00740DDB"/>
    <w:pPr>
      <w:ind w:left="849"/>
      <w:contextualSpacing/>
    </w:pPr>
  </w:style>
  <w:style w:type="paragraph" w:styleId="ListContinue4">
    <w:name w:val="List Continue 4"/>
    <w:basedOn w:val="Normal"/>
    <w:uiPriority w:val="2"/>
    <w:semiHidden/>
    <w:rsid w:val="00740DDB"/>
    <w:pPr>
      <w:ind w:left="1132"/>
      <w:contextualSpacing/>
    </w:pPr>
  </w:style>
  <w:style w:type="paragraph" w:styleId="ListContinue5">
    <w:name w:val="List Continue 5"/>
    <w:basedOn w:val="Normal"/>
    <w:uiPriority w:val="2"/>
    <w:semiHidden/>
    <w:rsid w:val="00740DDB"/>
    <w:pPr>
      <w:ind w:left="1415"/>
      <w:contextualSpacing/>
    </w:pPr>
  </w:style>
  <w:style w:type="paragraph" w:styleId="ListNumber4">
    <w:name w:val="List Number 4"/>
    <w:basedOn w:val="Normal"/>
    <w:uiPriority w:val="2"/>
    <w:semiHidden/>
    <w:unhideWhenUsed/>
    <w:rsid w:val="00740DDB"/>
    <w:pPr>
      <w:numPr>
        <w:numId w:val="4"/>
      </w:numPr>
      <w:contextualSpacing/>
    </w:pPr>
  </w:style>
  <w:style w:type="paragraph" w:styleId="ListNumber5">
    <w:name w:val="List Number 5"/>
    <w:basedOn w:val="Normal"/>
    <w:uiPriority w:val="2"/>
    <w:semiHidden/>
    <w:unhideWhenUsed/>
    <w:rsid w:val="00740DDB"/>
    <w:pPr>
      <w:numPr>
        <w:numId w:val="5"/>
      </w:numPr>
      <w:contextualSpacing/>
    </w:pPr>
  </w:style>
  <w:style w:type="paragraph" w:styleId="ListParagraph">
    <w:name w:val="List Paragraph"/>
    <w:basedOn w:val="Normal"/>
    <w:uiPriority w:val="34"/>
    <w:qFormat/>
    <w:rsid w:val="00740DDB"/>
    <w:pPr>
      <w:ind w:left="720"/>
      <w:contextualSpacing/>
    </w:pPr>
  </w:style>
  <w:style w:type="character" w:customStyle="1" w:styleId="Mention1">
    <w:name w:val="Mention1"/>
    <w:basedOn w:val="DefaultParagraphFont"/>
    <w:uiPriority w:val="99"/>
    <w:semiHidden/>
    <w:unhideWhenUsed/>
    <w:rsid w:val="00740DDB"/>
    <w:rPr>
      <w:color w:val="2B579A"/>
      <w:shd w:val="clear" w:color="auto" w:fill="E6E6E6"/>
    </w:rPr>
  </w:style>
  <w:style w:type="paragraph" w:styleId="MessageHeader">
    <w:name w:val="Message Header"/>
    <w:basedOn w:val="Normal"/>
    <w:link w:val="MessageHeaderChar"/>
    <w:semiHidden/>
    <w:rsid w:val="00740D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40DDB"/>
    <w:rPr>
      <w:rFonts w:asciiTheme="majorHAnsi" w:eastAsiaTheme="majorEastAsia" w:hAnsiTheme="majorHAnsi" w:cstheme="majorBidi"/>
      <w:sz w:val="24"/>
      <w:szCs w:val="24"/>
      <w:shd w:val="pct20" w:color="auto" w:fill="auto"/>
    </w:rPr>
  </w:style>
  <w:style w:type="paragraph" w:styleId="NormalWeb">
    <w:name w:val="Normal (Web)"/>
    <w:basedOn w:val="Normal"/>
    <w:uiPriority w:val="11"/>
    <w:semiHidden/>
    <w:unhideWhenUsed/>
    <w:rsid w:val="00740DDB"/>
    <w:rPr>
      <w:rFonts w:ascii="Times New Roman" w:hAnsi="Times New Roman"/>
      <w:sz w:val="24"/>
      <w:szCs w:val="24"/>
    </w:rPr>
  </w:style>
  <w:style w:type="paragraph" w:styleId="NormalIndent">
    <w:name w:val="Normal Indent"/>
    <w:basedOn w:val="Normal"/>
    <w:semiHidden/>
    <w:unhideWhenUsed/>
    <w:rsid w:val="00740DDB"/>
    <w:pPr>
      <w:ind w:left="720"/>
    </w:pPr>
  </w:style>
  <w:style w:type="paragraph" w:styleId="NoteHeading">
    <w:name w:val="Note Heading"/>
    <w:basedOn w:val="Normal"/>
    <w:next w:val="Normal"/>
    <w:link w:val="NoteHeadingChar"/>
    <w:semiHidden/>
    <w:unhideWhenUsed/>
    <w:rsid w:val="00740DDB"/>
    <w:pPr>
      <w:spacing w:after="0" w:line="240" w:lineRule="auto"/>
    </w:pPr>
  </w:style>
  <w:style w:type="character" w:customStyle="1" w:styleId="NoteHeadingChar">
    <w:name w:val="Note Heading Char"/>
    <w:basedOn w:val="DefaultParagraphFont"/>
    <w:link w:val="NoteHeading"/>
    <w:semiHidden/>
    <w:rsid w:val="00740DDB"/>
    <w:rPr>
      <w:rFonts w:asciiTheme="minorHAnsi" w:hAnsiTheme="minorHAnsi" w:cs="Arial"/>
      <w:sz w:val="18"/>
    </w:rPr>
  </w:style>
  <w:style w:type="character" w:styleId="PlaceholderText">
    <w:name w:val="Placeholder Text"/>
    <w:basedOn w:val="DefaultParagraphFont"/>
    <w:uiPriority w:val="99"/>
    <w:semiHidden/>
    <w:rsid w:val="00740DDB"/>
    <w:rPr>
      <w:color w:val="808080"/>
    </w:rPr>
  </w:style>
  <w:style w:type="paragraph" w:styleId="Salutation">
    <w:name w:val="Salutation"/>
    <w:basedOn w:val="Normal"/>
    <w:next w:val="Normal"/>
    <w:link w:val="SalutationChar"/>
    <w:semiHidden/>
    <w:unhideWhenUsed/>
    <w:rsid w:val="00740DDB"/>
  </w:style>
  <w:style w:type="character" w:customStyle="1" w:styleId="SalutationChar">
    <w:name w:val="Salutation Char"/>
    <w:basedOn w:val="DefaultParagraphFont"/>
    <w:link w:val="Salutation"/>
    <w:semiHidden/>
    <w:rsid w:val="00740DDB"/>
    <w:rPr>
      <w:rFonts w:asciiTheme="minorHAnsi" w:hAnsiTheme="minorHAnsi" w:cs="Arial"/>
      <w:sz w:val="18"/>
    </w:rPr>
  </w:style>
  <w:style w:type="paragraph" w:styleId="Signature">
    <w:name w:val="Signature"/>
    <w:basedOn w:val="Normal"/>
    <w:link w:val="SignatureChar"/>
    <w:semiHidden/>
    <w:unhideWhenUsed/>
    <w:rsid w:val="00740DDB"/>
    <w:pPr>
      <w:spacing w:after="0" w:line="240" w:lineRule="auto"/>
      <w:ind w:left="4252"/>
    </w:pPr>
  </w:style>
  <w:style w:type="character" w:customStyle="1" w:styleId="SignatureChar">
    <w:name w:val="Signature Char"/>
    <w:basedOn w:val="DefaultParagraphFont"/>
    <w:link w:val="Signature"/>
    <w:semiHidden/>
    <w:rsid w:val="00740DDB"/>
    <w:rPr>
      <w:rFonts w:asciiTheme="minorHAnsi" w:hAnsiTheme="minorHAnsi" w:cs="Arial"/>
      <w:sz w:val="18"/>
    </w:rPr>
  </w:style>
  <w:style w:type="character" w:customStyle="1" w:styleId="SmartHyperlink1">
    <w:name w:val="Smart Hyperlink1"/>
    <w:basedOn w:val="DefaultParagraphFont"/>
    <w:uiPriority w:val="99"/>
    <w:semiHidden/>
    <w:unhideWhenUsed/>
    <w:rsid w:val="00740DDB"/>
    <w:rPr>
      <w:u w:val="dotted"/>
    </w:rPr>
  </w:style>
  <w:style w:type="character" w:styleId="SubtleEmphasis">
    <w:name w:val="Subtle Emphasis"/>
    <w:basedOn w:val="DefaultParagraphFont"/>
    <w:uiPriority w:val="19"/>
    <w:rsid w:val="00740DDB"/>
    <w:rPr>
      <w:i/>
      <w:iCs/>
      <w:color w:val="404040" w:themeColor="text1" w:themeTint="BF"/>
    </w:rPr>
  </w:style>
  <w:style w:type="character" w:styleId="SubtleReference">
    <w:name w:val="Subtle Reference"/>
    <w:basedOn w:val="DefaultParagraphFont"/>
    <w:uiPriority w:val="31"/>
    <w:rsid w:val="00740DDB"/>
    <w:rPr>
      <w:smallCaps/>
      <w:color w:val="5A5A5A" w:themeColor="text1" w:themeTint="A5"/>
    </w:rPr>
  </w:style>
  <w:style w:type="paragraph" w:styleId="TableofAuthorities">
    <w:name w:val="table of authorities"/>
    <w:basedOn w:val="Normal"/>
    <w:next w:val="Normal"/>
    <w:semiHidden/>
    <w:unhideWhenUsed/>
    <w:rsid w:val="00740DDB"/>
    <w:pPr>
      <w:spacing w:after="0"/>
      <w:ind w:left="180" w:hanging="180"/>
    </w:pPr>
  </w:style>
  <w:style w:type="paragraph" w:styleId="TableofFigures">
    <w:name w:val="table of figures"/>
    <w:basedOn w:val="Normal"/>
    <w:next w:val="Normal"/>
    <w:semiHidden/>
    <w:unhideWhenUsed/>
    <w:rsid w:val="00740DDB"/>
    <w:pPr>
      <w:spacing w:after="0"/>
    </w:pPr>
  </w:style>
  <w:style w:type="paragraph" w:styleId="TOAHeading">
    <w:name w:val="toa heading"/>
    <w:basedOn w:val="Normal"/>
    <w:next w:val="Normal"/>
    <w:semiHidden/>
    <w:rsid w:val="00740DD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40DDB"/>
    <w:pPr>
      <w:keepLines/>
      <w:spacing w:after="0" w:line="240" w:lineRule="atLeast"/>
      <w:outlineLvl w:val="9"/>
    </w:pPr>
    <w:rPr>
      <w:rFonts w:eastAsiaTheme="majorEastAsia" w:cstheme="majorBidi"/>
      <w:bCs w:val="0"/>
      <w:color w:val="3A215E" w:themeColor="accent1" w:themeShade="BF"/>
      <w:kern w:val="0"/>
      <w:sz w:val="32"/>
      <w:szCs w:val="32"/>
      <w:lang w:val="en-US"/>
    </w:rPr>
  </w:style>
  <w:style w:type="character" w:customStyle="1" w:styleId="UnresolvedMention1">
    <w:name w:val="Unresolved Mention1"/>
    <w:basedOn w:val="DefaultParagraphFont"/>
    <w:uiPriority w:val="99"/>
    <w:semiHidden/>
    <w:unhideWhenUsed/>
    <w:rsid w:val="00740DDB"/>
    <w:rPr>
      <w:color w:val="808080"/>
      <w:shd w:val="clear" w:color="auto" w:fill="E6E6E6"/>
    </w:rPr>
  </w:style>
  <w:style w:type="paragraph" w:customStyle="1" w:styleId="NumAppendixTitle">
    <w:name w:val="Num Appendix Title"/>
    <w:next w:val="BodyText"/>
    <w:uiPriority w:val="11"/>
    <w:qFormat/>
    <w:rsid w:val="00EC1109"/>
    <w:pPr>
      <w:pageBreakBefore/>
      <w:framePr w:w="9299" w:wrap="around" w:vAnchor="page" w:hAnchor="margin" w:x="-679" w:y="1419" w:anchorLock="1"/>
      <w:numPr>
        <w:numId w:val="13"/>
      </w:numPr>
      <w:spacing w:after="120" w:line="800" w:lineRule="exact"/>
    </w:pPr>
    <w:rPr>
      <w:rFonts w:asciiTheme="majorHAnsi" w:hAnsiTheme="majorHAnsi" w:cstheme="majorHAnsi"/>
      <w:bCs/>
      <w:color w:val="4F2D7F" w:themeColor="accent1"/>
      <w:kern w:val="28"/>
      <w:sz w:val="72"/>
      <w:szCs w:val="32"/>
      <w:lang w:val="en-GB"/>
    </w:rPr>
  </w:style>
  <w:style w:type="numbering" w:customStyle="1" w:styleId="GTNumberedAppendices">
    <w:name w:val="GT Numbered Appendices"/>
    <w:uiPriority w:val="99"/>
    <w:rsid w:val="00EC1109"/>
    <w:pPr>
      <w:numPr>
        <w:numId w:val="13"/>
      </w:numPr>
    </w:pPr>
  </w:style>
  <w:style w:type="paragraph" w:customStyle="1" w:styleId="Covertitle">
    <w:name w:val="Cover title"/>
    <w:basedOn w:val="BodyText"/>
    <w:next w:val="Coversubheading"/>
    <w:unhideWhenUsed/>
    <w:rsid w:val="004961AF"/>
    <w:pPr>
      <w:spacing w:after="0" w:line="216" w:lineRule="auto"/>
      <w:ind w:right="1304"/>
    </w:pPr>
    <w:rPr>
      <w:rFonts w:eastAsiaTheme="majorEastAsia" w:cstheme="minorHAnsi"/>
      <w:b/>
      <w:color w:val="4F2D7F" w:themeColor="accent1"/>
      <w:sz w:val="72"/>
      <w:szCs w:val="72"/>
      <w:lang w:eastAsia="en-GB"/>
    </w:rPr>
  </w:style>
  <w:style w:type="paragraph" w:customStyle="1" w:styleId="Coversubheading">
    <w:name w:val="Cover subheading"/>
    <w:basedOn w:val="BodyText"/>
    <w:next w:val="Normal"/>
    <w:unhideWhenUsed/>
    <w:rsid w:val="004961AF"/>
    <w:pPr>
      <w:spacing w:before="600" w:after="360" w:line="240" w:lineRule="auto"/>
      <w:ind w:right="4394"/>
    </w:pPr>
    <w:rPr>
      <w:rFonts w:cstheme="minorHAnsi"/>
      <w:color w:val="000000" w:themeColor="text1"/>
      <w:sz w:val="36"/>
      <w:szCs w:val="20"/>
      <w:lang w:eastAsia="en-GB"/>
    </w:rPr>
  </w:style>
  <w:style w:type="paragraph" w:customStyle="1" w:styleId="Coverdate">
    <w:name w:val="Cover date"/>
    <w:basedOn w:val="Date"/>
    <w:unhideWhenUsed/>
    <w:rsid w:val="004961AF"/>
    <w:pPr>
      <w:spacing w:before="720" w:after="0" w:line="240" w:lineRule="auto"/>
      <w:ind w:right="4394"/>
    </w:pPr>
    <w:rPr>
      <w:rFonts w:cstheme="minorHAnsi"/>
      <w:b/>
      <w:color w:val="00A7B5" w:themeColor="accent3"/>
      <w:szCs w:val="20"/>
      <w:lang w:val="en-GB" w:eastAsia="en-GB"/>
    </w:rPr>
  </w:style>
  <w:style w:type="paragraph" w:customStyle="1" w:styleId="Reference">
    <w:name w:val="Reference"/>
    <w:basedOn w:val="Header"/>
    <w:uiPriority w:val="9"/>
    <w:rsid w:val="007413FA"/>
    <w:pPr>
      <w:ind w:left="709" w:hanging="709"/>
    </w:pPr>
    <w:rPr>
      <w:b w:val="0"/>
      <w:color w:val="000000" w:themeColor="text1"/>
    </w:rPr>
  </w:style>
  <w:style w:type="table" w:styleId="TableGrid">
    <w:name w:val="Table Grid"/>
    <w:basedOn w:val="TableNormal"/>
    <w:rsid w:val="007413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bold">
    <w:name w:val="Highlight bold"/>
    <w:uiPriority w:val="1"/>
    <w:qFormat/>
    <w:rsid w:val="007413FA"/>
    <w:rPr>
      <w:b/>
      <w:bCs/>
      <w:lang w:val="en-US"/>
    </w:rPr>
  </w:style>
  <w:style w:type="paragraph" w:customStyle="1" w:styleId="Letteraddress">
    <w:name w:val="Letter address"/>
    <w:basedOn w:val="Normal"/>
    <w:unhideWhenUsed/>
    <w:rsid w:val="007413FA"/>
    <w:pPr>
      <w:framePr w:w="2368" w:wrap="around" w:vAnchor="text" w:hAnchor="page" w:x="13524" w:y="2357"/>
      <w:spacing w:after="60"/>
    </w:pPr>
    <w:rPr>
      <w:rFonts w:eastAsiaTheme="minorEastAsia"/>
      <w:color w:val="000000" w:themeColor="text1"/>
      <w:sz w:val="16"/>
      <w:lang w:eastAsia="en-GB"/>
    </w:rPr>
  </w:style>
  <w:style w:type="table" w:customStyle="1" w:styleId="TableGrid1">
    <w:name w:val="Table Grid1"/>
    <w:basedOn w:val="TableNormal"/>
    <w:next w:val="TableGrid"/>
    <w:rsid w:val="0002557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2557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97BB2"/>
    <w:rPr>
      <w:rFonts w:cs="Arial"/>
      <w:b/>
      <w:color w:val="747678" w:themeColor="background2"/>
      <w:sz w:val="16"/>
      <w:lang w:val="en-GB"/>
    </w:rPr>
  </w:style>
  <w:style w:type="paragraph" w:customStyle="1" w:styleId="Disclaimer">
    <w:name w:val="Disclaimer"/>
    <w:basedOn w:val="Normal"/>
    <w:semiHidden/>
    <w:unhideWhenUsed/>
    <w:rsid w:val="00DD40CF"/>
    <w:pPr>
      <w:framePr w:w="6671" w:wrap="around" w:vAnchor="text" w:hAnchor="page" w:x="4321" w:y="14001"/>
      <w:tabs>
        <w:tab w:val="center" w:pos="4513"/>
        <w:tab w:val="right" w:pos="9026"/>
      </w:tabs>
      <w:spacing w:before="60" w:after="60" w:line="240" w:lineRule="auto"/>
    </w:pPr>
    <w:rPr>
      <w:rFonts w:eastAsiaTheme="minorEastAsia" w:cstheme="minorHAnsi"/>
      <w:noProof/>
      <w:color w:val="000000" w:themeColor="text1"/>
      <w:sz w:val="12"/>
      <w:lang w:eastAsia="en-GB"/>
    </w:rPr>
  </w:style>
  <w:style w:type="paragraph" w:customStyle="1" w:styleId="Letterfooter0">
    <w:name w:val="Letter footer"/>
    <w:basedOn w:val="Normal"/>
    <w:unhideWhenUsed/>
    <w:rsid w:val="001C2F86"/>
    <w:pPr>
      <w:tabs>
        <w:tab w:val="center" w:pos="4513"/>
        <w:tab w:val="right" w:pos="9026"/>
      </w:tabs>
      <w:spacing w:before="60" w:after="60" w:line="240" w:lineRule="auto"/>
    </w:pPr>
    <w:rPr>
      <w:rFonts w:cstheme="minorHAnsi"/>
      <w:noProof/>
      <w:color w:val="000000" w:themeColor="text1"/>
      <w:sz w:val="12"/>
      <w:lang w:val="en-GB" w:eastAsia="en-GB"/>
    </w:rPr>
  </w:style>
  <w:style w:type="character" w:customStyle="1" w:styleId="Highlightblue">
    <w:name w:val="Highlight blue"/>
    <w:basedOn w:val="DefaultParagraphFont"/>
    <w:uiPriority w:val="1"/>
    <w:qFormat/>
    <w:rsid w:val="00CA271A"/>
    <w:rPr>
      <w:b w:val="0"/>
      <w:noProof w:val="0"/>
      <w:color w:val="00A7B5" w:themeColor="accent3"/>
      <w:lang w:val="en-GB"/>
    </w:rPr>
  </w:style>
  <w:style w:type="paragraph" w:customStyle="1" w:styleId="CoverTitle0">
    <w:name w:val="Cover Title"/>
    <w:rsid w:val="00302DD6"/>
    <w:pPr>
      <w:spacing w:before="400" w:after="400" w:line="580" w:lineRule="atLeast"/>
    </w:pPr>
    <w:rPr>
      <w:rFonts w:ascii="Garamond" w:hAnsi="Garamond" w:cs="Arial"/>
      <w:bCs/>
      <w:kern w:val="28"/>
      <w:sz w:val="40"/>
      <w:szCs w:val="32"/>
      <w:lang w:val="en-GB"/>
    </w:rPr>
  </w:style>
  <w:style w:type="paragraph" w:customStyle="1" w:styleId="heaing1">
    <w:name w:val="heaing 1"/>
    <w:basedOn w:val="Normal"/>
    <w:rsid w:val="00302DD6"/>
    <w:pPr>
      <w:spacing w:after="0" w:line="240" w:lineRule="auto"/>
    </w:pPr>
    <w:rPr>
      <w:rFonts w:ascii="MAC C Times" w:hAnsi="MAC C Times"/>
      <w:b/>
      <w:sz w:val="20"/>
      <w:szCs w:val="20"/>
    </w:rPr>
  </w:style>
  <w:style w:type="paragraph" w:customStyle="1" w:styleId="BodyText23">
    <w:name w:val="Body Text 23"/>
    <w:basedOn w:val="Normal"/>
    <w:rsid w:val="00302DD6"/>
    <w:pPr>
      <w:widowControl w:val="0"/>
      <w:tabs>
        <w:tab w:val="left" w:pos="0"/>
        <w:tab w:val="left" w:pos="821"/>
        <w:tab w:val="left" w:pos="1728"/>
        <w:tab w:val="left" w:pos="2448"/>
        <w:tab w:val="left" w:pos="3168"/>
        <w:tab w:val="left" w:pos="3888"/>
        <w:tab w:val="left" w:pos="4608"/>
        <w:tab w:val="left" w:pos="5328"/>
        <w:tab w:val="left" w:pos="6048"/>
        <w:tab w:val="left" w:pos="6768"/>
      </w:tabs>
      <w:spacing w:after="0" w:line="240" w:lineRule="auto"/>
      <w:jc w:val="both"/>
    </w:pPr>
    <w:rPr>
      <w:rFonts w:ascii="Times New Roman" w:hAnsi="Times New Roman"/>
      <w:sz w:val="22"/>
      <w:szCs w:val="20"/>
    </w:rPr>
  </w:style>
  <w:style w:type="paragraph" w:customStyle="1" w:styleId="BodyText22">
    <w:name w:val="Body Text 22"/>
    <w:basedOn w:val="Normal"/>
    <w:rsid w:val="00302DD6"/>
    <w:pPr>
      <w:spacing w:after="0" w:line="240" w:lineRule="auto"/>
      <w:ind w:left="720"/>
      <w:jc w:val="both"/>
    </w:pPr>
    <w:rPr>
      <w:rFonts w:ascii="Pulstajms7" w:hAnsi="Pulstajms7"/>
      <w:sz w:val="20"/>
      <w:szCs w:val="20"/>
    </w:rPr>
  </w:style>
  <w:style w:type="paragraph" w:customStyle="1" w:styleId="BodyText21">
    <w:name w:val="Body Text 21"/>
    <w:basedOn w:val="Normal"/>
    <w:rsid w:val="00302DD6"/>
    <w:pPr>
      <w:spacing w:after="0" w:line="240" w:lineRule="auto"/>
      <w:ind w:right="-58"/>
      <w:jc w:val="both"/>
    </w:pPr>
    <w:rPr>
      <w:rFonts w:ascii="Pulstajms7" w:hAnsi="Pulstajms7"/>
      <w:b/>
      <w:sz w:val="20"/>
      <w:szCs w:val="20"/>
    </w:rPr>
  </w:style>
  <w:style w:type="paragraph" w:customStyle="1" w:styleId="Char">
    <w:name w:val="Char"/>
    <w:basedOn w:val="Normal"/>
    <w:rsid w:val="00302DD6"/>
    <w:pPr>
      <w:tabs>
        <w:tab w:val="left" w:pos="709"/>
      </w:tabs>
      <w:spacing w:after="0" w:line="240" w:lineRule="auto"/>
    </w:pPr>
    <w:rPr>
      <w:rFonts w:ascii="Tahoma" w:hAnsi="Tahoma"/>
      <w:sz w:val="24"/>
      <w:szCs w:val="24"/>
      <w:lang w:val="pl-PL" w:eastAsia="pl-PL"/>
    </w:rPr>
  </w:style>
  <w:style w:type="paragraph" w:customStyle="1" w:styleId="Char10">
    <w:name w:val="Char10"/>
    <w:basedOn w:val="Normal"/>
    <w:link w:val="CharChar"/>
    <w:rsid w:val="00302DD6"/>
    <w:pPr>
      <w:numPr>
        <w:ilvl w:val="12"/>
      </w:numPr>
      <w:tabs>
        <w:tab w:val="left" w:pos="-720"/>
        <w:tab w:val="left" w:pos="3780"/>
      </w:tabs>
      <w:suppressAutoHyphens/>
      <w:spacing w:after="0" w:line="240" w:lineRule="auto"/>
    </w:pPr>
    <w:rPr>
      <w:rFonts w:ascii="M_Garamond" w:hAnsi="M_Garamond" w:cs="Arial"/>
      <w:noProof/>
      <w:sz w:val="22"/>
      <w:szCs w:val="20"/>
      <w:lang w:val="mk-MK"/>
    </w:rPr>
  </w:style>
  <w:style w:type="character" w:customStyle="1" w:styleId="CharChar">
    <w:name w:val="Char Char"/>
    <w:link w:val="Char10"/>
    <w:rsid w:val="00302DD6"/>
    <w:rPr>
      <w:rFonts w:ascii="M_Garamond" w:hAnsi="M_Garamond" w:cs="Arial"/>
      <w:noProof/>
      <w:sz w:val="22"/>
      <w:szCs w:val="20"/>
      <w:lang w:val="mk-MK"/>
    </w:rPr>
  </w:style>
  <w:style w:type="character" w:customStyle="1" w:styleId="longtext">
    <w:name w:val="long_text"/>
    <w:basedOn w:val="DefaultParagraphFont"/>
    <w:rsid w:val="00302DD6"/>
  </w:style>
  <w:style w:type="paragraph" w:customStyle="1" w:styleId="Char9">
    <w:name w:val="Char9"/>
    <w:basedOn w:val="Normal"/>
    <w:rsid w:val="00302DD6"/>
    <w:pPr>
      <w:tabs>
        <w:tab w:val="left" w:pos="709"/>
      </w:tabs>
      <w:spacing w:after="0" w:line="240" w:lineRule="auto"/>
    </w:pPr>
    <w:rPr>
      <w:rFonts w:ascii="Tahoma" w:hAnsi="Tahoma"/>
      <w:sz w:val="24"/>
      <w:szCs w:val="24"/>
      <w:lang w:val="pl-PL" w:eastAsia="pl-PL"/>
    </w:rPr>
  </w:style>
  <w:style w:type="paragraph" w:customStyle="1" w:styleId="heading1salesguide">
    <w:name w:val="heading 1 sales guide"/>
    <w:basedOn w:val="Normal"/>
    <w:autoRedefine/>
    <w:rsid w:val="00302DD6"/>
    <w:pPr>
      <w:spacing w:after="160" w:line="240" w:lineRule="exact"/>
    </w:pPr>
    <w:rPr>
      <w:rFonts w:ascii="Century Gothic" w:hAnsi="Century Gothic"/>
      <w:sz w:val="24"/>
      <w:szCs w:val="20"/>
    </w:rPr>
  </w:style>
  <w:style w:type="paragraph" w:customStyle="1" w:styleId="Char8">
    <w:name w:val="Char8"/>
    <w:basedOn w:val="Normal"/>
    <w:rsid w:val="00302DD6"/>
    <w:pPr>
      <w:tabs>
        <w:tab w:val="left" w:pos="709"/>
      </w:tabs>
      <w:spacing w:after="0" w:line="240" w:lineRule="auto"/>
    </w:pPr>
    <w:rPr>
      <w:rFonts w:ascii="Tahoma" w:hAnsi="Tahoma"/>
      <w:sz w:val="24"/>
      <w:szCs w:val="24"/>
      <w:lang w:val="pl-PL" w:eastAsia="pl-PL"/>
    </w:rPr>
  </w:style>
  <w:style w:type="paragraph" w:customStyle="1" w:styleId="Char7">
    <w:name w:val="Char7"/>
    <w:basedOn w:val="Normal"/>
    <w:rsid w:val="00302DD6"/>
    <w:pPr>
      <w:tabs>
        <w:tab w:val="left" w:pos="709"/>
      </w:tabs>
      <w:spacing w:after="0" w:line="240" w:lineRule="auto"/>
    </w:pPr>
    <w:rPr>
      <w:rFonts w:ascii="Tahoma" w:hAnsi="Tahoma"/>
      <w:sz w:val="24"/>
      <w:szCs w:val="24"/>
      <w:lang w:val="pl-PL" w:eastAsia="pl-PL"/>
    </w:rPr>
  </w:style>
  <w:style w:type="paragraph" w:customStyle="1" w:styleId="Char6">
    <w:name w:val="Char6"/>
    <w:basedOn w:val="Normal"/>
    <w:rsid w:val="00302DD6"/>
    <w:pPr>
      <w:tabs>
        <w:tab w:val="left" w:pos="709"/>
      </w:tabs>
      <w:spacing w:after="0" w:line="240" w:lineRule="auto"/>
    </w:pPr>
    <w:rPr>
      <w:rFonts w:ascii="Tahoma" w:hAnsi="Tahoma"/>
      <w:sz w:val="24"/>
      <w:szCs w:val="24"/>
      <w:lang w:val="pl-PL" w:eastAsia="pl-PL"/>
    </w:rPr>
  </w:style>
  <w:style w:type="paragraph" w:customStyle="1" w:styleId="Char5">
    <w:name w:val="Char5"/>
    <w:basedOn w:val="Normal"/>
    <w:rsid w:val="00302DD6"/>
    <w:pPr>
      <w:tabs>
        <w:tab w:val="left" w:pos="709"/>
      </w:tabs>
      <w:spacing w:after="0" w:line="240" w:lineRule="auto"/>
    </w:pPr>
    <w:rPr>
      <w:rFonts w:ascii="Tahoma" w:hAnsi="Tahoma"/>
      <w:sz w:val="24"/>
      <w:szCs w:val="24"/>
      <w:lang w:val="pl-PL" w:eastAsia="pl-PL"/>
    </w:rPr>
  </w:style>
  <w:style w:type="paragraph" w:customStyle="1" w:styleId="Char4">
    <w:name w:val="Char4"/>
    <w:basedOn w:val="Normal"/>
    <w:rsid w:val="00302DD6"/>
    <w:pPr>
      <w:tabs>
        <w:tab w:val="left" w:pos="709"/>
      </w:tabs>
      <w:spacing w:after="0" w:line="240" w:lineRule="auto"/>
    </w:pPr>
    <w:rPr>
      <w:rFonts w:ascii="Tahoma" w:hAnsi="Tahoma"/>
      <w:sz w:val="24"/>
      <w:szCs w:val="24"/>
      <w:lang w:val="pl-PL" w:eastAsia="pl-PL"/>
    </w:rPr>
  </w:style>
  <w:style w:type="character" w:customStyle="1" w:styleId="MacroTextChar">
    <w:name w:val="Macro Text Char"/>
    <w:link w:val="MacroText"/>
    <w:rsid w:val="00302DD6"/>
    <w:rPr>
      <w:rFonts w:ascii="Courier New" w:hAnsi="Courier New" w:cs="Courier New"/>
      <w:lang w:val="en-GB"/>
    </w:rPr>
  </w:style>
  <w:style w:type="paragraph" w:customStyle="1" w:styleId="Char3">
    <w:name w:val="Char3"/>
    <w:basedOn w:val="Normal"/>
    <w:rsid w:val="00302DD6"/>
    <w:pPr>
      <w:tabs>
        <w:tab w:val="left" w:pos="709"/>
      </w:tabs>
      <w:spacing w:after="0" w:line="240" w:lineRule="auto"/>
    </w:pPr>
    <w:rPr>
      <w:rFonts w:ascii="Tahoma" w:hAnsi="Tahoma"/>
      <w:sz w:val="24"/>
      <w:szCs w:val="24"/>
      <w:lang w:val="pl-PL" w:eastAsia="pl-PL"/>
    </w:rPr>
  </w:style>
  <w:style w:type="paragraph" w:customStyle="1" w:styleId="Char2">
    <w:name w:val="Char2"/>
    <w:basedOn w:val="Normal"/>
    <w:rsid w:val="00302DD6"/>
    <w:pPr>
      <w:tabs>
        <w:tab w:val="left" w:pos="709"/>
      </w:tabs>
      <w:spacing w:after="0" w:line="240" w:lineRule="auto"/>
    </w:pPr>
    <w:rPr>
      <w:rFonts w:ascii="Tahoma" w:hAnsi="Tahoma"/>
      <w:sz w:val="24"/>
      <w:szCs w:val="24"/>
      <w:lang w:val="pl-PL" w:eastAsia="pl-PL"/>
    </w:rPr>
  </w:style>
  <w:style w:type="paragraph" w:customStyle="1" w:styleId="Char1">
    <w:name w:val="Char1"/>
    <w:basedOn w:val="Normal"/>
    <w:rsid w:val="00302DD6"/>
    <w:pPr>
      <w:tabs>
        <w:tab w:val="left" w:pos="709"/>
      </w:tabs>
      <w:spacing w:after="0" w:line="240" w:lineRule="auto"/>
    </w:pPr>
    <w:rPr>
      <w:rFonts w:ascii="Tahoma" w:hAnsi="Tahoma"/>
      <w:sz w:val="24"/>
      <w:szCs w:val="24"/>
      <w:lang w:val="pl-PL" w:eastAsia="pl-PL"/>
    </w:rPr>
  </w:style>
  <w:style w:type="paragraph" w:customStyle="1" w:styleId="Char11">
    <w:name w:val="Char11"/>
    <w:basedOn w:val="Normal"/>
    <w:rsid w:val="00302DD6"/>
    <w:pPr>
      <w:tabs>
        <w:tab w:val="left" w:pos="709"/>
      </w:tabs>
      <w:spacing w:after="0" w:line="240" w:lineRule="auto"/>
    </w:pPr>
    <w:rPr>
      <w:rFonts w:ascii="Tahoma" w:hAnsi="Tahoma"/>
      <w:sz w:val="24"/>
      <w:szCs w:val="24"/>
      <w:lang w:val="pl-PL" w:eastAsia="pl-PL"/>
    </w:rPr>
  </w:style>
  <w:style w:type="paragraph" w:styleId="Revision">
    <w:name w:val="Revision"/>
    <w:hidden/>
    <w:uiPriority w:val="99"/>
    <w:semiHidden/>
    <w:rsid w:val="00302DD6"/>
    <w:rPr>
      <w:rFonts w:ascii="Garamond" w:hAnsi="Garamond" w:cs="Arial"/>
      <w:sz w:val="22"/>
      <w:szCs w:val="20"/>
      <w:lang w:val="en-GB"/>
    </w:rPr>
  </w:style>
  <w:style w:type="paragraph" w:customStyle="1" w:styleId="Normal0">
    <w:name w:val="Norm al"/>
    <w:basedOn w:val="Normal"/>
    <w:rsid w:val="00302DD6"/>
    <w:pPr>
      <w:autoSpaceDE w:val="0"/>
      <w:autoSpaceDN w:val="0"/>
      <w:spacing w:after="0" w:line="240" w:lineRule="auto"/>
    </w:pPr>
    <w:rPr>
      <w:rFonts w:ascii="MAC C Swiss" w:hAnsi="MAC C Swiss" w:cs="MAC C Swiss"/>
      <w:sz w:val="20"/>
      <w:szCs w:val="20"/>
    </w:rPr>
  </w:style>
  <w:style w:type="paragraph" w:customStyle="1" w:styleId="Char0">
    <w:name w:val="Char"/>
    <w:basedOn w:val="Normal"/>
    <w:rsid w:val="00302DD6"/>
    <w:pPr>
      <w:tabs>
        <w:tab w:val="left" w:pos="709"/>
      </w:tabs>
      <w:spacing w:after="0" w:line="240" w:lineRule="auto"/>
    </w:pPr>
    <w:rPr>
      <w:rFonts w:ascii="Tahoma" w:hAnsi="Tahoma"/>
      <w:sz w:val="24"/>
      <w:szCs w:val="24"/>
      <w:lang w:val="pl-PL" w:eastAsia="pl-PL"/>
    </w:rPr>
  </w:style>
  <w:style w:type="character" w:customStyle="1" w:styleId="NumberedHeading2Char">
    <w:name w:val="Numbered Heading 2 Char"/>
    <w:link w:val="NumberedHeading2"/>
    <w:rsid w:val="00302DD6"/>
    <w:rPr>
      <w:rFonts w:asciiTheme="majorHAnsi" w:hAnsiTheme="majorHAnsi" w:cstheme="majorHAnsi"/>
      <w:color w:val="4F2D7F" w:themeColor="accent1"/>
      <w:sz w:val="26"/>
      <w:szCs w:val="28"/>
      <w:lang w:val="en-GB"/>
    </w:rPr>
  </w:style>
  <w:style w:type="paragraph" w:customStyle="1" w:styleId="1">
    <w:name w:val="1"/>
    <w:basedOn w:val="Normal"/>
    <w:autoRedefine/>
    <w:rsid w:val="00815E65"/>
    <w:pPr>
      <w:spacing w:after="160" w:line="240" w:lineRule="exact"/>
    </w:pPr>
    <w:rPr>
      <w:rFonts w:ascii="Century Gothic" w:hAnsi="Century Gothic"/>
      <w:sz w:val="24"/>
      <w:szCs w:val="20"/>
    </w:rPr>
  </w:style>
  <w:style w:type="character" w:customStyle="1" w:styleId="BodyTextChar1">
    <w:name w:val="Body Text Char1"/>
    <w:rsid w:val="00815E65"/>
    <w:rPr>
      <w:rFonts w:ascii="Garamond" w:hAnsi="Garamond" w:cs="Arial"/>
      <w:sz w:val="22"/>
      <w:lang w:val="en-GB" w:eastAsia="en-US" w:bidi="ar-SA"/>
    </w:rPr>
  </w:style>
  <w:style w:type="paragraph" w:customStyle="1" w:styleId="Chara">
    <w:name w:val="Char"/>
    <w:basedOn w:val="Normal"/>
    <w:rsid w:val="00815E65"/>
    <w:pPr>
      <w:tabs>
        <w:tab w:val="left" w:pos="709"/>
      </w:tabs>
      <w:spacing w:after="0" w:line="240" w:lineRule="auto"/>
    </w:pPr>
    <w:rPr>
      <w:rFonts w:ascii="Tahoma" w:hAnsi="Tahoma"/>
      <w:sz w:val="24"/>
      <w:szCs w:val="24"/>
      <w:lang w:val="pl-PL" w:eastAsia="pl-PL"/>
    </w:rPr>
  </w:style>
  <w:style w:type="character" w:customStyle="1" w:styleId="hps">
    <w:name w:val="hps"/>
    <w:rsid w:val="00815E65"/>
  </w:style>
  <w:style w:type="paragraph" w:customStyle="1" w:styleId="Default">
    <w:name w:val="Default"/>
    <w:rsid w:val="00815E6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6085">
      <w:bodyDiv w:val="1"/>
      <w:marLeft w:val="0"/>
      <w:marRight w:val="0"/>
      <w:marTop w:val="0"/>
      <w:marBottom w:val="0"/>
      <w:divBdr>
        <w:top w:val="none" w:sz="0" w:space="0" w:color="auto"/>
        <w:left w:val="none" w:sz="0" w:space="0" w:color="auto"/>
        <w:bottom w:val="none" w:sz="0" w:space="0" w:color="auto"/>
        <w:right w:val="none" w:sz="0" w:space="0" w:color="auto"/>
      </w:divBdr>
    </w:div>
    <w:div w:id="455293536">
      <w:bodyDiv w:val="1"/>
      <w:marLeft w:val="0"/>
      <w:marRight w:val="0"/>
      <w:marTop w:val="0"/>
      <w:marBottom w:val="0"/>
      <w:divBdr>
        <w:top w:val="none" w:sz="0" w:space="0" w:color="auto"/>
        <w:left w:val="none" w:sz="0" w:space="0" w:color="auto"/>
        <w:bottom w:val="none" w:sz="0" w:space="0" w:color="auto"/>
        <w:right w:val="none" w:sz="0" w:space="0" w:color="auto"/>
      </w:divBdr>
    </w:div>
    <w:div w:id="503589086">
      <w:bodyDiv w:val="1"/>
      <w:marLeft w:val="0"/>
      <w:marRight w:val="0"/>
      <w:marTop w:val="0"/>
      <w:marBottom w:val="0"/>
      <w:divBdr>
        <w:top w:val="none" w:sz="0" w:space="0" w:color="auto"/>
        <w:left w:val="none" w:sz="0" w:space="0" w:color="auto"/>
        <w:bottom w:val="none" w:sz="0" w:space="0" w:color="auto"/>
        <w:right w:val="none" w:sz="0" w:space="0" w:color="auto"/>
      </w:divBdr>
    </w:div>
    <w:div w:id="7815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9.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22.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trushevska\appdata\roaming\microsoft\templates\GT_Word_Templates\A4\Financial%20Statements.dotm" TargetMode="External"/></Relationships>
</file>

<file path=word/theme/theme1.xml><?xml version="1.0" encoding="utf-8"?>
<a:theme xmlns:a="http://schemas.openxmlformats.org/drawingml/2006/main" name="1_Title pages">
  <a:themeElements>
    <a:clrScheme name="GT New">
      <a:dk1>
        <a:sysClr val="windowText" lastClr="000000"/>
      </a:dk1>
      <a:lt1>
        <a:sysClr val="window" lastClr="FFFFFF"/>
      </a:lt1>
      <a:dk2>
        <a:srgbClr val="747678"/>
      </a:dk2>
      <a:lt2>
        <a:srgbClr val="747678"/>
      </a:lt2>
      <a:accent1>
        <a:srgbClr val="4F2D7F"/>
      </a:accent1>
      <a:accent2>
        <a:srgbClr val="CBC4BC"/>
      </a:accent2>
      <a:accent3>
        <a:srgbClr val="00A7B5"/>
      </a:accent3>
      <a:accent4>
        <a:srgbClr val="FF7D1E"/>
      </a:accent4>
      <a:accent5>
        <a:srgbClr val="9BD732"/>
      </a:accent5>
      <a:accent6>
        <a:srgbClr val="E92841"/>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2D7F"/>
        </a:solidFill>
        <a:ln>
          <a:noFill/>
        </a:ln>
        <a:effectLst/>
      </a:spPr>
      <a:bodyPr rtlCol="0" anchor="ctr"/>
      <a:lstStyle>
        <a:defPPr algn="ctr">
          <a:defRPr sz="2400" dirty="0">
            <a:solidFill>
              <a:schemeClr val="bg1"/>
            </a:solidFill>
          </a:defRPr>
        </a:defPPr>
      </a:lstStyle>
      <a:style>
        <a:lnRef idx="1">
          <a:schemeClr val="accent1"/>
        </a:lnRef>
        <a:fillRef idx="3">
          <a:schemeClr val="accent1"/>
        </a:fillRef>
        <a:effectRef idx="2">
          <a:schemeClr val="accent1"/>
        </a:effectRef>
        <a:fontRef idx="minor">
          <a:schemeClr val="lt1"/>
        </a:fontRef>
      </a:style>
    </a:spDef>
    <a:lnDef>
      <a:spPr>
        <a:ln w="12700">
          <a:solidFill>
            <a:srgbClr val="4F2D7F"/>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defRPr sz="2400" dirty="0" err="1" smtClean="0"/>
        </a:defPPr>
      </a:lstStyle>
    </a:txDef>
  </a:objectDefaults>
  <a:extraClrSchemeLst/>
  <a:custClrLst>
    <a:custClr>
      <a:srgbClr val="FFFFFF"/>
    </a:custClr>
    <a:custClr>
      <a:srgbClr val="FFFFFF"/>
    </a:custClr>
    <a:custClr>
      <a:srgbClr val="FFFFFF"/>
    </a:custClr>
    <a:custClr>
      <a:srgbClr val="FFFFFF"/>
    </a:custClr>
    <a:custClr name="Purple 80%">
      <a:srgbClr val="725799"/>
    </a:custClr>
    <a:custClr name="Warm grey 80%">
      <a:srgbClr val="E5E1DD"/>
    </a:custClr>
    <a:custClr name="Teal 80%">
      <a:srgbClr val="33B9C4"/>
    </a:custClr>
    <a:custClr name="Green 80%">
      <a:srgbClr val="AFDF5B"/>
    </a:custClr>
    <a:custClr name="Orange 80%">
      <a:srgbClr val="FF974B"/>
    </a:custClr>
    <a:custClr name="Red 80%">
      <a:srgbClr val="ED5367"/>
    </a:custClr>
    <a:custClr>
      <a:srgbClr val="FFFFFF"/>
    </a:custClr>
    <a:custClr>
      <a:srgbClr val="FFFFFF"/>
    </a:custClr>
    <a:custClr>
      <a:srgbClr val="FFFFFF"/>
    </a:custClr>
    <a:custClr>
      <a:srgbClr val="FFFFFF"/>
    </a:custClr>
    <a:custClr name="Purple 60%">
      <a:srgbClr val="9581B2"/>
    </a:custClr>
    <a:custClr name="Warm grey 60%">
      <a:srgbClr val="ECE9E6"/>
    </a:custClr>
    <a:custClr name="Teal 60%">
      <a:srgbClr val="66CAD3"/>
    </a:custClr>
    <a:custClr name="Green 60%">
      <a:srgbClr val="C3E784"/>
    </a:custClr>
    <a:custClr name="Orange 60%">
      <a:srgbClr val="FFB178"/>
    </a:custClr>
    <a:custClr name="Red 60%">
      <a:srgbClr val="F27E8D"/>
    </a:custClr>
    <a:custClr>
      <a:srgbClr val="FFFFFF"/>
    </a:custClr>
    <a:custClr>
      <a:srgbClr val="FFFFFF"/>
    </a:custClr>
    <a:custClr>
      <a:srgbClr val="FFFFFF"/>
    </a:custClr>
    <a:custClr>
      <a:srgbClr val="FFFFFF"/>
    </a:custClr>
    <a:custClr name="Purple 40%">
      <a:srgbClr val="B9ABCC"/>
    </a:custClr>
    <a:custClr name="Warm grey 40%">
      <a:srgbClr val="F2F0EE"/>
    </a:custClr>
    <a:custClr name="Teal 40%">
      <a:srgbClr val="99DCE1"/>
    </a:custClr>
    <a:custClr name="Green 40%">
      <a:srgbClr val="F5EFAD"/>
    </a:custClr>
    <a:custClr name="Orange 40%">
      <a:srgbClr val="FFCBA5"/>
    </a:custClr>
    <a:custClr name="Red 40%">
      <a:srgbClr val="F6A9B3"/>
    </a:custClr>
    <a:custClr>
      <a:srgbClr val="FFFFFF"/>
    </a:custClr>
    <a:custClr>
      <a:srgbClr val="FFFFFF"/>
    </a:custClr>
    <a:custClr>
      <a:srgbClr val="FFFFFF"/>
    </a:custClr>
    <a:custClr>
      <a:srgbClr val="FFFFFF"/>
    </a:custClr>
    <a:custClr name="Purple 20%">
      <a:srgbClr val="DCD5E5"/>
    </a:custClr>
    <a:custClr name="Warm grey 20%">
      <a:srgbClr val="FAF9F7"/>
    </a:custClr>
    <a:custClr name="Teal 20%">
      <a:srgbClr val="CCEDF0"/>
    </a:custClr>
    <a:custClr name="Green 20%">
      <a:srgbClr val="EBF7D6"/>
    </a:custClr>
    <a:custClr name="Orange 20%">
      <a:srgbClr val="FFE5D2"/>
    </a:custClr>
    <a:custClr name="Red 20%">
      <a:srgbClr val="FBD4D9"/>
    </a:custClr>
  </a:custClrLst>
  <a:extLst>
    <a:ext uri="{05A4C25C-085E-4340-85A3-A5531E510DB2}">
      <thm15:themeFamily xmlns:thm15="http://schemas.microsoft.com/office/thememl/2012/main" name="Presentation4" id="{5FF1D112-A4E2-4C54-8131-FE4D1A87181A}" vid="{9A1EC66F-1ED0-472D-9D4F-8F29D6E199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9C253-DCD4-4C7D-9F05-04F0211B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 Statements</Template>
  <TotalTime>0</TotalTime>
  <Pages>25</Pages>
  <Words>8130</Words>
  <Characters>46345</Characters>
  <Application>Microsoft Office Word</Application>
  <DocSecurity>0</DocSecurity>
  <Lines>386</Lines>
  <Paragraphs>108</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Извештај</vt:lpstr>
      <vt:lpstr>Извештај</vt:lpstr>
    </vt:vector>
  </TitlesOfParts>
  <Company>Grant Thornton</Company>
  <LinksUpToDate>false</LinksUpToDate>
  <CharactersWithSpaces>54367</CharactersWithSpaces>
  <SharedDoc>false</SharedDoc>
  <HLinks>
    <vt:vector size="12" baseType="variant">
      <vt:variant>
        <vt:i4>1507384</vt:i4>
      </vt:variant>
      <vt:variant>
        <vt:i4>17</vt:i4>
      </vt:variant>
      <vt:variant>
        <vt:i4>0</vt:i4>
      </vt:variant>
      <vt:variant>
        <vt:i4>5</vt:i4>
      </vt:variant>
      <vt:variant>
        <vt:lpwstr/>
      </vt:variant>
      <vt:variant>
        <vt:lpwstr>_Toc179887888</vt:lpwstr>
      </vt:variant>
      <vt:variant>
        <vt:i4>1507384</vt:i4>
      </vt:variant>
      <vt:variant>
        <vt:i4>11</vt:i4>
      </vt:variant>
      <vt:variant>
        <vt:i4>0</vt:i4>
      </vt:variant>
      <vt:variant>
        <vt:i4>5</vt:i4>
      </vt:variant>
      <vt:variant>
        <vt:lpwstr/>
      </vt:variant>
      <vt:variant>
        <vt:lpwstr>_Toc179887887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dc:title>
  <dc:creator>Milkica Petrushevska</dc:creator>
  <cp:lastModifiedBy>Kralja Cesmadziska</cp:lastModifiedBy>
  <cp:revision>2</cp:revision>
  <cp:lastPrinted>2022-03-31T09:55:00Z</cp:lastPrinted>
  <dcterms:created xsi:type="dcterms:W3CDTF">2022-04-26T11:21:00Z</dcterms:created>
  <dcterms:modified xsi:type="dcterms:W3CDTF">2022-04-26T11:21:00Z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Company Name</vt:lpwstr>
  </property>
  <property fmtid="{D5CDD505-2E9C-101B-9397-08002B2CF9AE}" pid="3" name="CountryAdjective">
    <vt:lpwstr>Canadian</vt:lpwstr>
  </property>
  <property fmtid="{D5CDD505-2E9C-101B-9397-08002B2CF9AE}" pid="4" name="AccountsDate">
    <vt:lpwstr>Date of accounts</vt:lpwstr>
  </property>
  <property fmtid="{D5CDD505-2E9C-101B-9397-08002B2CF9AE}" pid="5" name="AccountsName">
    <vt:lpwstr>Name of Accounts</vt:lpwstr>
  </property>
  <property fmtid="{D5CDD505-2E9C-101B-9397-08002B2CF9AE}" pid="6" name="DocType">
    <vt:lpwstr>Financial Statements</vt:lpwstr>
  </property>
</Properties>
</file>